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86A7" w14:textId="43E95B73" w:rsidR="004757E8" w:rsidRPr="00B63BD5" w:rsidRDefault="004757E8" w:rsidP="00410656">
      <w:pPr>
        <w:pBdr>
          <w:top w:val="single" w:sz="4" w:space="1" w:color="auto"/>
          <w:left w:val="single" w:sz="4" w:space="6" w:color="auto"/>
          <w:bottom w:val="single" w:sz="4" w:space="1" w:color="auto"/>
          <w:right w:val="single" w:sz="4" w:space="4" w:color="auto"/>
        </w:pBdr>
        <w:jc w:val="both"/>
        <w:rPr>
          <w:highlight w:val="yellow"/>
          <w:lang w:val="fr-CA" w:eastAsia="en-US"/>
        </w:rPr>
      </w:pPr>
      <w:r w:rsidRPr="00B63BD5">
        <w:rPr>
          <w:b/>
          <w:highlight w:val="yellow"/>
          <w:lang w:val="fr-CA" w:eastAsia="en-US"/>
        </w:rPr>
        <w:t>**SUPPRIMER LA PRÉSENTE PAGE D</w:t>
      </w:r>
      <w:r w:rsidR="00564B0C" w:rsidRPr="00B63BD5">
        <w:rPr>
          <w:b/>
          <w:highlight w:val="yellow"/>
          <w:lang w:val="fr-CA" w:eastAsia="en-US"/>
        </w:rPr>
        <w:t>’</w:t>
      </w:r>
      <w:r w:rsidRPr="00B63BD5">
        <w:rPr>
          <w:b/>
          <w:highlight w:val="yellow"/>
          <w:lang w:val="fr-CA" w:eastAsia="en-US"/>
        </w:rPr>
        <w:t>INSTRUCTIONS DU DOCUMENT DÉFINITIF AVANT</w:t>
      </w:r>
      <w:r w:rsidR="00AC4107" w:rsidRPr="00B63BD5">
        <w:rPr>
          <w:b/>
          <w:highlight w:val="yellow"/>
          <w:lang w:val="fr-CA" w:eastAsia="en-US"/>
        </w:rPr>
        <w:t xml:space="preserve"> </w:t>
      </w:r>
      <w:r w:rsidRPr="00B63BD5">
        <w:rPr>
          <w:b/>
          <w:highlight w:val="yellow"/>
          <w:lang w:val="fr-CA" w:eastAsia="en-US"/>
        </w:rPr>
        <w:t>DE LE REMETTRE AU CLIENT**</w:t>
      </w:r>
    </w:p>
    <w:p w14:paraId="1A567071" w14:textId="77777777" w:rsidR="00410656" w:rsidRPr="00B63BD5" w:rsidRDefault="00410656" w:rsidP="00632863">
      <w:pPr>
        <w:jc w:val="both"/>
        <w:rPr>
          <w:b/>
          <w:u w:val="single"/>
          <w:lang w:val="fr-CA"/>
        </w:rPr>
      </w:pPr>
    </w:p>
    <w:p w14:paraId="79B5A8E1" w14:textId="1A4D161F" w:rsidR="00687A9D" w:rsidRPr="00B63BD5" w:rsidRDefault="00B778D2" w:rsidP="00632863">
      <w:pPr>
        <w:jc w:val="both"/>
        <w:rPr>
          <w:b/>
          <w:u w:val="single"/>
          <w:lang w:val="fr-CA"/>
        </w:rPr>
      </w:pPr>
      <w:r w:rsidRPr="00B63BD5">
        <w:rPr>
          <w:b/>
          <w:u w:val="single"/>
          <w:lang w:val="fr-CA"/>
        </w:rPr>
        <w:t xml:space="preserve">DIRECTIVES À SUIVRE </w:t>
      </w:r>
      <w:r w:rsidR="004E463A" w:rsidRPr="00B63BD5">
        <w:rPr>
          <w:b/>
          <w:u w:val="single"/>
          <w:lang w:val="fr-CA"/>
        </w:rPr>
        <w:t>POUR</w:t>
      </w:r>
      <w:r w:rsidR="00687A9D" w:rsidRPr="00B63BD5">
        <w:rPr>
          <w:b/>
          <w:u w:val="single"/>
          <w:lang w:val="fr-CA"/>
        </w:rPr>
        <w:t xml:space="preserve"> </w:t>
      </w:r>
      <w:r w:rsidRPr="00B63BD5">
        <w:rPr>
          <w:b/>
          <w:u w:val="single"/>
          <w:lang w:val="fr-CA"/>
        </w:rPr>
        <w:t>REMPLIR</w:t>
      </w:r>
      <w:r w:rsidR="004E463A" w:rsidRPr="00B63BD5">
        <w:rPr>
          <w:b/>
          <w:u w:val="single"/>
          <w:lang w:val="fr-CA"/>
        </w:rPr>
        <w:t xml:space="preserve"> LA LETTRE RELATIVE AUX FACILITÉS</w:t>
      </w:r>
    </w:p>
    <w:p w14:paraId="42101806" w14:textId="69D4475F" w:rsidR="00D32519" w:rsidRPr="00B63BD5" w:rsidRDefault="00D32519" w:rsidP="00AF7C93">
      <w:pPr>
        <w:pStyle w:val="ListParagraph"/>
        <w:numPr>
          <w:ilvl w:val="0"/>
          <w:numId w:val="12"/>
        </w:numPr>
        <w:ind w:left="284" w:hanging="284"/>
        <w:jc w:val="both"/>
        <w:rPr>
          <w:lang w:val="fr-CA"/>
        </w:rPr>
      </w:pPr>
      <w:r w:rsidRPr="00B63BD5">
        <w:rPr>
          <w:lang w:val="fr-CA"/>
        </w:rPr>
        <w:t xml:space="preserve">Le modèle ci-joint se compose de la Lettre </w:t>
      </w:r>
      <w:r w:rsidR="009F505C" w:rsidRPr="00B63BD5">
        <w:rPr>
          <w:lang w:val="fr-CA"/>
        </w:rPr>
        <w:t xml:space="preserve">relative aux facilités </w:t>
      </w:r>
      <w:r w:rsidRPr="00B63BD5">
        <w:rPr>
          <w:lang w:val="fr-CA"/>
        </w:rPr>
        <w:t>et d</w:t>
      </w:r>
      <w:r w:rsidR="00564B0C" w:rsidRPr="00B63BD5">
        <w:rPr>
          <w:lang w:val="fr-CA"/>
        </w:rPr>
        <w:t>’</w:t>
      </w:r>
      <w:r w:rsidRPr="00B63BD5">
        <w:rPr>
          <w:lang w:val="fr-CA"/>
        </w:rPr>
        <w:t>annexes.</w:t>
      </w:r>
    </w:p>
    <w:p w14:paraId="5EFACE5F" w14:textId="79BA87CB" w:rsidR="00562B99" w:rsidRPr="00B63BD5" w:rsidRDefault="00B778D2" w:rsidP="00AF7C93">
      <w:pPr>
        <w:pStyle w:val="ListParagraph"/>
        <w:numPr>
          <w:ilvl w:val="0"/>
          <w:numId w:val="12"/>
        </w:numPr>
        <w:ind w:left="284" w:hanging="284"/>
        <w:jc w:val="both"/>
        <w:rPr>
          <w:szCs w:val="20"/>
          <w:lang w:val="fr-CA"/>
        </w:rPr>
      </w:pPr>
      <w:r w:rsidRPr="00B63BD5">
        <w:rPr>
          <w:szCs w:val="20"/>
          <w:lang w:val="fr-CA"/>
        </w:rPr>
        <w:t xml:space="preserve">Remplir le modèle </w:t>
      </w:r>
      <w:r w:rsidR="00DA5A40" w:rsidRPr="00B63BD5">
        <w:rPr>
          <w:szCs w:val="20"/>
          <w:lang w:val="fr-CA"/>
        </w:rPr>
        <w:t>avec soin</w:t>
      </w:r>
      <w:r w:rsidRPr="00B63BD5">
        <w:rPr>
          <w:szCs w:val="20"/>
          <w:lang w:val="fr-CA"/>
        </w:rPr>
        <w:t xml:space="preserve"> et s</w:t>
      </w:r>
      <w:r w:rsidR="00564B0C" w:rsidRPr="00B63BD5">
        <w:rPr>
          <w:szCs w:val="20"/>
          <w:lang w:val="fr-CA"/>
        </w:rPr>
        <w:t>’</w:t>
      </w:r>
      <w:r w:rsidRPr="00B63BD5">
        <w:rPr>
          <w:szCs w:val="20"/>
          <w:lang w:val="fr-CA"/>
        </w:rPr>
        <w:t xml:space="preserve">assurer que tous les espaces en blanc sont remplis et </w:t>
      </w:r>
      <w:r w:rsidR="00BA73AA" w:rsidRPr="00B63BD5">
        <w:rPr>
          <w:szCs w:val="20"/>
          <w:lang w:val="fr-CA"/>
        </w:rPr>
        <w:t xml:space="preserve">que </w:t>
      </w:r>
      <w:r w:rsidRPr="00B63BD5">
        <w:rPr>
          <w:szCs w:val="20"/>
          <w:lang w:val="fr-CA"/>
        </w:rPr>
        <w:t>toutes les</w:t>
      </w:r>
      <w:r w:rsidR="00A73C65" w:rsidRPr="00B63BD5">
        <w:rPr>
          <w:szCs w:val="20"/>
          <w:lang w:val="fr-CA"/>
        </w:rPr>
        <w:t> </w:t>
      </w:r>
      <w:r w:rsidRPr="00B63BD5">
        <w:rPr>
          <w:szCs w:val="20"/>
          <w:lang w:val="fr-CA"/>
        </w:rPr>
        <w:t xml:space="preserve">modalités </w:t>
      </w:r>
      <w:r w:rsidR="00DA5A40" w:rsidRPr="00B63BD5">
        <w:rPr>
          <w:szCs w:val="20"/>
          <w:lang w:val="fr-CA"/>
        </w:rPr>
        <w:t xml:space="preserve">applicables à la transaction </w:t>
      </w:r>
      <w:r w:rsidRPr="00B63BD5">
        <w:rPr>
          <w:szCs w:val="20"/>
          <w:lang w:val="fr-CA"/>
        </w:rPr>
        <w:t xml:space="preserve">figurent dans la </w:t>
      </w:r>
      <w:r w:rsidR="00BA73AA" w:rsidRPr="00B63BD5">
        <w:rPr>
          <w:szCs w:val="20"/>
          <w:lang w:val="fr-CA"/>
        </w:rPr>
        <w:t>L</w:t>
      </w:r>
      <w:r w:rsidRPr="00B63BD5">
        <w:rPr>
          <w:szCs w:val="20"/>
          <w:lang w:val="fr-CA"/>
        </w:rPr>
        <w:t xml:space="preserve">ettre </w:t>
      </w:r>
      <w:r w:rsidR="00BA73AA" w:rsidRPr="00B63BD5">
        <w:rPr>
          <w:szCs w:val="20"/>
          <w:lang w:val="fr-CA"/>
        </w:rPr>
        <w:t xml:space="preserve">relative aux facilités </w:t>
      </w:r>
      <w:r w:rsidRPr="00B63BD5">
        <w:rPr>
          <w:szCs w:val="20"/>
          <w:lang w:val="fr-CA"/>
        </w:rPr>
        <w:t>conformément au</w:t>
      </w:r>
      <w:r w:rsidRPr="00B63BD5">
        <w:rPr>
          <w:spacing w:val="-2"/>
          <w:szCs w:val="20"/>
          <w:lang w:val="fr-CA"/>
        </w:rPr>
        <w:t>x</w:t>
      </w:r>
      <w:r w:rsidR="00A73C65" w:rsidRPr="00B63BD5">
        <w:rPr>
          <w:spacing w:val="-2"/>
          <w:szCs w:val="20"/>
          <w:lang w:val="fr-CA"/>
        </w:rPr>
        <w:t> </w:t>
      </w:r>
      <w:r w:rsidRPr="00B63BD5">
        <w:rPr>
          <w:spacing w:val="-2"/>
          <w:szCs w:val="20"/>
          <w:lang w:val="fr-CA"/>
        </w:rPr>
        <w:t>instructions.</w:t>
      </w:r>
      <w:r w:rsidR="00687A9D" w:rsidRPr="00B63BD5">
        <w:rPr>
          <w:spacing w:val="-2"/>
          <w:szCs w:val="20"/>
          <w:lang w:val="fr-CA"/>
        </w:rPr>
        <w:t xml:space="preserve"> </w:t>
      </w:r>
      <w:r w:rsidR="00687A9D" w:rsidRPr="00B63BD5">
        <w:rPr>
          <w:b/>
          <w:spacing w:val="-2"/>
          <w:szCs w:val="20"/>
          <w:lang w:val="fr-CA"/>
        </w:rPr>
        <w:t>Note</w:t>
      </w:r>
      <w:r w:rsidRPr="00B63BD5">
        <w:rPr>
          <w:b/>
          <w:spacing w:val="-2"/>
          <w:szCs w:val="20"/>
          <w:lang w:val="fr-CA"/>
        </w:rPr>
        <w:t>r que tant la Lettr</w:t>
      </w:r>
      <w:r w:rsidR="0091562C" w:rsidRPr="00B63BD5">
        <w:rPr>
          <w:b/>
          <w:spacing w:val="-2"/>
          <w:szCs w:val="20"/>
          <w:lang w:val="fr-CA"/>
        </w:rPr>
        <w:t>e relative aux facilités que l</w:t>
      </w:r>
      <w:r w:rsidR="00564B0C" w:rsidRPr="00B63BD5">
        <w:rPr>
          <w:b/>
          <w:spacing w:val="-2"/>
          <w:szCs w:val="20"/>
          <w:lang w:val="fr-CA"/>
        </w:rPr>
        <w:t>’</w:t>
      </w:r>
      <w:r w:rsidR="0091562C" w:rsidRPr="00B63BD5">
        <w:rPr>
          <w:b/>
          <w:spacing w:val="-2"/>
          <w:szCs w:val="20"/>
          <w:lang w:val="fr-CA"/>
        </w:rPr>
        <w:t>A</w:t>
      </w:r>
      <w:r w:rsidRPr="00B63BD5">
        <w:rPr>
          <w:b/>
          <w:spacing w:val="-2"/>
          <w:szCs w:val="20"/>
          <w:lang w:val="fr-CA"/>
        </w:rPr>
        <w:t>nnexe</w:t>
      </w:r>
      <w:r w:rsidR="00AC4107" w:rsidRPr="00B63BD5">
        <w:rPr>
          <w:b/>
          <w:spacing w:val="-2"/>
          <w:szCs w:val="20"/>
          <w:lang w:val="fr-CA"/>
        </w:rPr>
        <w:t xml:space="preserve"> </w:t>
      </w:r>
      <w:r w:rsidRPr="00B63BD5">
        <w:rPr>
          <w:b/>
          <w:spacing w:val="-2"/>
          <w:szCs w:val="20"/>
          <w:lang w:val="fr-CA"/>
        </w:rPr>
        <w:t>A</w:t>
      </w:r>
      <w:r w:rsidR="000919CC" w:rsidRPr="00B63BD5">
        <w:rPr>
          <w:b/>
          <w:spacing w:val="-2"/>
          <w:szCs w:val="20"/>
          <w:lang w:val="fr-CA"/>
        </w:rPr>
        <w:t xml:space="preserve"> </w:t>
      </w:r>
      <w:r w:rsidRPr="00B63BD5">
        <w:rPr>
          <w:b/>
          <w:spacing w:val="-2"/>
          <w:szCs w:val="20"/>
          <w:lang w:val="fr-CA"/>
        </w:rPr>
        <w:t>doivent être</w:t>
      </w:r>
      <w:r w:rsidR="00A73C65" w:rsidRPr="00B63BD5">
        <w:rPr>
          <w:b/>
          <w:spacing w:val="-2"/>
          <w:szCs w:val="20"/>
          <w:lang w:val="fr-CA"/>
        </w:rPr>
        <w:t> </w:t>
      </w:r>
      <w:r w:rsidRPr="00B63BD5">
        <w:rPr>
          <w:b/>
          <w:spacing w:val="-2"/>
          <w:szCs w:val="20"/>
          <w:lang w:val="fr-CA"/>
        </w:rPr>
        <w:t>rempli</w:t>
      </w:r>
      <w:r w:rsidR="00BA73AA" w:rsidRPr="00B63BD5">
        <w:rPr>
          <w:b/>
          <w:spacing w:val="-2"/>
          <w:szCs w:val="20"/>
          <w:lang w:val="fr-CA"/>
        </w:rPr>
        <w:t>e</w:t>
      </w:r>
      <w:r w:rsidRPr="00B63BD5">
        <w:rPr>
          <w:b/>
          <w:spacing w:val="-2"/>
          <w:szCs w:val="20"/>
          <w:lang w:val="fr-CA"/>
        </w:rPr>
        <w:t>s</w:t>
      </w:r>
      <w:r w:rsidR="0091562C" w:rsidRPr="00B63BD5">
        <w:rPr>
          <w:b/>
          <w:szCs w:val="20"/>
          <w:lang w:val="fr-CA"/>
        </w:rPr>
        <w:t>.</w:t>
      </w:r>
    </w:p>
    <w:p w14:paraId="2518F7AE" w14:textId="14A811E7" w:rsidR="000919CC" w:rsidRPr="00B63BD5" w:rsidRDefault="009E1F66" w:rsidP="00AF7C93">
      <w:pPr>
        <w:pStyle w:val="ListParagraph"/>
        <w:numPr>
          <w:ilvl w:val="0"/>
          <w:numId w:val="12"/>
        </w:numPr>
        <w:ind w:left="284" w:hanging="284"/>
        <w:jc w:val="both"/>
        <w:rPr>
          <w:szCs w:val="20"/>
          <w:lang w:val="fr-CA"/>
        </w:rPr>
      </w:pPr>
      <w:r w:rsidRPr="00B63BD5">
        <w:rPr>
          <w:b/>
          <w:i/>
          <w:szCs w:val="20"/>
          <w:lang w:val="fr-CA"/>
        </w:rPr>
        <w:t>S</w:t>
      </w:r>
      <w:r w:rsidR="00564B0C" w:rsidRPr="00B63BD5">
        <w:rPr>
          <w:b/>
          <w:i/>
          <w:szCs w:val="20"/>
          <w:lang w:val="fr-CA"/>
        </w:rPr>
        <w:t>’</w:t>
      </w:r>
      <w:r w:rsidRPr="00B63BD5">
        <w:rPr>
          <w:b/>
          <w:i/>
          <w:szCs w:val="20"/>
          <w:lang w:val="fr-CA"/>
        </w:rPr>
        <w:t>assurer que la Lettre relative aux facilités remplie est conforme aux exigences prévues dans</w:t>
      </w:r>
      <w:r w:rsidR="00564B0C" w:rsidRPr="00B63BD5">
        <w:rPr>
          <w:b/>
          <w:i/>
          <w:szCs w:val="20"/>
          <w:lang w:val="fr-CA"/>
        </w:rPr>
        <w:t> </w:t>
      </w:r>
      <w:r w:rsidRPr="00B63BD5">
        <w:rPr>
          <w:b/>
          <w:i/>
          <w:szCs w:val="20"/>
          <w:lang w:val="fr-CA"/>
        </w:rPr>
        <w:t>CARM.</w:t>
      </w:r>
    </w:p>
    <w:p w14:paraId="5CC2481C" w14:textId="1095F6E1" w:rsidR="00A3451C" w:rsidRPr="00B63BD5" w:rsidRDefault="00A3451C" w:rsidP="00AF7C93">
      <w:pPr>
        <w:pStyle w:val="ListParagraph"/>
        <w:numPr>
          <w:ilvl w:val="0"/>
          <w:numId w:val="12"/>
        </w:numPr>
        <w:ind w:left="284" w:hanging="284"/>
        <w:jc w:val="both"/>
        <w:rPr>
          <w:szCs w:val="20"/>
          <w:lang w:val="fr-CA"/>
        </w:rPr>
      </w:pPr>
      <w:r w:rsidRPr="00B63BD5">
        <w:rPr>
          <w:b/>
          <w:szCs w:val="20"/>
          <w:lang w:val="fr-CA"/>
        </w:rPr>
        <w:t>Si la lettre doit être examinée par des conseillers juridiques externes, leur fournir les</w:t>
      </w:r>
      <w:r w:rsidR="00A73C65" w:rsidRPr="00B63BD5">
        <w:rPr>
          <w:b/>
          <w:szCs w:val="20"/>
          <w:lang w:val="fr-CA"/>
        </w:rPr>
        <w:t> </w:t>
      </w:r>
      <w:r w:rsidRPr="00B63BD5">
        <w:rPr>
          <w:b/>
          <w:szCs w:val="20"/>
          <w:lang w:val="fr-CA"/>
        </w:rPr>
        <w:t>présentes</w:t>
      </w:r>
      <w:r w:rsidR="00A73C65" w:rsidRPr="00B63BD5">
        <w:rPr>
          <w:b/>
          <w:szCs w:val="20"/>
          <w:lang w:val="fr-CA"/>
        </w:rPr>
        <w:t> </w:t>
      </w:r>
      <w:r w:rsidR="009F505C" w:rsidRPr="00B63BD5">
        <w:rPr>
          <w:b/>
          <w:szCs w:val="20"/>
          <w:lang w:val="fr-CA"/>
        </w:rPr>
        <w:t>directive</w:t>
      </w:r>
      <w:r w:rsidRPr="00B63BD5">
        <w:rPr>
          <w:b/>
          <w:szCs w:val="20"/>
          <w:lang w:val="fr-CA"/>
        </w:rPr>
        <w:t>s.</w:t>
      </w:r>
    </w:p>
    <w:p w14:paraId="59DED0F6" w14:textId="7B42DAB5" w:rsidR="00687A9D" w:rsidRPr="00B63BD5" w:rsidRDefault="009E1F66" w:rsidP="00AF7C93">
      <w:pPr>
        <w:pStyle w:val="ListParagraph"/>
        <w:numPr>
          <w:ilvl w:val="0"/>
          <w:numId w:val="12"/>
        </w:numPr>
        <w:ind w:left="284" w:hanging="284"/>
        <w:jc w:val="both"/>
        <w:rPr>
          <w:szCs w:val="20"/>
          <w:lang w:val="fr-CA"/>
        </w:rPr>
      </w:pPr>
      <w:r w:rsidRPr="00B63BD5">
        <w:rPr>
          <w:szCs w:val="20"/>
          <w:lang w:val="fr-CA"/>
        </w:rPr>
        <w:t>Certains produits nécessitent l</w:t>
      </w:r>
      <w:r w:rsidR="00564B0C" w:rsidRPr="00B63BD5">
        <w:rPr>
          <w:szCs w:val="20"/>
          <w:lang w:val="fr-CA"/>
        </w:rPr>
        <w:t>’</w:t>
      </w:r>
      <w:r w:rsidRPr="00B63BD5">
        <w:rPr>
          <w:szCs w:val="20"/>
          <w:lang w:val="fr-CA"/>
        </w:rPr>
        <w:t xml:space="preserve">ajout de dispositions supplémentaires se trouvant dans le supplément </w:t>
      </w:r>
      <w:r w:rsidRPr="00B63BD5">
        <w:rPr>
          <w:spacing w:val="-4"/>
          <w:szCs w:val="20"/>
          <w:lang w:val="fr-CA"/>
        </w:rPr>
        <w:t>relatif à la grille de tarification (formulaire</w:t>
      </w:r>
      <w:r w:rsidR="00AC4107" w:rsidRPr="00B63BD5">
        <w:rPr>
          <w:spacing w:val="-4"/>
          <w:szCs w:val="20"/>
          <w:lang w:val="fr-CA"/>
        </w:rPr>
        <w:t xml:space="preserve"> </w:t>
      </w:r>
      <w:r w:rsidRPr="00B63BD5">
        <w:rPr>
          <w:spacing w:val="-4"/>
          <w:szCs w:val="20"/>
          <w:lang w:val="fr-CA"/>
        </w:rPr>
        <w:t>825-0019-F</w:t>
      </w:r>
      <w:r w:rsidR="00182B46" w:rsidRPr="00B63BD5">
        <w:rPr>
          <w:spacing w:val="-4"/>
          <w:szCs w:val="20"/>
          <w:lang w:val="fr-CA"/>
        </w:rPr>
        <w:t>R</w:t>
      </w:r>
      <w:r w:rsidRPr="00B63BD5">
        <w:rPr>
          <w:spacing w:val="-4"/>
          <w:szCs w:val="20"/>
          <w:lang w:val="fr-CA"/>
        </w:rPr>
        <w:t>), le supplément de CIFCC (formulaire</w:t>
      </w:r>
      <w:r w:rsidR="007B44C4" w:rsidRPr="00B63BD5">
        <w:rPr>
          <w:spacing w:val="-4"/>
          <w:szCs w:val="20"/>
          <w:lang w:val="fr-CA"/>
        </w:rPr>
        <w:t> </w:t>
      </w:r>
      <w:r w:rsidRPr="00B63BD5">
        <w:rPr>
          <w:spacing w:val="-4"/>
          <w:lang w:val="fr-CA"/>
        </w:rPr>
        <w:t>825</w:t>
      </w:r>
      <w:r w:rsidR="00A73C65" w:rsidRPr="00B63BD5">
        <w:rPr>
          <w:spacing w:val="-4"/>
          <w:lang w:val="fr-CA"/>
        </w:rPr>
        <w:t>­</w:t>
      </w:r>
      <w:r w:rsidRPr="00B63BD5">
        <w:rPr>
          <w:spacing w:val="-4"/>
          <w:lang w:val="fr-CA"/>
        </w:rPr>
        <w:t>0009</w:t>
      </w:r>
      <w:r w:rsidR="00A73C65" w:rsidRPr="00B63BD5">
        <w:rPr>
          <w:spacing w:val="-4"/>
          <w:lang w:val="fr-CA"/>
        </w:rPr>
        <w:t>­</w:t>
      </w:r>
      <w:r w:rsidRPr="00B63BD5">
        <w:rPr>
          <w:spacing w:val="-4"/>
          <w:lang w:val="fr-CA"/>
        </w:rPr>
        <w:t>F</w:t>
      </w:r>
      <w:r w:rsidR="00182B46" w:rsidRPr="00B63BD5">
        <w:rPr>
          <w:spacing w:val="-4"/>
          <w:lang w:val="fr-CA"/>
        </w:rPr>
        <w:t>R</w:t>
      </w:r>
      <w:r w:rsidRPr="00B63BD5">
        <w:rPr>
          <w:spacing w:val="-4"/>
          <w:szCs w:val="20"/>
          <w:lang w:val="fr-CA"/>
        </w:rPr>
        <w:t>)</w:t>
      </w:r>
      <w:r w:rsidRPr="00B63BD5">
        <w:rPr>
          <w:szCs w:val="20"/>
          <w:lang w:val="fr-CA"/>
        </w:rPr>
        <w:t xml:space="preserve"> et le supplément relatif à la consolidation des soldes (970-0152-F</w:t>
      </w:r>
      <w:r w:rsidR="00182B46" w:rsidRPr="00B63BD5">
        <w:rPr>
          <w:szCs w:val="20"/>
          <w:lang w:val="fr-CA"/>
        </w:rPr>
        <w:t>R</w:t>
      </w:r>
      <w:r w:rsidRPr="00B63BD5">
        <w:rPr>
          <w:szCs w:val="20"/>
          <w:lang w:val="fr-CA"/>
        </w:rPr>
        <w:t>). L</w:t>
      </w:r>
      <w:r w:rsidR="00564B0C" w:rsidRPr="00B63BD5">
        <w:rPr>
          <w:szCs w:val="20"/>
          <w:lang w:val="fr-CA"/>
        </w:rPr>
        <w:t>’</w:t>
      </w:r>
      <w:r w:rsidRPr="00B63BD5">
        <w:rPr>
          <w:szCs w:val="20"/>
          <w:lang w:val="fr-CA"/>
        </w:rPr>
        <w:t>obligation d</w:t>
      </w:r>
      <w:r w:rsidR="00564B0C" w:rsidRPr="00B63BD5">
        <w:rPr>
          <w:szCs w:val="20"/>
          <w:lang w:val="fr-CA"/>
        </w:rPr>
        <w:t>’</w:t>
      </w:r>
      <w:r w:rsidRPr="00B63BD5">
        <w:rPr>
          <w:szCs w:val="20"/>
          <w:lang w:val="fr-CA"/>
        </w:rPr>
        <w:t>intégrer ces dispositions supplémentaires est indiquée dans les notes de rédaction inscrites tout au long de la lettre.</w:t>
      </w:r>
    </w:p>
    <w:p w14:paraId="1BFDB75E" w14:textId="0F41FB72" w:rsidR="00687A9D" w:rsidRPr="00B63BD5" w:rsidRDefault="00687A9D" w:rsidP="00AF7C93">
      <w:pPr>
        <w:pStyle w:val="ListParagraph"/>
        <w:numPr>
          <w:ilvl w:val="0"/>
          <w:numId w:val="12"/>
        </w:numPr>
        <w:ind w:left="284" w:hanging="284"/>
        <w:jc w:val="both"/>
        <w:rPr>
          <w:szCs w:val="20"/>
          <w:lang w:val="fr-CA"/>
        </w:rPr>
      </w:pPr>
      <w:r w:rsidRPr="00B63BD5">
        <w:rPr>
          <w:szCs w:val="20"/>
          <w:lang w:val="fr-CA"/>
        </w:rPr>
        <w:t>Certain</w:t>
      </w:r>
      <w:r w:rsidR="0091562C" w:rsidRPr="00B63BD5">
        <w:rPr>
          <w:szCs w:val="20"/>
          <w:lang w:val="fr-CA"/>
        </w:rPr>
        <w:t xml:space="preserve">es dispositions ne </w:t>
      </w:r>
      <w:r w:rsidR="00DA5A40" w:rsidRPr="00B63BD5">
        <w:rPr>
          <w:szCs w:val="20"/>
          <w:lang w:val="fr-CA"/>
        </w:rPr>
        <w:t>doivent</w:t>
      </w:r>
      <w:r w:rsidR="0091562C" w:rsidRPr="00B63BD5">
        <w:rPr>
          <w:szCs w:val="20"/>
          <w:lang w:val="fr-CA"/>
        </w:rPr>
        <w:t xml:space="preserve"> pas être modifiées sans </w:t>
      </w:r>
      <w:r w:rsidR="00DA5A40" w:rsidRPr="00B63BD5">
        <w:rPr>
          <w:szCs w:val="20"/>
          <w:lang w:val="fr-CA"/>
        </w:rPr>
        <w:t xml:space="preserve">que </w:t>
      </w:r>
      <w:r w:rsidR="0091562C" w:rsidRPr="00B63BD5">
        <w:rPr>
          <w:szCs w:val="20"/>
          <w:lang w:val="fr-CA"/>
        </w:rPr>
        <w:t>le</w:t>
      </w:r>
      <w:r w:rsidR="003E5367" w:rsidRPr="00B63BD5">
        <w:rPr>
          <w:szCs w:val="20"/>
          <w:lang w:val="fr-CA"/>
        </w:rPr>
        <w:t>s</w:t>
      </w:r>
      <w:r w:rsidR="0091562C" w:rsidRPr="00B63BD5">
        <w:rPr>
          <w:szCs w:val="20"/>
          <w:lang w:val="fr-CA"/>
        </w:rPr>
        <w:t xml:space="preserve"> </w:t>
      </w:r>
      <w:r w:rsidR="00BA73AA" w:rsidRPr="00B63BD5">
        <w:rPr>
          <w:szCs w:val="20"/>
          <w:lang w:val="fr-CA"/>
        </w:rPr>
        <w:t>s</w:t>
      </w:r>
      <w:r w:rsidR="0091562C" w:rsidRPr="00B63BD5">
        <w:rPr>
          <w:szCs w:val="20"/>
          <w:lang w:val="fr-CA"/>
        </w:rPr>
        <w:t>ervice</w:t>
      </w:r>
      <w:r w:rsidR="003E5367" w:rsidRPr="00B63BD5">
        <w:rPr>
          <w:szCs w:val="20"/>
          <w:lang w:val="fr-CA"/>
        </w:rPr>
        <w:t>s juridiques</w:t>
      </w:r>
      <w:r w:rsidR="0091562C" w:rsidRPr="00B63BD5">
        <w:rPr>
          <w:szCs w:val="20"/>
          <w:lang w:val="fr-CA"/>
        </w:rPr>
        <w:t xml:space="preserve"> de la Banque</w:t>
      </w:r>
      <w:r w:rsidR="00414A9C" w:rsidRPr="00B63BD5">
        <w:rPr>
          <w:szCs w:val="20"/>
          <w:lang w:val="fr-CA"/>
        </w:rPr>
        <w:t xml:space="preserve"> aient</w:t>
      </w:r>
      <w:r w:rsidR="007B44C4" w:rsidRPr="00B63BD5">
        <w:rPr>
          <w:szCs w:val="20"/>
          <w:lang w:val="fr-CA"/>
        </w:rPr>
        <w:t xml:space="preserve"> </w:t>
      </w:r>
      <w:r w:rsidR="00DA5A40" w:rsidRPr="00B63BD5">
        <w:rPr>
          <w:szCs w:val="20"/>
          <w:lang w:val="fr-CA"/>
        </w:rPr>
        <w:t>été consulté</w:t>
      </w:r>
      <w:r w:rsidR="004E285A" w:rsidRPr="00B63BD5">
        <w:rPr>
          <w:szCs w:val="20"/>
          <w:lang w:val="fr-CA"/>
        </w:rPr>
        <w:t>s</w:t>
      </w:r>
      <w:r w:rsidR="00DA5A40" w:rsidRPr="00B63BD5">
        <w:rPr>
          <w:szCs w:val="20"/>
          <w:lang w:val="fr-CA"/>
        </w:rPr>
        <w:t xml:space="preserve"> au préalable</w:t>
      </w:r>
      <w:r w:rsidR="0091562C" w:rsidRPr="00B63BD5">
        <w:rPr>
          <w:szCs w:val="20"/>
          <w:lang w:val="fr-CA"/>
        </w:rPr>
        <w:t xml:space="preserve">; ces dispositions </w:t>
      </w:r>
      <w:r w:rsidR="00DA5A40" w:rsidRPr="00B63BD5">
        <w:rPr>
          <w:szCs w:val="20"/>
          <w:lang w:val="fr-CA"/>
        </w:rPr>
        <w:t>sont assorties d</w:t>
      </w:r>
      <w:r w:rsidR="00564B0C" w:rsidRPr="00B63BD5">
        <w:rPr>
          <w:szCs w:val="20"/>
          <w:lang w:val="fr-CA"/>
        </w:rPr>
        <w:t>’</w:t>
      </w:r>
      <w:r w:rsidR="00DA5A40" w:rsidRPr="00B63BD5">
        <w:rPr>
          <w:szCs w:val="20"/>
          <w:lang w:val="fr-CA"/>
        </w:rPr>
        <w:t xml:space="preserve">une mise en garde </w:t>
      </w:r>
      <w:r w:rsidR="0091562C" w:rsidRPr="00B63BD5">
        <w:rPr>
          <w:szCs w:val="20"/>
          <w:lang w:val="fr-CA"/>
        </w:rPr>
        <w:t>à cet effet</w:t>
      </w:r>
      <w:r w:rsidR="00DA5A40" w:rsidRPr="00B63BD5">
        <w:rPr>
          <w:szCs w:val="20"/>
          <w:lang w:val="fr-CA"/>
        </w:rPr>
        <w:t xml:space="preserve"> dans le texte</w:t>
      </w:r>
      <w:r w:rsidR="0091562C" w:rsidRPr="00B63BD5">
        <w:rPr>
          <w:szCs w:val="20"/>
          <w:lang w:val="fr-CA"/>
        </w:rPr>
        <w:t>.</w:t>
      </w:r>
    </w:p>
    <w:p w14:paraId="6F706477" w14:textId="03F87A2D" w:rsidR="00687A9D" w:rsidRPr="00B63BD5" w:rsidRDefault="0091562C" w:rsidP="00AF7C93">
      <w:pPr>
        <w:pStyle w:val="ListParagraph"/>
        <w:numPr>
          <w:ilvl w:val="0"/>
          <w:numId w:val="12"/>
        </w:numPr>
        <w:ind w:left="284" w:hanging="284"/>
        <w:jc w:val="both"/>
        <w:rPr>
          <w:szCs w:val="20"/>
          <w:lang w:val="fr-CA"/>
        </w:rPr>
      </w:pPr>
      <w:r w:rsidRPr="00B63BD5">
        <w:rPr>
          <w:szCs w:val="20"/>
          <w:lang w:val="fr-CA"/>
        </w:rPr>
        <w:t>Ne pas modifier les définitions qui sont données dans l</w:t>
      </w:r>
      <w:r w:rsidR="00564B0C" w:rsidRPr="00B63BD5">
        <w:rPr>
          <w:szCs w:val="20"/>
          <w:lang w:val="fr-CA"/>
        </w:rPr>
        <w:t>’</w:t>
      </w:r>
      <w:r w:rsidRPr="00B63BD5">
        <w:rPr>
          <w:szCs w:val="20"/>
          <w:lang w:val="fr-CA"/>
        </w:rPr>
        <w:t>Annexe</w:t>
      </w:r>
      <w:r w:rsidR="00AC4107" w:rsidRPr="00B63BD5">
        <w:rPr>
          <w:szCs w:val="20"/>
          <w:lang w:val="fr-CA"/>
        </w:rPr>
        <w:t xml:space="preserve"> </w:t>
      </w:r>
      <w:r w:rsidRPr="00B63BD5">
        <w:rPr>
          <w:szCs w:val="20"/>
          <w:lang w:val="fr-CA"/>
        </w:rPr>
        <w:t>A sans s</w:t>
      </w:r>
      <w:r w:rsidR="00564B0C" w:rsidRPr="00B63BD5">
        <w:rPr>
          <w:szCs w:val="20"/>
          <w:lang w:val="fr-CA"/>
        </w:rPr>
        <w:t>’</w:t>
      </w:r>
      <w:r w:rsidRPr="00B63BD5">
        <w:rPr>
          <w:szCs w:val="20"/>
          <w:lang w:val="fr-CA"/>
        </w:rPr>
        <w:t>assurer qu</w:t>
      </w:r>
      <w:r w:rsidR="00564B0C" w:rsidRPr="00B63BD5">
        <w:rPr>
          <w:szCs w:val="20"/>
          <w:lang w:val="fr-CA"/>
        </w:rPr>
        <w:t>’</w:t>
      </w:r>
      <w:r w:rsidRPr="00B63BD5">
        <w:rPr>
          <w:szCs w:val="20"/>
          <w:lang w:val="fr-CA"/>
        </w:rPr>
        <w:t xml:space="preserve">elles sont </w:t>
      </w:r>
      <w:r w:rsidR="002B61C6" w:rsidRPr="00B63BD5">
        <w:rPr>
          <w:szCs w:val="20"/>
          <w:lang w:val="fr-CA"/>
        </w:rPr>
        <w:t>conformes à l</w:t>
      </w:r>
      <w:r w:rsidR="00564B0C" w:rsidRPr="00B63BD5">
        <w:rPr>
          <w:szCs w:val="20"/>
          <w:lang w:val="fr-CA"/>
        </w:rPr>
        <w:t>’</w:t>
      </w:r>
      <w:r w:rsidR="002B61C6" w:rsidRPr="00B63BD5">
        <w:rPr>
          <w:szCs w:val="20"/>
          <w:lang w:val="fr-CA"/>
        </w:rPr>
        <w:t xml:space="preserve">usage qui en est fait </w:t>
      </w:r>
      <w:r w:rsidRPr="00B63BD5">
        <w:rPr>
          <w:szCs w:val="20"/>
          <w:lang w:val="fr-CA"/>
        </w:rPr>
        <w:t xml:space="preserve">dans la </w:t>
      </w:r>
      <w:r w:rsidR="002B61C6" w:rsidRPr="00B63BD5">
        <w:rPr>
          <w:szCs w:val="20"/>
          <w:lang w:val="fr-CA"/>
        </w:rPr>
        <w:t>L</w:t>
      </w:r>
      <w:r w:rsidRPr="00B63BD5">
        <w:rPr>
          <w:szCs w:val="20"/>
          <w:lang w:val="fr-CA"/>
        </w:rPr>
        <w:t xml:space="preserve">ettre </w:t>
      </w:r>
      <w:r w:rsidR="002B61C6" w:rsidRPr="00B63BD5">
        <w:rPr>
          <w:szCs w:val="20"/>
          <w:lang w:val="fr-CA"/>
        </w:rPr>
        <w:t xml:space="preserve">relative aux facilités </w:t>
      </w:r>
      <w:r w:rsidRPr="00B63BD5">
        <w:rPr>
          <w:szCs w:val="20"/>
          <w:lang w:val="fr-CA"/>
        </w:rPr>
        <w:t>et qu</w:t>
      </w:r>
      <w:r w:rsidR="00564B0C" w:rsidRPr="00B63BD5">
        <w:rPr>
          <w:szCs w:val="20"/>
          <w:lang w:val="fr-CA"/>
        </w:rPr>
        <w:t>’</w:t>
      </w:r>
      <w:r w:rsidRPr="00B63BD5">
        <w:rPr>
          <w:szCs w:val="20"/>
          <w:lang w:val="fr-CA"/>
        </w:rPr>
        <w:t xml:space="preserve">elles répondent aux exigences </w:t>
      </w:r>
      <w:r w:rsidR="002B61C6" w:rsidRPr="00B63BD5">
        <w:rPr>
          <w:szCs w:val="20"/>
          <w:lang w:val="fr-CA"/>
        </w:rPr>
        <w:t xml:space="preserve">prévues </w:t>
      </w:r>
      <w:r w:rsidR="003E5367" w:rsidRPr="00B63BD5">
        <w:rPr>
          <w:szCs w:val="20"/>
          <w:lang w:val="fr-CA"/>
        </w:rPr>
        <w:t xml:space="preserve">du système </w:t>
      </w:r>
      <w:r w:rsidR="002B61C6" w:rsidRPr="00B63BD5">
        <w:rPr>
          <w:szCs w:val="20"/>
          <w:lang w:val="fr-CA"/>
        </w:rPr>
        <w:t>d</w:t>
      </w:r>
      <w:r w:rsidR="00564B0C" w:rsidRPr="00B63BD5">
        <w:rPr>
          <w:szCs w:val="20"/>
          <w:lang w:val="fr-CA"/>
        </w:rPr>
        <w:t>’</w:t>
      </w:r>
      <w:r w:rsidR="002B61C6" w:rsidRPr="00B63BD5">
        <w:rPr>
          <w:szCs w:val="20"/>
          <w:lang w:val="fr-CA"/>
        </w:rPr>
        <w:t>approbation de crédit et de gestion des risques («</w:t>
      </w:r>
      <w:r w:rsidR="0094743F" w:rsidRPr="00B63BD5">
        <w:rPr>
          <w:szCs w:val="20"/>
          <w:lang w:val="fr-CA"/>
        </w:rPr>
        <w:t> </w:t>
      </w:r>
      <w:r w:rsidR="003E5367" w:rsidRPr="00B63BD5">
        <w:rPr>
          <w:szCs w:val="20"/>
          <w:lang w:val="fr-CA"/>
        </w:rPr>
        <w:t>CARM</w:t>
      </w:r>
      <w:r w:rsidR="0094743F" w:rsidRPr="00B63BD5">
        <w:rPr>
          <w:szCs w:val="20"/>
          <w:lang w:val="fr-CA"/>
        </w:rPr>
        <w:t> </w:t>
      </w:r>
      <w:r w:rsidR="002B61C6" w:rsidRPr="00B63BD5">
        <w:rPr>
          <w:szCs w:val="20"/>
          <w:lang w:val="fr-CA"/>
        </w:rPr>
        <w:t xml:space="preserve">») </w:t>
      </w:r>
      <w:r w:rsidRPr="00B63BD5">
        <w:rPr>
          <w:szCs w:val="20"/>
          <w:lang w:val="fr-CA"/>
        </w:rPr>
        <w:t xml:space="preserve">et aux exigences </w:t>
      </w:r>
      <w:r w:rsidR="00DA5A40" w:rsidRPr="00B63BD5">
        <w:rPr>
          <w:szCs w:val="20"/>
          <w:lang w:val="fr-CA"/>
        </w:rPr>
        <w:t>de</w:t>
      </w:r>
      <w:r w:rsidR="007B44C4" w:rsidRPr="00B63BD5">
        <w:rPr>
          <w:szCs w:val="20"/>
          <w:lang w:val="fr-CA"/>
        </w:rPr>
        <w:t> </w:t>
      </w:r>
      <w:r w:rsidR="00DA5A40" w:rsidRPr="00B63BD5">
        <w:rPr>
          <w:szCs w:val="20"/>
          <w:lang w:val="fr-CA"/>
        </w:rPr>
        <w:t>la</w:t>
      </w:r>
      <w:r w:rsidR="007B44C4" w:rsidRPr="00B63BD5">
        <w:rPr>
          <w:szCs w:val="20"/>
          <w:lang w:val="fr-CA"/>
        </w:rPr>
        <w:t> </w:t>
      </w:r>
      <w:r w:rsidR="00DA5A40" w:rsidRPr="00B63BD5">
        <w:rPr>
          <w:szCs w:val="20"/>
          <w:lang w:val="fr-CA"/>
        </w:rPr>
        <w:t>transaction</w:t>
      </w:r>
      <w:r w:rsidRPr="00B63BD5">
        <w:rPr>
          <w:szCs w:val="20"/>
          <w:lang w:val="fr-CA"/>
        </w:rPr>
        <w:t xml:space="preserve">. </w:t>
      </w:r>
      <w:r w:rsidR="006167D9" w:rsidRPr="00B63BD5">
        <w:rPr>
          <w:szCs w:val="20"/>
          <w:lang w:val="fr-CA"/>
        </w:rPr>
        <w:t xml:space="preserve">À moins d’indication contraire, ne </w:t>
      </w:r>
      <w:r w:rsidRPr="00B63BD5">
        <w:rPr>
          <w:szCs w:val="20"/>
          <w:lang w:val="fr-CA"/>
        </w:rPr>
        <w:t xml:space="preserve">pas supprimer les définitions </w:t>
      </w:r>
      <w:r w:rsidR="00DA5A40" w:rsidRPr="00B63BD5">
        <w:rPr>
          <w:szCs w:val="20"/>
          <w:lang w:val="fr-CA"/>
        </w:rPr>
        <w:t xml:space="preserve">qui ne sont pas </w:t>
      </w:r>
      <w:r w:rsidRPr="00B63BD5">
        <w:rPr>
          <w:szCs w:val="20"/>
          <w:lang w:val="fr-CA"/>
        </w:rPr>
        <w:t>utilisées.</w:t>
      </w:r>
    </w:p>
    <w:p w14:paraId="45CB28D5" w14:textId="77777777" w:rsidR="00687A9D" w:rsidRPr="00B63BD5" w:rsidRDefault="0091562C" w:rsidP="00AF7C93">
      <w:pPr>
        <w:pStyle w:val="ListParagraph"/>
        <w:numPr>
          <w:ilvl w:val="0"/>
          <w:numId w:val="12"/>
        </w:numPr>
        <w:ind w:left="284" w:hanging="284"/>
        <w:jc w:val="both"/>
        <w:rPr>
          <w:szCs w:val="20"/>
          <w:lang w:val="fr-CA"/>
        </w:rPr>
      </w:pPr>
      <w:r w:rsidRPr="00B63BD5">
        <w:rPr>
          <w:szCs w:val="20"/>
          <w:lang w:val="fr-CA"/>
        </w:rPr>
        <w:t xml:space="preserve">Ne pas faire de copier/coller à partir de la </w:t>
      </w:r>
      <w:r w:rsidR="00043876" w:rsidRPr="00B63BD5">
        <w:rPr>
          <w:szCs w:val="20"/>
          <w:lang w:val="fr-CA"/>
        </w:rPr>
        <w:t>feuille de</w:t>
      </w:r>
      <w:r w:rsidRPr="00B63BD5">
        <w:rPr>
          <w:szCs w:val="20"/>
          <w:lang w:val="fr-CA"/>
        </w:rPr>
        <w:t xml:space="preserve"> conditions</w:t>
      </w:r>
      <w:r w:rsidR="00687A9D" w:rsidRPr="00B63BD5">
        <w:rPr>
          <w:szCs w:val="20"/>
          <w:lang w:val="fr-CA"/>
        </w:rPr>
        <w:t>.</w:t>
      </w:r>
    </w:p>
    <w:p w14:paraId="1DEA5A1C" w14:textId="46349F1B" w:rsidR="00687A9D" w:rsidRPr="00B63BD5" w:rsidRDefault="00687A9D" w:rsidP="00AF7C93">
      <w:pPr>
        <w:pStyle w:val="ListParagraph"/>
        <w:numPr>
          <w:ilvl w:val="0"/>
          <w:numId w:val="12"/>
        </w:numPr>
        <w:ind w:left="284" w:hanging="284"/>
        <w:jc w:val="both"/>
        <w:rPr>
          <w:b/>
          <w:szCs w:val="20"/>
          <w:lang w:val="fr-CA"/>
        </w:rPr>
      </w:pPr>
      <w:r w:rsidRPr="00B63BD5">
        <w:rPr>
          <w:b/>
          <w:szCs w:val="20"/>
          <w:u w:val="single"/>
          <w:lang w:val="fr-CA"/>
        </w:rPr>
        <w:t>Important</w:t>
      </w:r>
      <w:r w:rsidR="00AC4107" w:rsidRPr="00B63BD5">
        <w:rPr>
          <w:b/>
          <w:szCs w:val="20"/>
          <w:lang w:val="fr-CA"/>
        </w:rPr>
        <w:t xml:space="preserve"> </w:t>
      </w:r>
      <w:r w:rsidR="00EE61D5" w:rsidRPr="00B63BD5">
        <w:rPr>
          <w:b/>
          <w:szCs w:val="20"/>
          <w:lang w:val="fr-CA"/>
        </w:rPr>
        <w:t xml:space="preserve">: </w:t>
      </w:r>
      <w:r w:rsidR="00CC2910" w:rsidRPr="00B63BD5">
        <w:rPr>
          <w:b/>
          <w:szCs w:val="20"/>
          <w:u w:val="single"/>
          <w:lang w:val="fr-CA"/>
        </w:rPr>
        <w:t>Supprimer</w:t>
      </w:r>
      <w:r w:rsidR="00CC2910" w:rsidRPr="00B63BD5">
        <w:rPr>
          <w:b/>
          <w:szCs w:val="20"/>
          <w:lang w:val="fr-CA"/>
        </w:rPr>
        <w:t xml:space="preserve"> ce qui suit avant de </w:t>
      </w:r>
      <w:r w:rsidR="00DA5A40" w:rsidRPr="00B63BD5">
        <w:rPr>
          <w:b/>
          <w:szCs w:val="20"/>
          <w:lang w:val="fr-CA"/>
        </w:rPr>
        <w:t>remettre</w:t>
      </w:r>
      <w:r w:rsidR="002B61C6" w:rsidRPr="00B63BD5">
        <w:rPr>
          <w:b/>
          <w:szCs w:val="20"/>
          <w:lang w:val="fr-CA"/>
        </w:rPr>
        <w:t xml:space="preserve"> le document définitif au c</w:t>
      </w:r>
      <w:r w:rsidR="00CC2910" w:rsidRPr="00B63BD5">
        <w:rPr>
          <w:b/>
          <w:szCs w:val="20"/>
          <w:lang w:val="fr-CA"/>
        </w:rPr>
        <w:t>lient</w:t>
      </w:r>
      <w:r w:rsidR="00AC4107" w:rsidRPr="00B63BD5">
        <w:rPr>
          <w:b/>
          <w:szCs w:val="20"/>
          <w:lang w:val="fr-CA"/>
        </w:rPr>
        <w:t xml:space="preserve"> </w:t>
      </w:r>
      <w:r w:rsidR="00CC2910" w:rsidRPr="00B63BD5">
        <w:rPr>
          <w:b/>
          <w:szCs w:val="20"/>
          <w:lang w:val="fr-CA"/>
        </w:rPr>
        <w:t>:</w:t>
      </w:r>
    </w:p>
    <w:p w14:paraId="428F98C6" w14:textId="329B6482" w:rsidR="00687A9D" w:rsidRPr="00B63BD5" w:rsidRDefault="00921CC3" w:rsidP="00AF7C93">
      <w:pPr>
        <w:pStyle w:val="ListParagraph"/>
        <w:numPr>
          <w:ilvl w:val="2"/>
          <w:numId w:val="12"/>
        </w:numPr>
        <w:ind w:left="567" w:hanging="284"/>
        <w:jc w:val="both"/>
        <w:rPr>
          <w:szCs w:val="20"/>
          <w:lang w:val="fr-CA"/>
        </w:rPr>
      </w:pPr>
      <w:r w:rsidRPr="00B63BD5">
        <w:rPr>
          <w:szCs w:val="20"/>
          <w:lang w:val="fr-CA"/>
        </w:rPr>
        <w:t xml:space="preserve">les dispositions </w:t>
      </w:r>
      <w:r w:rsidR="00B84075" w:rsidRPr="00B63BD5">
        <w:rPr>
          <w:szCs w:val="20"/>
          <w:lang w:val="fr-CA"/>
        </w:rPr>
        <w:t>relatives à la disponibilité</w:t>
      </w:r>
      <w:r w:rsidRPr="00B63BD5">
        <w:rPr>
          <w:szCs w:val="20"/>
          <w:lang w:val="fr-CA"/>
        </w:rPr>
        <w:t xml:space="preserve"> et les autres dispositions qui ne s</w:t>
      </w:r>
      <w:r w:rsidR="00564B0C" w:rsidRPr="00B63BD5">
        <w:rPr>
          <w:szCs w:val="20"/>
          <w:lang w:val="fr-CA"/>
        </w:rPr>
        <w:t>’</w:t>
      </w:r>
      <w:r w:rsidRPr="00B63BD5">
        <w:rPr>
          <w:szCs w:val="20"/>
          <w:lang w:val="fr-CA"/>
        </w:rPr>
        <w:t>appliquent pas au client ou qui ne sont pas pertinentes pour celui</w:t>
      </w:r>
      <w:r w:rsidRPr="00B63BD5">
        <w:rPr>
          <w:szCs w:val="20"/>
          <w:lang w:val="fr-CA"/>
        </w:rPr>
        <w:noBreakHyphen/>
        <w:t>ci;</w:t>
      </w:r>
    </w:p>
    <w:p w14:paraId="19E4AB0A" w14:textId="52224FC8" w:rsidR="00687A9D" w:rsidRPr="00B63BD5" w:rsidRDefault="002B61C6" w:rsidP="00AF7C93">
      <w:pPr>
        <w:pStyle w:val="ListParagraph"/>
        <w:numPr>
          <w:ilvl w:val="2"/>
          <w:numId w:val="12"/>
        </w:numPr>
        <w:ind w:left="567" w:hanging="284"/>
        <w:jc w:val="both"/>
        <w:rPr>
          <w:szCs w:val="20"/>
          <w:lang w:val="fr-CA"/>
        </w:rPr>
      </w:pPr>
      <w:r w:rsidRPr="00B63BD5">
        <w:rPr>
          <w:b/>
          <w:szCs w:val="20"/>
          <w:lang w:val="fr-CA"/>
        </w:rPr>
        <w:t xml:space="preserve">les </w:t>
      </w:r>
      <w:r w:rsidR="00921CC3" w:rsidRPr="00B63BD5">
        <w:rPr>
          <w:b/>
          <w:szCs w:val="20"/>
          <w:lang w:val="fr-CA"/>
        </w:rPr>
        <w:t>i</w:t>
      </w:r>
      <w:r w:rsidR="00687A9D" w:rsidRPr="00B63BD5">
        <w:rPr>
          <w:b/>
          <w:szCs w:val="20"/>
          <w:lang w:val="fr-CA"/>
        </w:rPr>
        <w:t>nstructions</w:t>
      </w:r>
      <w:r w:rsidR="00DA5A40" w:rsidRPr="00B63BD5">
        <w:rPr>
          <w:b/>
          <w:szCs w:val="20"/>
          <w:lang w:val="fr-CA"/>
        </w:rPr>
        <w:t>, les mises en garde</w:t>
      </w:r>
      <w:r w:rsidR="00687A9D" w:rsidRPr="00B63BD5">
        <w:rPr>
          <w:b/>
          <w:szCs w:val="20"/>
          <w:lang w:val="fr-CA"/>
        </w:rPr>
        <w:t xml:space="preserve"> </w:t>
      </w:r>
      <w:r w:rsidR="00921CC3" w:rsidRPr="00B63BD5">
        <w:rPr>
          <w:b/>
          <w:szCs w:val="20"/>
          <w:lang w:val="fr-CA"/>
        </w:rPr>
        <w:t xml:space="preserve">et </w:t>
      </w:r>
      <w:r w:rsidRPr="00B63BD5">
        <w:rPr>
          <w:b/>
          <w:szCs w:val="20"/>
          <w:lang w:val="fr-CA"/>
        </w:rPr>
        <w:t xml:space="preserve">les </w:t>
      </w:r>
      <w:r w:rsidR="00921CC3" w:rsidRPr="00B63BD5">
        <w:rPr>
          <w:b/>
          <w:szCs w:val="20"/>
          <w:lang w:val="fr-CA"/>
        </w:rPr>
        <w:t>notes explicatives</w:t>
      </w:r>
      <w:r w:rsidR="00687A9D" w:rsidRPr="00B63BD5">
        <w:rPr>
          <w:b/>
          <w:szCs w:val="20"/>
          <w:lang w:val="fr-CA"/>
        </w:rPr>
        <w:t>.</w:t>
      </w:r>
      <w:r w:rsidR="00921CC3" w:rsidRPr="00B63BD5">
        <w:rPr>
          <w:szCs w:val="20"/>
          <w:lang w:val="fr-CA"/>
        </w:rPr>
        <w:t xml:space="preserve"> On trouve ces instructions</w:t>
      </w:r>
      <w:r w:rsidR="00DA5A40" w:rsidRPr="00B63BD5">
        <w:rPr>
          <w:szCs w:val="20"/>
          <w:lang w:val="fr-CA"/>
        </w:rPr>
        <w:t>, mises en garde</w:t>
      </w:r>
      <w:r w:rsidR="00921CC3" w:rsidRPr="00B63BD5">
        <w:rPr>
          <w:szCs w:val="20"/>
          <w:lang w:val="fr-CA"/>
        </w:rPr>
        <w:t xml:space="preserve"> et notes dans la Lettre relative aux facilités et dans l</w:t>
      </w:r>
      <w:r w:rsidR="00564B0C" w:rsidRPr="00B63BD5">
        <w:rPr>
          <w:szCs w:val="20"/>
          <w:lang w:val="fr-CA"/>
        </w:rPr>
        <w:t>’</w:t>
      </w:r>
      <w:r w:rsidR="00921CC3" w:rsidRPr="00B63BD5">
        <w:rPr>
          <w:szCs w:val="20"/>
          <w:lang w:val="fr-CA"/>
        </w:rPr>
        <w:t>Annexe</w:t>
      </w:r>
      <w:r w:rsidR="00AC4107" w:rsidRPr="00B63BD5">
        <w:rPr>
          <w:szCs w:val="20"/>
          <w:lang w:val="fr-CA"/>
        </w:rPr>
        <w:t xml:space="preserve"> </w:t>
      </w:r>
      <w:r w:rsidR="00921CC3" w:rsidRPr="00B63BD5">
        <w:rPr>
          <w:szCs w:val="20"/>
          <w:lang w:val="fr-CA"/>
        </w:rPr>
        <w:t xml:space="preserve">A. </w:t>
      </w:r>
      <w:r w:rsidR="00DA5A40" w:rsidRPr="00B63BD5">
        <w:rPr>
          <w:szCs w:val="20"/>
          <w:lang w:val="fr-CA"/>
        </w:rPr>
        <w:t>Elles</w:t>
      </w:r>
      <w:r w:rsidR="00921CC3" w:rsidRPr="00B63BD5">
        <w:rPr>
          <w:szCs w:val="20"/>
          <w:lang w:val="fr-CA"/>
        </w:rPr>
        <w:t xml:space="preserve"> sont présentées </w:t>
      </w:r>
      <w:r w:rsidRPr="00B63BD5">
        <w:rPr>
          <w:szCs w:val="20"/>
          <w:lang w:val="fr-CA"/>
        </w:rPr>
        <w:t>comme suit</w:t>
      </w:r>
      <w:r w:rsidR="00AC4107" w:rsidRPr="00B63BD5">
        <w:rPr>
          <w:szCs w:val="20"/>
          <w:lang w:val="fr-CA"/>
        </w:rPr>
        <w:t xml:space="preserve"> </w:t>
      </w:r>
      <w:r w:rsidRPr="00B63BD5">
        <w:rPr>
          <w:szCs w:val="20"/>
          <w:lang w:val="fr-CA"/>
        </w:rPr>
        <w:t>:</w:t>
      </w:r>
      <w:r w:rsidR="00687A9D" w:rsidRPr="00B63BD5">
        <w:rPr>
          <w:szCs w:val="20"/>
          <w:lang w:val="fr-CA"/>
        </w:rPr>
        <w:t xml:space="preserve"> </w:t>
      </w:r>
      <w:r w:rsidR="00687A9D" w:rsidRPr="00B63BD5">
        <w:rPr>
          <w:color w:val="00B0F0"/>
          <w:szCs w:val="20"/>
          <w:lang w:val="fr-CA"/>
        </w:rPr>
        <w:t>[</w:t>
      </w:r>
      <w:r w:rsidR="00687A9D" w:rsidRPr="00B63BD5">
        <w:rPr>
          <w:b/>
          <w:color w:val="00B0F0"/>
          <w:szCs w:val="20"/>
          <w:lang w:val="fr-CA"/>
        </w:rPr>
        <w:t>N</w:t>
      </w:r>
      <w:r w:rsidR="00921CC3" w:rsidRPr="00B63BD5">
        <w:rPr>
          <w:b/>
          <w:color w:val="00B0F0"/>
          <w:szCs w:val="20"/>
          <w:lang w:val="fr-CA"/>
        </w:rPr>
        <w:t>.B.</w:t>
      </w:r>
      <w:r w:rsidR="00AC4107" w:rsidRPr="00B63BD5">
        <w:rPr>
          <w:b/>
          <w:color w:val="00B0F0"/>
          <w:szCs w:val="20"/>
          <w:lang w:val="fr-CA"/>
        </w:rPr>
        <w:t xml:space="preserve"> </w:t>
      </w:r>
      <w:r w:rsidR="00921CC3" w:rsidRPr="00B63BD5">
        <w:rPr>
          <w:b/>
          <w:color w:val="00B0F0"/>
          <w:szCs w:val="20"/>
          <w:lang w:val="fr-CA"/>
        </w:rPr>
        <w:t>:</w:t>
      </w:r>
      <w:r w:rsidR="00AC4107" w:rsidRPr="00B63BD5">
        <w:rPr>
          <w:b/>
          <w:color w:val="00B0F0"/>
          <w:szCs w:val="20"/>
          <w:lang w:val="fr-CA"/>
        </w:rPr>
        <w:t xml:space="preserve"> </w:t>
      </w:r>
      <w:r w:rsidR="00687A9D" w:rsidRPr="00B63BD5">
        <w:rPr>
          <w:b/>
          <w:color w:val="00B0F0"/>
          <w:szCs w:val="20"/>
          <w:lang w:val="fr-CA"/>
        </w:rPr>
        <w:t>…]</w:t>
      </w:r>
      <w:r w:rsidR="00921CC3" w:rsidRPr="00B63BD5">
        <w:rPr>
          <w:szCs w:val="20"/>
          <w:lang w:val="fr-CA"/>
        </w:rPr>
        <w:t>;</w:t>
      </w:r>
    </w:p>
    <w:p w14:paraId="74826091" w14:textId="15907CA9" w:rsidR="00687A9D" w:rsidRPr="00B63BD5" w:rsidRDefault="00921CC3" w:rsidP="00AF7C93">
      <w:pPr>
        <w:pStyle w:val="ListParagraph"/>
        <w:numPr>
          <w:ilvl w:val="2"/>
          <w:numId w:val="12"/>
        </w:numPr>
        <w:tabs>
          <w:tab w:val="left" w:pos="851"/>
        </w:tabs>
        <w:ind w:left="574" w:hanging="294"/>
        <w:jc w:val="both"/>
        <w:rPr>
          <w:szCs w:val="20"/>
          <w:lang w:val="fr-CA"/>
        </w:rPr>
      </w:pPr>
      <w:r w:rsidRPr="00B63BD5">
        <w:rPr>
          <w:b/>
          <w:szCs w:val="20"/>
          <w:lang w:val="fr-CA"/>
        </w:rPr>
        <w:t>les crochets</w:t>
      </w:r>
      <w:r w:rsidRPr="00B63BD5">
        <w:rPr>
          <w:szCs w:val="20"/>
          <w:lang w:val="fr-CA"/>
        </w:rPr>
        <w:t xml:space="preserve"> et le texte entre crochets qui n</w:t>
      </w:r>
      <w:r w:rsidR="00564B0C" w:rsidRPr="00B63BD5">
        <w:rPr>
          <w:szCs w:val="20"/>
          <w:lang w:val="fr-CA"/>
        </w:rPr>
        <w:t>’</w:t>
      </w:r>
      <w:r w:rsidR="00A4330C" w:rsidRPr="00B63BD5">
        <w:rPr>
          <w:szCs w:val="20"/>
          <w:lang w:val="fr-CA"/>
        </w:rPr>
        <w:t>est</w:t>
      </w:r>
      <w:r w:rsidRPr="00B63BD5">
        <w:rPr>
          <w:szCs w:val="20"/>
          <w:lang w:val="fr-CA"/>
        </w:rPr>
        <w:t xml:space="preserve"> pas requis;</w:t>
      </w:r>
    </w:p>
    <w:p w14:paraId="48BF94E2" w14:textId="77777777" w:rsidR="00687A9D" w:rsidRPr="00B63BD5" w:rsidRDefault="002B61C6" w:rsidP="00AF7C93">
      <w:pPr>
        <w:pStyle w:val="ListParagraph"/>
        <w:numPr>
          <w:ilvl w:val="2"/>
          <w:numId w:val="12"/>
        </w:numPr>
        <w:ind w:left="567" w:hanging="284"/>
        <w:jc w:val="both"/>
        <w:rPr>
          <w:szCs w:val="20"/>
          <w:lang w:val="fr-CA"/>
        </w:rPr>
      </w:pPr>
      <w:r w:rsidRPr="00B63BD5">
        <w:rPr>
          <w:b/>
          <w:szCs w:val="20"/>
          <w:lang w:val="fr-CA"/>
        </w:rPr>
        <w:t xml:space="preserve">les </w:t>
      </w:r>
      <w:r w:rsidR="00921CC3" w:rsidRPr="00B63BD5">
        <w:rPr>
          <w:b/>
          <w:szCs w:val="20"/>
          <w:lang w:val="fr-CA"/>
        </w:rPr>
        <w:t>pastilles</w:t>
      </w:r>
      <w:r w:rsidRPr="00B63BD5">
        <w:rPr>
          <w:szCs w:val="20"/>
          <w:lang w:val="fr-CA"/>
        </w:rPr>
        <w:t>,</w:t>
      </w:r>
      <w:r w:rsidR="00687A9D" w:rsidRPr="00B63BD5">
        <w:rPr>
          <w:szCs w:val="20"/>
          <w:lang w:val="fr-CA"/>
        </w:rPr>
        <w:t xml:space="preserve"> </w:t>
      </w:r>
      <w:r w:rsidRPr="00B63BD5">
        <w:rPr>
          <w:szCs w:val="20"/>
          <w:lang w:val="fr-CA"/>
        </w:rPr>
        <w:t>qui d</w:t>
      </w:r>
      <w:r w:rsidR="00A4330C" w:rsidRPr="00B63BD5">
        <w:rPr>
          <w:szCs w:val="20"/>
          <w:lang w:val="fr-CA"/>
        </w:rPr>
        <w:t>oivent</w:t>
      </w:r>
      <w:r w:rsidRPr="00B63BD5">
        <w:rPr>
          <w:szCs w:val="20"/>
          <w:lang w:val="fr-CA"/>
        </w:rPr>
        <w:t xml:space="preserve"> être remplacée</w:t>
      </w:r>
      <w:r w:rsidR="00921CC3" w:rsidRPr="00B63BD5">
        <w:rPr>
          <w:szCs w:val="20"/>
          <w:lang w:val="fr-CA"/>
        </w:rPr>
        <w:t>s</w:t>
      </w:r>
      <w:r w:rsidRPr="00B63BD5">
        <w:rPr>
          <w:szCs w:val="20"/>
          <w:lang w:val="fr-CA"/>
        </w:rPr>
        <w:t xml:space="preserve"> par les </w:t>
      </w:r>
      <w:r w:rsidR="00A4330C" w:rsidRPr="00B63BD5">
        <w:rPr>
          <w:szCs w:val="20"/>
          <w:lang w:val="fr-CA"/>
        </w:rPr>
        <w:t>renseignements appropriés ou supprimée</w:t>
      </w:r>
      <w:r w:rsidR="00921CC3" w:rsidRPr="00B63BD5">
        <w:rPr>
          <w:szCs w:val="20"/>
          <w:lang w:val="fr-CA"/>
        </w:rPr>
        <w:t>s si elles ne sont pas pertinentes;</w:t>
      </w:r>
    </w:p>
    <w:p w14:paraId="78BF85D4" w14:textId="39CBD319" w:rsidR="00687A9D" w:rsidRPr="00B63BD5" w:rsidRDefault="00921CC3" w:rsidP="00AF7C93">
      <w:pPr>
        <w:pStyle w:val="ListParagraph"/>
        <w:numPr>
          <w:ilvl w:val="2"/>
          <w:numId w:val="12"/>
        </w:numPr>
        <w:ind w:left="567" w:hanging="284"/>
        <w:jc w:val="both"/>
        <w:rPr>
          <w:b/>
          <w:szCs w:val="20"/>
          <w:lang w:val="fr-CA"/>
        </w:rPr>
      </w:pPr>
      <w:r w:rsidRPr="00B63BD5">
        <w:rPr>
          <w:b/>
          <w:szCs w:val="20"/>
          <w:lang w:val="fr-CA"/>
        </w:rPr>
        <w:t>la présente page d</w:t>
      </w:r>
      <w:r w:rsidR="00564B0C" w:rsidRPr="00B63BD5">
        <w:rPr>
          <w:b/>
          <w:szCs w:val="20"/>
          <w:lang w:val="fr-CA"/>
        </w:rPr>
        <w:t>’</w:t>
      </w:r>
      <w:r w:rsidRPr="00B63BD5">
        <w:rPr>
          <w:b/>
          <w:szCs w:val="20"/>
          <w:lang w:val="fr-CA"/>
        </w:rPr>
        <w:t>instructions</w:t>
      </w:r>
      <w:r w:rsidR="002B61C6" w:rsidRPr="00B63BD5">
        <w:rPr>
          <w:b/>
          <w:szCs w:val="20"/>
          <w:lang w:val="fr-CA"/>
        </w:rPr>
        <w:t>.</w:t>
      </w:r>
    </w:p>
    <w:p w14:paraId="667E0D26" w14:textId="4280A52C" w:rsidR="00687A9D" w:rsidRPr="00B63BD5" w:rsidRDefault="00880E83" w:rsidP="00632863">
      <w:pPr>
        <w:ind w:left="567"/>
        <w:jc w:val="both"/>
        <w:rPr>
          <w:rStyle w:val="DocID"/>
          <w:b/>
          <w:i/>
          <w:color w:val="auto"/>
          <w:sz w:val="20"/>
          <w:lang w:val="fr-CA"/>
        </w:rPr>
      </w:pPr>
      <w:r w:rsidRPr="00B63BD5">
        <w:rPr>
          <w:rStyle w:val="DocID"/>
          <w:b/>
          <w:i/>
          <w:color w:val="auto"/>
          <w:sz w:val="20"/>
          <w:u w:val="single"/>
          <w:lang w:val="fr-CA"/>
        </w:rPr>
        <w:t>Astuce</w:t>
      </w:r>
      <w:r w:rsidR="00AC4107" w:rsidRPr="00B63BD5">
        <w:rPr>
          <w:rStyle w:val="DocID"/>
          <w:b/>
          <w:i/>
          <w:color w:val="auto"/>
          <w:sz w:val="20"/>
          <w:lang w:val="fr-CA"/>
        </w:rPr>
        <w:t xml:space="preserve"> </w:t>
      </w:r>
      <w:r w:rsidRPr="00B63BD5">
        <w:rPr>
          <w:rStyle w:val="DocID"/>
          <w:b/>
          <w:i/>
          <w:color w:val="auto"/>
          <w:sz w:val="20"/>
          <w:lang w:val="fr-CA"/>
        </w:rPr>
        <w:t>:</w:t>
      </w:r>
      <w:r w:rsidR="00687A9D" w:rsidRPr="00B63BD5">
        <w:rPr>
          <w:rStyle w:val="DocID"/>
          <w:b/>
          <w:i/>
          <w:color w:val="auto"/>
          <w:sz w:val="20"/>
          <w:lang w:val="fr-CA"/>
        </w:rPr>
        <w:t xml:space="preserve"> </w:t>
      </w:r>
      <w:r w:rsidRPr="00B63BD5">
        <w:rPr>
          <w:rStyle w:val="DocID"/>
          <w:b/>
          <w:i/>
          <w:color w:val="auto"/>
          <w:sz w:val="20"/>
          <w:lang w:val="fr-CA"/>
        </w:rPr>
        <w:t>Utiliser la fonction de recherche [</w:t>
      </w:r>
      <w:r w:rsidR="002B61C6" w:rsidRPr="00B63BD5">
        <w:rPr>
          <w:rStyle w:val="DocID"/>
          <w:b/>
          <w:i/>
          <w:color w:val="auto"/>
          <w:sz w:val="20"/>
          <w:lang w:val="fr-CA"/>
        </w:rPr>
        <w:t>contrôle</w:t>
      </w:r>
      <w:r w:rsidR="00687A9D" w:rsidRPr="00B63BD5">
        <w:rPr>
          <w:rStyle w:val="DocID"/>
          <w:b/>
          <w:i/>
          <w:color w:val="auto"/>
          <w:sz w:val="20"/>
          <w:lang w:val="fr-CA"/>
        </w:rPr>
        <w:t xml:space="preserve"> f] </w:t>
      </w:r>
      <w:r w:rsidRPr="00B63BD5">
        <w:rPr>
          <w:rStyle w:val="DocID"/>
          <w:b/>
          <w:i/>
          <w:color w:val="auto"/>
          <w:sz w:val="20"/>
          <w:lang w:val="fr-CA"/>
        </w:rPr>
        <w:t>pour rechercher les crochets</w:t>
      </w:r>
      <w:r w:rsidR="00564B0C" w:rsidRPr="00B63BD5">
        <w:rPr>
          <w:rStyle w:val="DocID"/>
          <w:b/>
          <w:i/>
          <w:color w:val="auto"/>
          <w:sz w:val="20"/>
          <w:lang w:val="fr-CA"/>
        </w:rPr>
        <w:t xml:space="preserve"> </w:t>
      </w:r>
      <w:r w:rsidRPr="00B63BD5">
        <w:rPr>
          <w:rStyle w:val="DocID"/>
          <w:b/>
          <w:i/>
          <w:color w:val="auto"/>
          <w:sz w:val="20"/>
          <w:lang w:val="fr-CA"/>
        </w:rPr>
        <w:t>et</w:t>
      </w:r>
      <w:r w:rsidR="007B44C4" w:rsidRPr="00B63BD5">
        <w:rPr>
          <w:rStyle w:val="DocID"/>
          <w:b/>
          <w:i/>
          <w:color w:val="auto"/>
          <w:sz w:val="20"/>
          <w:lang w:val="fr-CA"/>
        </w:rPr>
        <w:t> </w:t>
      </w:r>
      <w:r w:rsidRPr="00B63BD5">
        <w:rPr>
          <w:rStyle w:val="DocID"/>
          <w:b/>
          <w:i/>
          <w:color w:val="auto"/>
          <w:sz w:val="20"/>
          <w:lang w:val="fr-CA"/>
        </w:rPr>
        <w:t>les</w:t>
      </w:r>
      <w:r w:rsidR="007B44C4" w:rsidRPr="00B63BD5">
        <w:rPr>
          <w:rStyle w:val="DocID"/>
          <w:b/>
          <w:i/>
          <w:color w:val="auto"/>
          <w:sz w:val="20"/>
          <w:lang w:val="fr-CA"/>
        </w:rPr>
        <w:t> </w:t>
      </w:r>
      <w:r w:rsidRPr="00B63BD5">
        <w:rPr>
          <w:rStyle w:val="DocID"/>
          <w:b/>
          <w:i/>
          <w:color w:val="auto"/>
          <w:sz w:val="20"/>
          <w:lang w:val="fr-CA"/>
        </w:rPr>
        <w:t>pastilles</w:t>
      </w:r>
      <w:r w:rsidR="007B44C4" w:rsidRPr="00B63BD5">
        <w:rPr>
          <w:rStyle w:val="DocID"/>
          <w:b/>
          <w:i/>
          <w:color w:val="auto"/>
          <w:sz w:val="20"/>
          <w:lang w:val="fr-CA"/>
        </w:rPr>
        <w:t xml:space="preserve"> </w:t>
      </w:r>
      <w:r w:rsidRPr="00B63BD5">
        <w:rPr>
          <w:rStyle w:val="DocID"/>
          <w:b/>
          <w:i/>
          <w:color w:val="auto"/>
          <w:sz w:val="20"/>
          <w:lang w:val="fr-CA"/>
        </w:rPr>
        <w:t>afin de trouver le texte à remplacer ou à supprimer</w:t>
      </w:r>
      <w:r w:rsidR="00687A9D" w:rsidRPr="00B63BD5">
        <w:rPr>
          <w:rStyle w:val="DocID"/>
          <w:b/>
          <w:i/>
          <w:color w:val="auto"/>
          <w:sz w:val="20"/>
          <w:lang w:val="fr-CA"/>
        </w:rPr>
        <w:t>.</w:t>
      </w:r>
    </w:p>
    <w:p w14:paraId="0CCB63D1" w14:textId="7A56B4B4" w:rsidR="00687A9D" w:rsidRPr="00B63BD5" w:rsidRDefault="00687A9D" w:rsidP="00AF7C93">
      <w:pPr>
        <w:pStyle w:val="ListParagraph"/>
        <w:numPr>
          <w:ilvl w:val="0"/>
          <w:numId w:val="11"/>
        </w:numPr>
        <w:ind w:left="284" w:hanging="284"/>
        <w:jc w:val="both"/>
        <w:rPr>
          <w:szCs w:val="20"/>
          <w:lang w:val="fr-CA"/>
        </w:rPr>
      </w:pPr>
      <w:r w:rsidRPr="00B63BD5">
        <w:rPr>
          <w:szCs w:val="20"/>
          <w:lang w:val="fr-CA"/>
        </w:rPr>
        <w:t>U</w:t>
      </w:r>
      <w:r w:rsidR="00880E83" w:rsidRPr="00B63BD5">
        <w:rPr>
          <w:szCs w:val="20"/>
          <w:lang w:val="fr-CA"/>
        </w:rPr>
        <w:t xml:space="preserve">tiliser le nom propre de </w:t>
      </w:r>
      <w:r w:rsidR="00880E83" w:rsidRPr="00B63BD5">
        <w:rPr>
          <w:szCs w:val="20"/>
          <w:u w:val="single"/>
          <w:lang w:val="fr-CA"/>
        </w:rPr>
        <w:t>tous</w:t>
      </w:r>
      <w:r w:rsidR="00880E83" w:rsidRPr="00B63BD5">
        <w:rPr>
          <w:szCs w:val="20"/>
          <w:lang w:val="fr-CA"/>
        </w:rPr>
        <w:t xml:space="preserve"> les </w:t>
      </w:r>
      <w:r w:rsidR="00193322" w:rsidRPr="00B63BD5">
        <w:rPr>
          <w:szCs w:val="20"/>
          <w:lang w:val="fr-CA"/>
        </w:rPr>
        <w:t>e</w:t>
      </w:r>
      <w:r w:rsidR="00880E83" w:rsidRPr="00B63BD5">
        <w:rPr>
          <w:szCs w:val="20"/>
          <w:lang w:val="fr-CA"/>
        </w:rPr>
        <w:t xml:space="preserve">mprunteurs et </w:t>
      </w:r>
      <w:r w:rsidR="00193322" w:rsidRPr="00B63BD5">
        <w:rPr>
          <w:szCs w:val="20"/>
          <w:lang w:val="fr-CA"/>
        </w:rPr>
        <w:t>g</w:t>
      </w:r>
      <w:r w:rsidR="00880E83" w:rsidRPr="00B63BD5">
        <w:rPr>
          <w:szCs w:val="20"/>
          <w:lang w:val="fr-CA"/>
        </w:rPr>
        <w:t>arants</w:t>
      </w:r>
      <w:r w:rsidR="002B61C6" w:rsidRPr="00B63BD5">
        <w:rPr>
          <w:szCs w:val="20"/>
          <w:lang w:val="fr-CA"/>
        </w:rPr>
        <w:t>. L</w:t>
      </w:r>
      <w:r w:rsidR="00880E83" w:rsidRPr="00B63BD5">
        <w:rPr>
          <w:szCs w:val="20"/>
          <w:lang w:val="fr-CA"/>
        </w:rPr>
        <w:t>es dénominations sociales sont requises, mais les noms commerciaux sont facultatifs.</w:t>
      </w:r>
    </w:p>
    <w:p w14:paraId="15A255F2" w14:textId="3151BE7E" w:rsidR="00687A9D" w:rsidRPr="00B63BD5" w:rsidRDefault="00AB6CD3" w:rsidP="00AF7C93">
      <w:pPr>
        <w:pStyle w:val="ListParagraph"/>
        <w:numPr>
          <w:ilvl w:val="0"/>
          <w:numId w:val="11"/>
        </w:numPr>
        <w:ind w:left="284" w:hanging="284"/>
        <w:jc w:val="both"/>
        <w:rPr>
          <w:szCs w:val="20"/>
          <w:lang w:val="fr-CA"/>
        </w:rPr>
      </w:pPr>
      <w:r w:rsidRPr="00B63BD5">
        <w:rPr>
          <w:szCs w:val="20"/>
          <w:lang w:val="fr-CA"/>
        </w:rPr>
        <w:t>I</w:t>
      </w:r>
      <w:r w:rsidR="006B2C69" w:rsidRPr="00B63BD5">
        <w:rPr>
          <w:szCs w:val="20"/>
          <w:lang w:val="fr-CA"/>
        </w:rPr>
        <w:t>m</w:t>
      </w:r>
      <w:r w:rsidRPr="00B63BD5">
        <w:rPr>
          <w:szCs w:val="20"/>
          <w:lang w:val="fr-CA"/>
        </w:rPr>
        <w:t>primer sur du papier à en</w:t>
      </w:r>
      <w:r w:rsidRPr="00B63BD5">
        <w:rPr>
          <w:szCs w:val="20"/>
          <w:lang w:val="fr-CA"/>
        </w:rPr>
        <w:noBreakHyphen/>
        <w:t xml:space="preserve">tête </w:t>
      </w:r>
      <w:r w:rsidR="00687A9D" w:rsidRPr="00B63BD5">
        <w:rPr>
          <w:szCs w:val="20"/>
          <w:lang w:val="fr-CA"/>
        </w:rPr>
        <w:t xml:space="preserve">HSBC </w:t>
      </w:r>
      <w:r w:rsidRPr="00B63BD5">
        <w:rPr>
          <w:szCs w:val="20"/>
          <w:lang w:val="fr-CA"/>
        </w:rPr>
        <w:t>et dans le format requis par HSBC</w:t>
      </w:r>
      <w:r w:rsidR="00A4330C" w:rsidRPr="00B63BD5">
        <w:rPr>
          <w:szCs w:val="20"/>
          <w:lang w:val="fr-CA"/>
        </w:rPr>
        <w:t>, s</w:t>
      </w:r>
      <w:r w:rsidR="00564B0C" w:rsidRPr="00B63BD5">
        <w:rPr>
          <w:szCs w:val="20"/>
          <w:lang w:val="fr-CA"/>
        </w:rPr>
        <w:t>’</w:t>
      </w:r>
      <w:r w:rsidRPr="00B63BD5">
        <w:rPr>
          <w:szCs w:val="20"/>
          <w:lang w:val="fr-CA"/>
        </w:rPr>
        <w:t>assurer que le caractère utilisé dans la Lettre relative aux facilités est uniforme, que les marges sont appropriées et</w:t>
      </w:r>
      <w:r w:rsidR="007B44C4" w:rsidRPr="00B63BD5">
        <w:rPr>
          <w:szCs w:val="20"/>
          <w:lang w:val="fr-CA"/>
        </w:rPr>
        <w:t> </w:t>
      </w:r>
      <w:r w:rsidRPr="00B63BD5">
        <w:rPr>
          <w:szCs w:val="20"/>
          <w:lang w:val="fr-CA"/>
        </w:rPr>
        <w:t>que</w:t>
      </w:r>
      <w:r w:rsidR="007B44C4" w:rsidRPr="00B63BD5">
        <w:rPr>
          <w:szCs w:val="20"/>
          <w:lang w:val="fr-CA"/>
        </w:rPr>
        <w:t> </w:t>
      </w:r>
      <w:r w:rsidRPr="00B63BD5">
        <w:rPr>
          <w:szCs w:val="20"/>
          <w:lang w:val="fr-CA"/>
        </w:rPr>
        <w:t>la</w:t>
      </w:r>
      <w:r w:rsidR="007B44C4" w:rsidRPr="00B63BD5">
        <w:rPr>
          <w:szCs w:val="20"/>
          <w:lang w:val="fr-CA"/>
        </w:rPr>
        <w:t> </w:t>
      </w:r>
      <w:r w:rsidR="002B61C6" w:rsidRPr="00B63BD5">
        <w:rPr>
          <w:szCs w:val="20"/>
          <w:lang w:val="fr-CA"/>
        </w:rPr>
        <w:t>présentation</w:t>
      </w:r>
      <w:r w:rsidRPr="00B63BD5">
        <w:rPr>
          <w:szCs w:val="20"/>
          <w:lang w:val="fr-CA"/>
        </w:rPr>
        <w:t xml:space="preserve"> </w:t>
      </w:r>
      <w:r w:rsidR="00A4330C" w:rsidRPr="00B63BD5">
        <w:rPr>
          <w:szCs w:val="20"/>
          <w:lang w:val="fr-CA"/>
        </w:rPr>
        <w:t xml:space="preserve">est </w:t>
      </w:r>
      <w:r w:rsidRPr="00B63BD5">
        <w:rPr>
          <w:szCs w:val="20"/>
          <w:lang w:val="fr-CA"/>
        </w:rPr>
        <w:t>professionnelle</w:t>
      </w:r>
      <w:r w:rsidR="00687A9D" w:rsidRPr="00B63BD5">
        <w:rPr>
          <w:szCs w:val="20"/>
          <w:lang w:val="fr-CA"/>
        </w:rPr>
        <w:t>.</w:t>
      </w:r>
    </w:p>
    <w:p w14:paraId="5DDFB104" w14:textId="174823CE" w:rsidR="00FB49F9" w:rsidRDefault="00F62CD0" w:rsidP="00AF7C93">
      <w:pPr>
        <w:pStyle w:val="ListParagraph"/>
        <w:numPr>
          <w:ilvl w:val="0"/>
          <w:numId w:val="11"/>
        </w:numPr>
        <w:ind w:left="284" w:hanging="284"/>
        <w:jc w:val="both"/>
        <w:rPr>
          <w:szCs w:val="20"/>
          <w:lang w:val="fr-CA"/>
        </w:rPr>
      </w:pPr>
      <w:r w:rsidRPr="00B63BD5">
        <w:rPr>
          <w:spacing w:val="-2"/>
          <w:szCs w:val="20"/>
          <w:lang w:val="fr-CA"/>
        </w:rPr>
        <w:t>Afin de vous conformer à la section</w:t>
      </w:r>
      <w:r w:rsidR="00B056F9" w:rsidRPr="00B63BD5">
        <w:rPr>
          <w:spacing w:val="-2"/>
          <w:szCs w:val="20"/>
          <w:lang w:val="fr-CA"/>
        </w:rPr>
        <w:t> </w:t>
      </w:r>
      <w:r w:rsidRPr="00B63BD5">
        <w:rPr>
          <w:spacing w:val="-2"/>
          <w:szCs w:val="20"/>
          <w:lang w:val="fr-CA"/>
        </w:rPr>
        <w:t>9.2.0 du manuel sur le crédit de gros, veuillez vous assurer d</w:t>
      </w:r>
      <w:r w:rsidR="00564B0C" w:rsidRPr="00B63BD5">
        <w:rPr>
          <w:spacing w:val="-2"/>
          <w:szCs w:val="20"/>
          <w:lang w:val="fr-CA"/>
        </w:rPr>
        <w:t>’</w:t>
      </w:r>
      <w:r w:rsidRPr="00B63BD5">
        <w:rPr>
          <w:spacing w:val="-2"/>
          <w:szCs w:val="20"/>
          <w:lang w:val="fr-CA"/>
        </w:rPr>
        <w:t>avoir</w:t>
      </w:r>
      <w:r w:rsidR="007B44C4" w:rsidRPr="00B63BD5">
        <w:rPr>
          <w:szCs w:val="20"/>
          <w:lang w:val="fr-CA"/>
        </w:rPr>
        <w:t> </w:t>
      </w:r>
      <w:r w:rsidRPr="00B63BD5">
        <w:rPr>
          <w:szCs w:val="20"/>
          <w:lang w:val="fr-CA"/>
        </w:rPr>
        <w:t>reçu l</w:t>
      </w:r>
      <w:r w:rsidR="00564B0C" w:rsidRPr="00B63BD5">
        <w:rPr>
          <w:szCs w:val="20"/>
          <w:lang w:val="fr-CA"/>
        </w:rPr>
        <w:t>’</w:t>
      </w:r>
      <w:r w:rsidRPr="00B63BD5">
        <w:rPr>
          <w:szCs w:val="20"/>
          <w:lang w:val="fr-CA"/>
        </w:rPr>
        <w:t xml:space="preserve">acceptation du client </w:t>
      </w:r>
      <w:r w:rsidR="00757090" w:rsidRPr="00B63BD5">
        <w:rPr>
          <w:szCs w:val="20"/>
          <w:lang w:val="fr-CA"/>
        </w:rPr>
        <w:t>dans un délai de 90</w:t>
      </w:r>
      <w:r w:rsidR="006441CA" w:rsidRPr="00B63BD5">
        <w:rPr>
          <w:szCs w:val="20"/>
          <w:lang w:val="fr-CA"/>
        </w:rPr>
        <w:t> </w:t>
      </w:r>
      <w:r w:rsidR="00757090" w:rsidRPr="00B63BD5">
        <w:rPr>
          <w:szCs w:val="20"/>
          <w:lang w:val="fr-CA"/>
        </w:rPr>
        <w:t xml:space="preserve">jours </w:t>
      </w:r>
      <w:r w:rsidR="00C97211" w:rsidRPr="00B63BD5">
        <w:rPr>
          <w:szCs w:val="20"/>
          <w:lang w:val="fr-CA"/>
        </w:rPr>
        <w:t>suivant</w:t>
      </w:r>
      <w:r w:rsidR="00757090" w:rsidRPr="00B63BD5">
        <w:rPr>
          <w:szCs w:val="20"/>
          <w:lang w:val="fr-CA"/>
        </w:rPr>
        <w:t xml:space="preserve"> l</w:t>
      </w:r>
      <w:r w:rsidR="00564B0C" w:rsidRPr="00B63BD5">
        <w:rPr>
          <w:szCs w:val="20"/>
          <w:lang w:val="fr-CA"/>
        </w:rPr>
        <w:t>’</w:t>
      </w:r>
      <w:r w:rsidR="00757090" w:rsidRPr="00B63BD5">
        <w:rPr>
          <w:szCs w:val="20"/>
          <w:lang w:val="fr-CA"/>
        </w:rPr>
        <w:t>approbation du crédit.</w:t>
      </w:r>
    </w:p>
    <w:p w14:paraId="62028F81" w14:textId="78F20C61" w:rsidR="00C97211" w:rsidRPr="00FB49F9" w:rsidRDefault="00FB49F9" w:rsidP="00FB49F9">
      <w:pPr>
        <w:rPr>
          <w:lang w:val="fr-CA"/>
        </w:rPr>
      </w:pPr>
      <w:r>
        <w:rPr>
          <w:lang w:val="fr-CA"/>
        </w:rPr>
        <w:br w:type="page"/>
      </w:r>
    </w:p>
    <w:p w14:paraId="7DCC3395" w14:textId="3C29C3D4" w:rsidR="00632863" w:rsidRDefault="00757090" w:rsidP="00AF7C93">
      <w:pPr>
        <w:pStyle w:val="ListParagraph"/>
        <w:numPr>
          <w:ilvl w:val="0"/>
          <w:numId w:val="11"/>
        </w:numPr>
        <w:ind w:left="284" w:hanging="284"/>
        <w:jc w:val="both"/>
        <w:rPr>
          <w:szCs w:val="20"/>
          <w:lang w:val="fr-CA"/>
        </w:rPr>
      </w:pPr>
      <w:r w:rsidRPr="00B63BD5">
        <w:rPr>
          <w:szCs w:val="20"/>
          <w:lang w:val="fr-CA"/>
        </w:rPr>
        <w:lastRenderedPageBreak/>
        <w:t>Si un emprunteur ou un garant est une société de personnes (que ce soit une société en commandite ou une société en nom collectif), veuillez présenter les signatures comme suit</w:t>
      </w:r>
      <w:r w:rsidR="00AC4107" w:rsidRPr="00B63BD5">
        <w:rPr>
          <w:szCs w:val="20"/>
          <w:lang w:val="fr-CA"/>
        </w:rPr>
        <w:t xml:space="preserve"> </w:t>
      </w:r>
      <w:r w:rsidRPr="00B63BD5">
        <w:rPr>
          <w:szCs w:val="20"/>
          <w:lang w:val="fr-CA"/>
        </w:rPr>
        <w:t>:</w:t>
      </w:r>
    </w:p>
    <w:p w14:paraId="294A6F90" w14:textId="77777777" w:rsidR="00FB49F9" w:rsidRPr="00B63BD5" w:rsidRDefault="00FB49F9" w:rsidP="00FB49F9">
      <w:pPr>
        <w:pStyle w:val="ListParagraph"/>
        <w:ind w:left="284"/>
        <w:jc w:val="both"/>
        <w:rPr>
          <w:szCs w:val="20"/>
          <w:lang w:val="fr-CA"/>
        </w:rPr>
      </w:pPr>
    </w:p>
    <w:tbl>
      <w:tblPr>
        <w:tblStyle w:val="TableGrid"/>
        <w:tblW w:w="9668" w:type="dxa"/>
        <w:tblInd w:w="108" w:type="dxa"/>
        <w:tblLook w:val="04A0" w:firstRow="1" w:lastRow="0" w:firstColumn="1" w:lastColumn="0" w:noHBand="0" w:noVBand="1"/>
      </w:tblPr>
      <w:tblGrid>
        <w:gridCol w:w="5841"/>
        <w:gridCol w:w="3827"/>
      </w:tblGrid>
      <w:tr w:rsidR="00632863" w:rsidRPr="002C047F" w14:paraId="5D6E7475" w14:textId="77777777" w:rsidTr="00632863">
        <w:trPr>
          <w:trHeight w:val="2551"/>
        </w:trPr>
        <w:tc>
          <w:tcPr>
            <w:tcW w:w="5841" w:type="dxa"/>
          </w:tcPr>
          <w:p w14:paraId="4529B897" w14:textId="77777777" w:rsidR="00632863" w:rsidRPr="00B63BD5" w:rsidRDefault="00632863" w:rsidP="00632863">
            <w:pPr>
              <w:jc w:val="both"/>
              <w:rPr>
                <w:b/>
                <w:sz w:val="18"/>
                <w:u w:val="single"/>
                <w:lang w:val="fr-CA"/>
              </w:rPr>
            </w:pPr>
            <w:r w:rsidRPr="00B63BD5">
              <w:rPr>
                <w:b/>
                <w:sz w:val="18"/>
                <w:u w:val="single"/>
                <w:lang w:val="fr-CA"/>
              </w:rPr>
              <w:t>Société en nom collectif</w:t>
            </w:r>
          </w:p>
          <w:p w14:paraId="6C9B40B6" w14:textId="77777777" w:rsidR="00632863" w:rsidRPr="00B63BD5" w:rsidRDefault="00632863" w:rsidP="00632863">
            <w:pPr>
              <w:jc w:val="both"/>
              <w:rPr>
                <w:sz w:val="18"/>
                <w:lang w:val="fr-CA"/>
              </w:rPr>
            </w:pPr>
            <w:r w:rsidRPr="00B63BD5">
              <w:rPr>
                <w:sz w:val="18"/>
                <w:lang w:val="fr-CA"/>
              </w:rPr>
              <w:t>Nommez chaque associé, suivi du nom de la société de personnes, comme suit :</w:t>
            </w:r>
          </w:p>
          <w:p w14:paraId="1B0E6760" w14:textId="77777777" w:rsidR="00632863" w:rsidRPr="00B63BD5" w:rsidRDefault="00632863" w:rsidP="00632863">
            <w:pPr>
              <w:keepNext/>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18"/>
                <w:lang w:val="fr-CA"/>
              </w:rPr>
            </w:pPr>
            <w:r w:rsidRPr="00B63BD5">
              <w:rPr>
                <w:b/>
                <w:sz w:val="18"/>
                <w:lang w:val="fr-CA"/>
              </w:rPr>
              <w:t>[nom de l’associé] et [nom de l’associé], exerçant leurs activités dans le cadre d’une société de personnes sous la dénomination [nom de la société de personnes],</w:t>
            </w:r>
          </w:p>
          <w:p w14:paraId="12A09F07" w14:textId="77777777" w:rsidR="00632863" w:rsidRPr="00B63BD5" w:rsidRDefault="00632863" w:rsidP="00632863">
            <w:pPr>
              <w:keepNext/>
              <w:tabs>
                <w:tab w:val="left" w:pos="0"/>
                <w:tab w:val="right" w:pos="4803"/>
                <w:tab w:val="left" w:pos="5760"/>
                <w:tab w:val="left" w:pos="6480"/>
                <w:tab w:val="left" w:pos="7200"/>
                <w:tab w:val="left" w:pos="7920"/>
                <w:tab w:val="left" w:pos="8640"/>
                <w:tab w:val="left" w:pos="9360"/>
              </w:tabs>
              <w:jc w:val="both"/>
              <w:outlineLvl w:val="0"/>
              <w:rPr>
                <w:sz w:val="18"/>
                <w:u w:val="single"/>
                <w:lang w:val="fr-CA"/>
              </w:rPr>
            </w:pPr>
            <w:r w:rsidRPr="00B63BD5">
              <w:rPr>
                <w:sz w:val="18"/>
                <w:lang w:val="fr-CA"/>
              </w:rPr>
              <w:t xml:space="preserve">Par : </w:t>
            </w:r>
            <w:r w:rsidRPr="00B63BD5">
              <w:rPr>
                <w:sz w:val="18"/>
                <w:u w:val="single"/>
                <w:lang w:val="fr-CA"/>
              </w:rPr>
              <w:tab/>
            </w:r>
          </w:p>
          <w:p w14:paraId="37017828" w14:textId="77777777" w:rsidR="00632863" w:rsidRPr="00B63BD5" w:rsidRDefault="00632863" w:rsidP="00632863">
            <w:pPr>
              <w:keepNext/>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lang w:val="fr-CA"/>
              </w:rPr>
            </w:pPr>
            <w:r w:rsidRPr="00B63BD5">
              <w:rPr>
                <w:sz w:val="18"/>
                <w:lang w:val="fr-CA"/>
              </w:rPr>
              <w:t>Nom :</w:t>
            </w:r>
            <w:r w:rsidRPr="00B63BD5">
              <w:rPr>
                <w:sz w:val="18"/>
                <w:lang w:val="fr-CA"/>
              </w:rPr>
              <w:br/>
            </w:r>
            <w:r w:rsidRPr="00B63BD5">
              <w:rPr>
                <w:sz w:val="18"/>
                <w:lang w:val="fr-CA"/>
              </w:rPr>
              <w:tab/>
              <w:t>Titre :</w:t>
            </w:r>
          </w:p>
          <w:p w14:paraId="4E6B5B3D" w14:textId="77777777" w:rsidR="00632863" w:rsidRPr="00B63BD5" w:rsidRDefault="00632863" w:rsidP="00632863">
            <w:pPr>
              <w:keepNext/>
              <w:tabs>
                <w:tab w:val="left" w:pos="0"/>
                <w:tab w:val="right" w:pos="4803"/>
                <w:tab w:val="left" w:pos="5760"/>
                <w:tab w:val="left" w:pos="6480"/>
                <w:tab w:val="left" w:pos="7200"/>
                <w:tab w:val="left" w:pos="7920"/>
                <w:tab w:val="left" w:pos="8640"/>
                <w:tab w:val="left" w:pos="9360"/>
              </w:tabs>
              <w:jc w:val="both"/>
              <w:outlineLvl w:val="0"/>
              <w:rPr>
                <w:sz w:val="18"/>
                <w:u w:val="single"/>
                <w:lang w:val="fr-CA"/>
              </w:rPr>
            </w:pPr>
            <w:r w:rsidRPr="00B63BD5">
              <w:rPr>
                <w:sz w:val="18"/>
                <w:lang w:val="fr-CA"/>
              </w:rPr>
              <w:t xml:space="preserve">Par : </w:t>
            </w:r>
            <w:r w:rsidRPr="00B63BD5">
              <w:rPr>
                <w:sz w:val="18"/>
                <w:u w:val="single"/>
                <w:lang w:val="fr-CA"/>
              </w:rPr>
              <w:tab/>
            </w:r>
          </w:p>
          <w:p w14:paraId="079822A8" w14:textId="77777777" w:rsidR="00632863" w:rsidRPr="00B63BD5" w:rsidRDefault="00632863" w:rsidP="00632863">
            <w:pPr>
              <w:keepNext/>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lang w:val="fr-CA"/>
              </w:rPr>
            </w:pPr>
            <w:r w:rsidRPr="00B63BD5">
              <w:rPr>
                <w:sz w:val="18"/>
                <w:lang w:val="fr-CA"/>
              </w:rPr>
              <w:t>Nom :</w:t>
            </w:r>
            <w:r w:rsidRPr="00B63BD5">
              <w:rPr>
                <w:sz w:val="18"/>
                <w:lang w:val="fr-CA"/>
              </w:rPr>
              <w:br/>
            </w:r>
            <w:r w:rsidRPr="00B63BD5">
              <w:rPr>
                <w:sz w:val="18"/>
                <w:lang w:val="fr-CA"/>
              </w:rPr>
              <w:tab/>
              <w:t>Titre :</w:t>
            </w:r>
          </w:p>
        </w:tc>
        <w:tc>
          <w:tcPr>
            <w:tcW w:w="3827" w:type="dxa"/>
          </w:tcPr>
          <w:p w14:paraId="7276454B" w14:textId="77777777" w:rsidR="00632863" w:rsidRPr="00B63BD5" w:rsidRDefault="00632863" w:rsidP="00632863">
            <w:pPr>
              <w:jc w:val="both"/>
              <w:rPr>
                <w:rStyle w:val="DocID"/>
                <w:b/>
                <w:color w:val="auto"/>
                <w:sz w:val="18"/>
                <w:u w:val="single"/>
                <w:lang w:val="fr-CA"/>
              </w:rPr>
            </w:pPr>
            <w:r w:rsidRPr="00B63BD5">
              <w:rPr>
                <w:b/>
                <w:sz w:val="18"/>
                <w:u w:val="single"/>
                <w:lang w:val="fr-CA"/>
              </w:rPr>
              <w:t>Société en commandite</w:t>
            </w:r>
          </w:p>
          <w:p w14:paraId="3E4D4C47" w14:textId="77777777" w:rsidR="00632863" w:rsidRPr="00B63BD5" w:rsidRDefault="00632863" w:rsidP="00632863">
            <w:pPr>
              <w:keepNext/>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18"/>
                <w:lang w:val="fr-CA"/>
              </w:rPr>
            </w:pPr>
          </w:p>
          <w:p w14:paraId="3674075A" w14:textId="77777777" w:rsidR="00632863" w:rsidRPr="00B63BD5" w:rsidRDefault="00632863" w:rsidP="00632863">
            <w:pPr>
              <w:keepNext/>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18"/>
                <w:lang w:val="fr-CA"/>
              </w:rPr>
            </w:pPr>
          </w:p>
          <w:p w14:paraId="1C4ACD15" w14:textId="77777777" w:rsidR="00632863" w:rsidRPr="00B63BD5" w:rsidRDefault="00632863" w:rsidP="00632863">
            <w:pPr>
              <w:keepNext/>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18"/>
                <w:lang w:val="fr-CA"/>
              </w:rPr>
            </w:pPr>
            <w:r w:rsidRPr="00B63BD5">
              <w:rPr>
                <w:b/>
                <w:sz w:val="18"/>
                <w:lang w:val="fr-CA"/>
              </w:rPr>
              <w:t>[nom de la société en commandite], par son commandité, [nom du commandité],</w:t>
            </w:r>
          </w:p>
          <w:p w14:paraId="7CAA59BE" w14:textId="77777777" w:rsidR="00632863" w:rsidRPr="00B63BD5" w:rsidRDefault="00632863" w:rsidP="00632863">
            <w:pPr>
              <w:keepNext/>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lang w:val="fr-CA"/>
              </w:rPr>
            </w:pPr>
          </w:p>
          <w:p w14:paraId="2E41DA4A" w14:textId="77777777" w:rsidR="00632863" w:rsidRPr="00B63BD5" w:rsidRDefault="00632863" w:rsidP="00632863">
            <w:pPr>
              <w:keepNext/>
              <w:tabs>
                <w:tab w:val="left" w:pos="0"/>
                <w:tab w:val="right" w:pos="3993"/>
                <w:tab w:val="left" w:pos="5040"/>
                <w:tab w:val="left" w:pos="5760"/>
                <w:tab w:val="left" w:pos="6480"/>
                <w:tab w:val="left" w:pos="7200"/>
                <w:tab w:val="left" w:pos="7920"/>
                <w:tab w:val="left" w:pos="8640"/>
                <w:tab w:val="left" w:pos="9360"/>
              </w:tabs>
              <w:jc w:val="both"/>
              <w:outlineLvl w:val="0"/>
              <w:rPr>
                <w:sz w:val="18"/>
                <w:u w:val="single"/>
                <w:lang w:val="fr-CA"/>
              </w:rPr>
            </w:pPr>
            <w:r w:rsidRPr="00B63BD5">
              <w:rPr>
                <w:sz w:val="18"/>
                <w:lang w:val="fr-CA"/>
              </w:rPr>
              <w:t xml:space="preserve">Par : </w:t>
            </w:r>
            <w:r w:rsidRPr="00B63BD5">
              <w:rPr>
                <w:sz w:val="18"/>
                <w:u w:val="single"/>
                <w:lang w:val="fr-CA"/>
              </w:rPr>
              <w:tab/>
            </w:r>
          </w:p>
          <w:p w14:paraId="2F6023EC" w14:textId="77777777" w:rsidR="00632863" w:rsidRPr="00B63BD5" w:rsidRDefault="00632863" w:rsidP="00632863">
            <w:pPr>
              <w:keepNext/>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lang w:val="fr-CA"/>
              </w:rPr>
            </w:pPr>
            <w:r w:rsidRPr="00B63BD5">
              <w:rPr>
                <w:sz w:val="18"/>
                <w:lang w:val="fr-CA"/>
              </w:rPr>
              <w:t>Nom :</w:t>
            </w:r>
            <w:r w:rsidRPr="00B63BD5">
              <w:rPr>
                <w:sz w:val="18"/>
                <w:lang w:val="fr-CA"/>
              </w:rPr>
              <w:br/>
            </w:r>
            <w:r w:rsidRPr="00B63BD5">
              <w:rPr>
                <w:sz w:val="18"/>
                <w:lang w:val="fr-CA"/>
              </w:rPr>
              <w:tab/>
              <w:t>Titre :</w:t>
            </w:r>
          </w:p>
          <w:p w14:paraId="164EE2D0" w14:textId="77777777" w:rsidR="00632863" w:rsidRPr="00B63BD5" w:rsidRDefault="00632863" w:rsidP="00632863">
            <w:pPr>
              <w:keepNext/>
              <w:tabs>
                <w:tab w:val="left" w:pos="0"/>
                <w:tab w:val="right" w:pos="3993"/>
                <w:tab w:val="left" w:pos="5040"/>
                <w:tab w:val="left" w:pos="5760"/>
                <w:tab w:val="left" w:pos="6480"/>
                <w:tab w:val="left" w:pos="7200"/>
                <w:tab w:val="left" w:pos="7920"/>
                <w:tab w:val="left" w:pos="8640"/>
                <w:tab w:val="left" w:pos="9360"/>
              </w:tabs>
              <w:jc w:val="both"/>
              <w:outlineLvl w:val="0"/>
              <w:rPr>
                <w:sz w:val="18"/>
                <w:u w:val="single"/>
                <w:lang w:val="fr-CA"/>
              </w:rPr>
            </w:pPr>
            <w:r w:rsidRPr="00B63BD5">
              <w:rPr>
                <w:sz w:val="18"/>
                <w:lang w:val="fr-CA"/>
              </w:rPr>
              <w:t xml:space="preserve">Par : </w:t>
            </w:r>
            <w:r w:rsidRPr="00B63BD5">
              <w:rPr>
                <w:sz w:val="18"/>
                <w:u w:val="single"/>
                <w:lang w:val="fr-CA"/>
              </w:rPr>
              <w:tab/>
            </w:r>
          </w:p>
          <w:p w14:paraId="6B600360" w14:textId="77777777" w:rsidR="00632863" w:rsidRPr="00B63BD5" w:rsidRDefault="00632863" w:rsidP="00632863">
            <w:pPr>
              <w:jc w:val="both"/>
              <w:rPr>
                <w:sz w:val="18"/>
                <w:lang w:val="fr-CA"/>
              </w:rPr>
            </w:pPr>
            <w:r w:rsidRPr="00B63BD5">
              <w:rPr>
                <w:sz w:val="18"/>
                <w:lang w:val="fr-CA"/>
              </w:rPr>
              <w:t>Nom :</w:t>
            </w:r>
            <w:r w:rsidRPr="00B63BD5">
              <w:rPr>
                <w:sz w:val="18"/>
                <w:lang w:val="fr-CA"/>
              </w:rPr>
              <w:br/>
            </w:r>
            <w:r w:rsidRPr="00B63BD5">
              <w:rPr>
                <w:sz w:val="18"/>
                <w:lang w:val="fr-CA"/>
              </w:rPr>
              <w:tab/>
              <w:t>Titre :</w:t>
            </w:r>
          </w:p>
        </w:tc>
      </w:tr>
    </w:tbl>
    <w:p w14:paraId="2EB6CE35" w14:textId="717352F4" w:rsidR="00AB6CD3" w:rsidRPr="00B63BD5" w:rsidRDefault="00AB6CD3" w:rsidP="00632863">
      <w:pPr>
        <w:jc w:val="both"/>
        <w:textAlignment w:val="baseline"/>
        <w:rPr>
          <w:rStyle w:val="Prompt"/>
          <w:b/>
          <w:color w:val="auto"/>
          <w:lang w:val="fr-CA"/>
        </w:rPr>
      </w:pPr>
    </w:p>
    <w:p w14:paraId="43EFAA99" w14:textId="25FB8E80" w:rsidR="009E1F66" w:rsidRPr="00B63BD5" w:rsidRDefault="009E1F66" w:rsidP="00632863">
      <w:pPr>
        <w:jc w:val="both"/>
        <w:rPr>
          <w:lang w:val="fr-CA"/>
        </w:rPr>
      </w:pPr>
      <w:r w:rsidRPr="00B63BD5">
        <w:rPr>
          <w:b/>
          <w:u w:val="single"/>
          <w:lang w:val="fr-CA"/>
        </w:rPr>
        <w:t>FORMULAIRES À REMETTRE AU CLIENT AVEC LA LETTRE RELATIVE AUX FACILITÉS</w:t>
      </w:r>
      <w:r w:rsidR="00AC4107" w:rsidRPr="00B63BD5">
        <w:rPr>
          <w:b/>
          <w:u w:val="single"/>
          <w:lang w:val="fr-CA"/>
        </w:rPr>
        <w:t xml:space="preserve"> </w:t>
      </w:r>
      <w:r w:rsidRPr="00B63BD5">
        <w:rPr>
          <w:b/>
          <w:u w:val="single"/>
          <w:lang w:val="fr-CA"/>
        </w:rPr>
        <w:t>:</w:t>
      </w:r>
    </w:p>
    <w:p w14:paraId="5C708F6A" w14:textId="33F85A39" w:rsidR="009E1F66" w:rsidRPr="00B63BD5" w:rsidRDefault="009E1F66" w:rsidP="00AF7C93">
      <w:pPr>
        <w:pStyle w:val="ListParagraph"/>
        <w:numPr>
          <w:ilvl w:val="0"/>
          <w:numId w:val="12"/>
        </w:numPr>
        <w:ind w:left="284" w:hanging="284"/>
        <w:jc w:val="both"/>
        <w:rPr>
          <w:szCs w:val="20"/>
          <w:lang w:val="fr-CA"/>
        </w:rPr>
      </w:pPr>
      <w:r w:rsidRPr="00B63BD5">
        <w:rPr>
          <w:szCs w:val="20"/>
          <w:lang w:val="fr-CA"/>
        </w:rPr>
        <w:t>Le document intitulé «</w:t>
      </w:r>
      <w:r w:rsidR="006441CA" w:rsidRPr="00B63BD5">
        <w:rPr>
          <w:szCs w:val="20"/>
          <w:lang w:val="fr-CA"/>
        </w:rPr>
        <w:t> </w:t>
      </w:r>
      <w:r w:rsidRPr="00B63BD5">
        <w:rPr>
          <w:szCs w:val="20"/>
          <w:lang w:val="fr-CA"/>
        </w:rPr>
        <w:t>Commerce international et financement des comptes clients (Canada)</w:t>
      </w:r>
      <w:r w:rsidR="00AC4107" w:rsidRPr="00B63BD5">
        <w:rPr>
          <w:szCs w:val="20"/>
          <w:lang w:val="fr-CA"/>
        </w:rPr>
        <w:t xml:space="preserve"> </w:t>
      </w:r>
      <w:r w:rsidRPr="00B63BD5">
        <w:rPr>
          <w:szCs w:val="20"/>
          <w:lang w:val="fr-CA"/>
        </w:rPr>
        <w:t>– Barème des frais applicables</w:t>
      </w:r>
      <w:r w:rsidR="006441CA" w:rsidRPr="00B63BD5">
        <w:rPr>
          <w:szCs w:val="20"/>
          <w:lang w:val="fr-CA"/>
        </w:rPr>
        <w:t> </w:t>
      </w:r>
      <w:r w:rsidRPr="00B63BD5">
        <w:rPr>
          <w:szCs w:val="20"/>
          <w:lang w:val="fr-CA"/>
        </w:rPr>
        <w:t>» doit également être fourni aux clients avec la Lettre relative aux facilités afin de</w:t>
      </w:r>
      <w:r w:rsidR="00453387" w:rsidRPr="00B63BD5">
        <w:rPr>
          <w:szCs w:val="20"/>
          <w:lang w:val="fr-CA"/>
        </w:rPr>
        <w:t> </w:t>
      </w:r>
      <w:r w:rsidRPr="00B63BD5">
        <w:rPr>
          <w:szCs w:val="20"/>
          <w:lang w:val="fr-CA"/>
        </w:rPr>
        <w:t>les informer des frais supplémentaires qui pourraient s</w:t>
      </w:r>
      <w:r w:rsidR="00564B0C" w:rsidRPr="00B63BD5">
        <w:rPr>
          <w:szCs w:val="20"/>
          <w:lang w:val="fr-CA"/>
        </w:rPr>
        <w:t>’</w:t>
      </w:r>
      <w:r w:rsidRPr="00B63BD5">
        <w:rPr>
          <w:szCs w:val="20"/>
          <w:lang w:val="fr-CA"/>
        </w:rPr>
        <w:t>appliquer à une facilité de garantie, de</w:t>
      </w:r>
      <w:r w:rsidR="006441CA" w:rsidRPr="00B63BD5">
        <w:rPr>
          <w:szCs w:val="20"/>
          <w:lang w:val="fr-CA"/>
        </w:rPr>
        <w:t xml:space="preserve"> </w:t>
      </w:r>
      <w:r w:rsidRPr="00B63BD5">
        <w:rPr>
          <w:szCs w:val="20"/>
          <w:lang w:val="fr-CA"/>
        </w:rPr>
        <w:t>crédit</w:t>
      </w:r>
      <w:r w:rsidR="006441CA" w:rsidRPr="00B63BD5">
        <w:rPr>
          <w:szCs w:val="20"/>
          <w:lang w:val="fr-CA"/>
        </w:rPr>
        <w:t xml:space="preserve"> </w:t>
      </w:r>
      <w:r w:rsidRPr="00B63BD5">
        <w:rPr>
          <w:szCs w:val="20"/>
          <w:lang w:val="fr-CA"/>
        </w:rPr>
        <w:t>documentaire ou de crédit à l</w:t>
      </w:r>
      <w:r w:rsidR="00564B0C" w:rsidRPr="00B63BD5">
        <w:rPr>
          <w:szCs w:val="20"/>
          <w:lang w:val="fr-CA"/>
        </w:rPr>
        <w:t>’</w:t>
      </w:r>
      <w:r w:rsidRPr="00B63BD5">
        <w:rPr>
          <w:szCs w:val="20"/>
          <w:lang w:val="fr-CA"/>
        </w:rPr>
        <w:t>importation ou à l</w:t>
      </w:r>
      <w:r w:rsidR="00564B0C" w:rsidRPr="00B63BD5">
        <w:rPr>
          <w:szCs w:val="20"/>
          <w:lang w:val="fr-CA"/>
        </w:rPr>
        <w:t>’</w:t>
      </w:r>
      <w:r w:rsidRPr="00B63BD5">
        <w:rPr>
          <w:szCs w:val="20"/>
          <w:lang w:val="fr-CA"/>
        </w:rPr>
        <w:t>une des facilités décrites dans le supplément de CIFCC, s</w:t>
      </w:r>
      <w:r w:rsidR="00564B0C" w:rsidRPr="00B63BD5">
        <w:rPr>
          <w:szCs w:val="20"/>
          <w:lang w:val="fr-CA"/>
        </w:rPr>
        <w:t>’</w:t>
      </w:r>
      <w:r w:rsidRPr="00B63BD5">
        <w:rPr>
          <w:szCs w:val="20"/>
          <w:lang w:val="fr-CA"/>
        </w:rPr>
        <w:t>il y a lieu.</w:t>
      </w:r>
    </w:p>
    <w:p w14:paraId="193A45ED" w14:textId="3B3E6627" w:rsidR="009E1F66" w:rsidRPr="00B63BD5" w:rsidRDefault="009E1F66" w:rsidP="00AF7C93">
      <w:pPr>
        <w:pStyle w:val="ListParagraph"/>
        <w:numPr>
          <w:ilvl w:val="0"/>
          <w:numId w:val="12"/>
        </w:numPr>
        <w:ind w:left="284" w:hanging="284"/>
        <w:jc w:val="both"/>
        <w:rPr>
          <w:szCs w:val="20"/>
          <w:lang w:val="fr-CA"/>
        </w:rPr>
      </w:pPr>
      <w:r w:rsidRPr="00B63BD5">
        <w:rPr>
          <w:szCs w:val="20"/>
          <w:lang w:val="fr-CA"/>
        </w:rPr>
        <w:t>Veuillez noter qu</w:t>
      </w:r>
      <w:r w:rsidR="00564B0C" w:rsidRPr="00B63BD5">
        <w:rPr>
          <w:szCs w:val="20"/>
          <w:lang w:val="fr-CA"/>
        </w:rPr>
        <w:t>’</w:t>
      </w:r>
      <w:r w:rsidRPr="00B63BD5">
        <w:rPr>
          <w:szCs w:val="20"/>
          <w:lang w:val="fr-CA"/>
        </w:rPr>
        <w:t>il n</w:t>
      </w:r>
      <w:r w:rsidR="00564B0C" w:rsidRPr="00B63BD5">
        <w:rPr>
          <w:szCs w:val="20"/>
          <w:lang w:val="fr-CA"/>
        </w:rPr>
        <w:t>’</w:t>
      </w:r>
      <w:r w:rsidRPr="00B63BD5">
        <w:rPr>
          <w:szCs w:val="20"/>
          <w:lang w:val="fr-CA"/>
        </w:rPr>
        <w:t>est pas nécessaire de remplir le document intitulé «</w:t>
      </w:r>
      <w:r w:rsidR="0094743F" w:rsidRPr="00B63BD5">
        <w:rPr>
          <w:szCs w:val="20"/>
          <w:lang w:val="fr-CA"/>
        </w:rPr>
        <w:t> </w:t>
      </w:r>
      <w:r w:rsidRPr="00B63BD5">
        <w:rPr>
          <w:szCs w:val="20"/>
          <w:lang w:val="fr-CA"/>
        </w:rPr>
        <w:t>Convention de marge de crédit par découvert sur compte courant ($</w:t>
      </w:r>
      <w:r w:rsidR="006441CA" w:rsidRPr="00B63BD5">
        <w:rPr>
          <w:szCs w:val="20"/>
          <w:lang w:val="fr-CA"/>
        </w:rPr>
        <w:t> </w:t>
      </w:r>
      <w:r w:rsidRPr="00B63BD5">
        <w:rPr>
          <w:szCs w:val="20"/>
          <w:lang w:val="fr-CA"/>
        </w:rPr>
        <w:t>CA ou $</w:t>
      </w:r>
      <w:r w:rsidR="006441CA" w:rsidRPr="00B63BD5">
        <w:rPr>
          <w:szCs w:val="20"/>
          <w:lang w:val="fr-CA"/>
        </w:rPr>
        <w:t> </w:t>
      </w:r>
      <w:r w:rsidRPr="00B63BD5">
        <w:rPr>
          <w:szCs w:val="20"/>
          <w:lang w:val="fr-CA"/>
        </w:rPr>
        <w:t>US)</w:t>
      </w:r>
      <w:r w:rsidR="0094743F" w:rsidRPr="00B63BD5">
        <w:rPr>
          <w:szCs w:val="20"/>
          <w:lang w:val="fr-CA"/>
        </w:rPr>
        <w:t> </w:t>
      </w:r>
      <w:r w:rsidRPr="00B63BD5">
        <w:rPr>
          <w:szCs w:val="20"/>
          <w:lang w:val="fr-CA"/>
        </w:rPr>
        <w:t xml:space="preserve">» </w:t>
      </w:r>
      <w:r w:rsidRPr="00B63BD5">
        <w:rPr>
          <w:lang w:val="fr-CA"/>
        </w:rPr>
        <w:t>si le présen</w:t>
      </w:r>
      <w:r w:rsidR="003A2AE2" w:rsidRPr="00B63BD5">
        <w:rPr>
          <w:lang w:val="fr-CA"/>
        </w:rPr>
        <w:t>t modèle de lettre est utilisé.</w:t>
      </w:r>
    </w:p>
    <w:p w14:paraId="1F0BCE3E" w14:textId="05554B62" w:rsidR="00D56637" w:rsidRPr="00B63BD5" w:rsidRDefault="00D56637" w:rsidP="00632863">
      <w:pPr>
        <w:jc w:val="both"/>
        <w:rPr>
          <w:rStyle w:val="Prompt"/>
          <w:b/>
          <w:color w:val="auto"/>
          <w:lang w:val="fr-CA"/>
        </w:rPr>
        <w:sectPr w:rsidR="00D56637" w:rsidRPr="00B63BD5" w:rsidSect="00EC4D4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993" w:left="1440" w:header="576" w:footer="510" w:gutter="0"/>
          <w:paperSrc w:first="15" w:other="15"/>
          <w:pgNumType w:start="1"/>
          <w:cols w:space="720"/>
          <w:titlePg/>
          <w:docGrid w:linePitch="272"/>
        </w:sectPr>
      </w:pPr>
    </w:p>
    <w:p w14:paraId="652681ED" w14:textId="33DDE8D8" w:rsidR="00386170" w:rsidRPr="00B63BD5" w:rsidRDefault="00875196" w:rsidP="00632863">
      <w:pPr>
        <w:spacing w:after="240"/>
        <w:jc w:val="both"/>
        <w:textAlignment w:val="baseline"/>
        <w:rPr>
          <w:rStyle w:val="Prompt"/>
          <w:color w:val="auto"/>
          <w:lang w:val="fr-CA"/>
        </w:rPr>
      </w:pPr>
      <w:r w:rsidRPr="00B63BD5">
        <w:rPr>
          <w:noProof/>
        </w:rPr>
        <w:lastRenderedPageBreak/>
        <w:drawing>
          <wp:anchor distT="0" distB="0" distL="114300" distR="114300" simplePos="0" relativeHeight="251659264" behindDoc="1" locked="0" layoutInCell="1" allowOverlap="1" wp14:anchorId="5C80651F" wp14:editId="71924250">
            <wp:simplePos x="0" y="0"/>
            <wp:positionH relativeFrom="column">
              <wp:posOffset>-465992</wp:posOffset>
            </wp:positionH>
            <wp:positionV relativeFrom="page">
              <wp:posOffset>448408</wp:posOffset>
            </wp:positionV>
            <wp:extent cx="2312424" cy="55447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rotWithShape="1">
                    <a:blip r:embed="rId17" cstate="print">
                      <a:extLst>
                        <a:ext uri="{28A0092B-C50C-407E-A947-70E740481C1C}">
                          <a14:useLocalDpi xmlns:a14="http://schemas.microsoft.com/office/drawing/2010/main" val="0"/>
                        </a:ext>
                      </a:extLst>
                    </a:blip>
                    <a:srcRect t="26399" b="27989"/>
                    <a:stretch/>
                  </pic:blipFill>
                  <pic:spPr bwMode="auto">
                    <a:xfrm>
                      <a:off x="0" y="0"/>
                      <a:ext cx="2312424" cy="5544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216E" w:rsidRPr="00B63BD5">
        <w:rPr>
          <w:rStyle w:val="Prompt"/>
          <w:color w:val="auto"/>
          <w:lang w:val="fr-CA"/>
        </w:rPr>
        <w:tab/>
      </w:r>
    </w:p>
    <w:p w14:paraId="3308C11F" w14:textId="77777777" w:rsidR="0035559A" w:rsidRPr="00B63BD5" w:rsidRDefault="0035559A" w:rsidP="00632863">
      <w:pPr>
        <w:keepLines/>
        <w:spacing w:after="240"/>
        <w:jc w:val="both"/>
        <w:rPr>
          <w:lang w:val="fr-CA"/>
        </w:rPr>
      </w:pPr>
    </w:p>
    <w:p w14:paraId="16FBBA5A" w14:textId="4A13C1AD" w:rsidR="00914C35" w:rsidRPr="00B63BD5" w:rsidRDefault="003A2AE2" w:rsidP="00B63BD5">
      <w:pPr>
        <w:jc w:val="both"/>
        <w:rPr>
          <w:lang w:val="fr-CA"/>
        </w:rPr>
      </w:pPr>
      <w:r w:rsidRPr="00B63BD5">
        <w:rPr>
          <w:lang w:val="fr-CA"/>
        </w:rPr>
        <w:t>[Date]</w:t>
      </w:r>
    </w:p>
    <w:p w14:paraId="72F9F943" w14:textId="77777777" w:rsidR="00BB2970" w:rsidRPr="00B63BD5" w:rsidRDefault="00BB2970" w:rsidP="00BB2970">
      <w:pPr>
        <w:jc w:val="both"/>
        <w:rPr>
          <w:rStyle w:val="Prompt"/>
          <w:color w:val="auto"/>
          <w:lang w:val="fr-CA"/>
        </w:rPr>
      </w:pPr>
    </w:p>
    <w:p w14:paraId="45A645B5" w14:textId="132B7182" w:rsidR="00B30CF1" w:rsidRPr="00B63BD5" w:rsidRDefault="00B30CF1" w:rsidP="00B63BD5">
      <w:pPr>
        <w:jc w:val="both"/>
        <w:rPr>
          <w:rStyle w:val="Prompt"/>
          <w:color w:val="auto"/>
          <w:lang w:val="fr-CA"/>
        </w:rPr>
      </w:pPr>
      <w:r w:rsidRPr="00B63BD5">
        <w:rPr>
          <w:rStyle w:val="Prompt"/>
          <w:color w:val="auto"/>
          <w:lang w:val="fr-CA"/>
        </w:rPr>
        <w:t>[Adresse]</w:t>
      </w:r>
    </w:p>
    <w:p w14:paraId="04AE3EEE" w14:textId="77777777" w:rsidR="00BB2970" w:rsidRPr="00B63BD5" w:rsidRDefault="00BB2970" w:rsidP="00BB2970">
      <w:pPr>
        <w:jc w:val="both"/>
        <w:rPr>
          <w:rStyle w:val="Prompt"/>
          <w:color w:val="auto"/>
          <w:lang w:val="fr-CA"/>
        </w:rPr>
      </w:pPr>
    </w:p>
    <w:p w14:paraId="522DA5A0" w14:textId="62498360" w:rsidR="009926E7" w:rsidRPr="00B63BD5" w:rsidRDefault="00B30CF1" w:rsidP="00632863">
      <w:pPr>
        <w:spacing w:after="240"/>
        <w:jc w:val="both"/>
        <w:rPr>
          <w:b/>
          <w:u w:val="single"/>
          <w:lang w:val="fr-CA"/>
        </w:rPr>
      </w:pPr>
      <w:r w:rsidRPr="00B63BD5">
        <w:rPr>
          <w:rStyle w:val="Prompt"/>
          <w:b/>
          <w:color w:val="auto"/>
          <w:u w:val="single"/>
          <w:lang w:val="fr-CA"/>
        </w:rPr>
        <w:t>P</w:t>
      </w:r>
      <w:r w:rsidR="00987E90" w:rsidRPr="00B63BD5">
        <w:rPr>
          <w:rStyle w:val="Prompt"/>
          <w:b/>
          <w:color w:val="auto"/>
          <w:u w:val="single"/>
          <w:lang w:val="fr-CA"/>
        </w:rPr>
        <w:t>ERSONNEL</w:t>
      </w:r>
      <w:r w:rsidRPr="00B63BD5">
        <w:rPr>
          <w:rStyle w:val="Prompt"/>
          <w:b/>
          <w:color w:val="auto"/>
          <w:u w:val="single"/>
          <w:lang w:val="fr-CA"/>
        </w:rPr>
        <w:t xml:space="preserve"> ET CONFIDENTIEL</w:t>
      </w:r>
    </w:p>
    <w:p w14:paraId="41FF2FBD" w14:textId="117EB5FD" w:rsidR="009926E7" w:rsidRPr="00B63BD5" w:rsidRDefault="005463FA" w:rsidP="00632863">
      <w:pPr>
        <w:keepNext/>
        <w:keepLines/>
        <w:tabs>
          <w:tab w:val="left" w:pos="5490"/>
        </w:tabs>
        <w:spacing w:after="240"/>
        <w:jc w:val="both"/>
        <w:outlineLvl w:val="0"/>
        <w:rPr>
          <w:lang w:val="fr-CA"/>
        </w:rPr>
      </w:pPr>
      <w:r w:rsidRPr="00B63BD5">
        <w:rPr>
          <w:u w:val="single"/>
          <w:lang w:val="fr-CA"/>
        </w:rPr>
        <w:t>À l</w:t>
      </w:r>
      <w:r w:rsidR="00564B0C" w:rsidRPr="00B63BD5">
        <w:rPr>
          <w:u w:val="single"/>
          <w:lang w:val="fr-CA"/>
        </w:rPr>
        <w:t>’</w:t>
      </w:r>
      <w:r w:rsidRPr="00B63BD5">
        <w:rPr>
          <w:u w:val="single"/>
          <w:lang w:val="fr-CA"/>
        </w:rPr>
        <w:t>a</w:t>
      </w:r>
      <w:r w:rsidR="009926E7" w:rsidRPr="00B63BD5">
        <w:rPr>
          <w:u w:val="single"/>
          <w:lang w:val="fr-CA"/>
        </w:rPr>
        <w:t>ttention</w:t>
      </w:r>
      <w:r w:rsidRPr="00B63BD5">
        <w:rPr>
          <w:u w:val="single"/>
          <w:lang w:val="fr-CA"/>
        </w:rPr>
        <w:t xml:space="preserve"> de</w:t>
      </w:r>
      <w:r w:rsidRPr="00B63BD5">
        <w:rPr>
          <w:lang w:val="fr-CA"/>
        </w:rPr>
        <w:t xml:space="preserve"> </w:t>
      </w:r>
      <w:r w:rsidR="009D0841" w:rsidRPr="00B63BD5">
        <w:rPr>
          <w:lang w:val="fr-CA"/>
        </w:rPr>
        <w:t>●</w:t>
      </w:r>
    </w:p>
    <w:p w14:paraId="37B24458" w14:textId="7CCCACB7" w:rsidR="005463FA" w:rsidRPr="00B63BD5" w:rsidRDefault="004E7CEC" w:rsidP="00636E5F">
      <w:pPr>
        <w:spacing w:after="240"/>
        <w:jc w:val="both"/>
        <w:rPr>
          <w:lang w:val="fr-CA"/>
        </w:rPr>
      </w:pPr>
      <w:r w:rsidRPr="00B63BD5">
        <w:rPr>
          <w:lang w:val="fr-CA"/>
        </w:rPr>
        <w:t>Bonjour,</w:t>
      </w:r>
    </w:p>
    <w:p w14:paraId="64EE96B0" w14:textId="3A321F4B" w:rsidR="00E065FE" w:rsidRPr="00B63BD5" w:rsidRDefault="00E065FE" w:rsidP="00636E5F">
      <w:pPr>
        <w:spacing w:after="240"/>
        <w:jc w:val="both"/>
        <w:rPr>
          <w:b/>
          <w:sz w:val="19"/>
          <w:szCs w:val="19"/>
          <w:lang w:val="fr-CA"/>
        </w:rPr>
      </w:pPr>
      <w:r w:rsidRPr="00B63BD5">
        <w:rPr>
          <w:b/>
          <w:color w:val="00B0F0"/>
          <w:sz w:val="19"/>
          <w:szCs w:val="19"/>
          <w:lang w:val="fr-CA"/>
        </w:rPr>
        <w:t>[</w:t>
      </w:r>
      <w:r w:rsidR="00EC3CB5" w:rsidRPr="00B63BD5">
        <w:rPr>
          <w:b/>
          <w:color w:val="00B0F0"/>
          <w:sz w:val="19"/>
          <w:szCs w:val="19"/>
          <w:lang w:val="fr-CA"/>
        </w:rPr>
        <w:t>N.B. :</w:t>
      </w:r>
      <w:r w:rsidRPr="00B63BD5">
        <w:rPr>
          <w:b/>
          <w:color w:val="00B0F0"/>
          <w:sz w:val="19"/>
          <w:szCs w:val="19"/>
          <w:lang w:val="fr-CA"/>
        </w:rPr>
        <w:t xml:space="preserve"> </w:t>
      </w:r>
      <w:r w:rsidR="005463FA" w:rsidRPr="00B63BD5">
        <w:rPr>
          <w:b/>
          <w:color w:val="00B0F0"/>
          <w:sz w:val="19"/>
          <w:szCs w:val="19"/>
          <w:lang w:val="fr-CA"/>
        </w:rPr>
        <w:t>Choisir</w:t>
      </w:r>
      <w:r w:rsidR="000C3CB4" w:rsidRPr="00B63BD5">
        <w:rPr>
          <w:b/>
          <w:color w:val="00B0F0"/>
          <w:sz w:val="19"/>
          <w:szCs w:val="19"/>
          <w:lang w:val="fr-CA"/>
        </w:rPr>
        <w:t xml:space="preserve"> le paragraphe</w:t>
      </w:r>
      <w:r w:rsidR="005463FA" w:rsidRPr="00B63BD5">
        <w:rPr>
          <w:b/>
          <w:color w:val="00B0F0"/>
          <w:sz w:val="19"/>
          <w:szCs w:val="19"/>
          <w:lang w:val="fr-CA"/>
        </w:rPr>
        <w:t xml:space="preserve"> </w:t>
      </w:r>
      <w:r w:rsidRPr="00B63BD5">
        <w:rPr>
          <w:b/>
          <w:color w:val="00B0F0"/>
          <w:sz w:val="19"/>
          <w:szCs w:val="19"/>
          <w:lang w:val="fr-CA"/>
        </w:rPr>
        <w:t>[A</w:t>
      </w:r>
      <w:r w:rsidR="00E729F2" w:rsidRPr="00B63BD5">
        <w:rPr>
          <w:b/>
          <w:color w:val="00B0F0"/>
          <w:sz w:val="19"/>
          <w:szCs w:val="19"/>
          <w:lang w:val="fr-CA"/>
        </w:rPr>
        <w:t>]</w:t>
      </w:r>
      <w:r w:rsidR="004573F3" w:rsidRPr="00B63BD5">
        <w:rPr>
          <w:b/>
          <w:color w:val="00B0F0"/>
          <w:sz w:val="19"/>
          <w:szCs w:val="19"/>
          <w:lang w:val="fr-CA"/>
        </w:rPr>
        <w:t xml:space="preserve"> </w:t>
      </w:r>
      <w:r w:rsidR="000C3CB4" w:rsidRPr="00B63BD5">
        <w:rPr>
          <w:b/>
          <w:color w:val="00B0F0"/>
          <w:sz w:val="19"/>
          <w:szCs w:val="19"/>
          <w:lang w:val="fr-CA"/>
        </w:rPr>
        <w:t>s</w:t>
      </w:r>
      <w:r w:rsidR="00564B0C" w:rsidRPr="00B63BD5">
        <w:rPr>
          <w:b/>
          <w:color w:val="00B0F0"/>
          <w:sz w:val="19"/>
          <w:szCs w:val="19"/>
          <w:lang w:val="fr-CA"/>
        </w:rPr>
        <w:t>’</w:t>
      </w:r>
      <w:r w:rsidR="000C3CB4" w:rsidRPr="00B63BD5">
        <w:rPr>
          <w:b/>
          <w:color w:val="00B0F0"/>
          <w:sz w:val="19"/>
          <w:szCs w:val="19"/>
          <w:lang w:val="fr-CA"/>
        </w:rPr>
        <w:t>il s</w:t>
      </w:r>
      <w:r w:rsidR="00564B0C" w:rsidRPr="00B63BD5">
        <w:rPr>
          <w:b/>
          <w:color w:val="00B0F0"/>
          <w:sz w:val="19"/>
          <w:szCs w:val="19"/>
          <w:lang w:val="fr-CA"/>
        </w:rPr>
        <w:t>’</w:t>
      </w:r>
      <w:r w:rsidR="000C3CB4" w:rsidRPr="00B63BD5">
        <w:rPr>
          <w:b/>
          <w:color w:val="00B0F0"/>
          <w:sz w:val="19"/>
          <w:szCs w:val="19"/>
          <w:lang w:val="fr-CA"/>
        </w:rPr>
        <w:t>agit de</w:t>
      </w:r>
      <w:r w:rsidR="005463FA" w:rsidRPr="00B63BD5">
        <w:rPr>
          <w:b/>
          <w:color w:val="00B0F0"/>
          <w:sz w:val="19"/>
          <w:szCs w:val="19"/>
          <w:lang w:val="fr-CA"/>
        </w:rPr>
        <w:t xml:space="preserve"> </w:t>
      </w:r>
      <w:r w:rsidR="005463FA" w:rsidRPr="00B63BD5">
        <w:rPr>
          <w:b/>
          <w:color w:val="00B0F0"/>
          <w:sz w:val="19"/>
          <w:szCs w:val="19"/>
          <w:u w:val="single"/>
          <w:lang w:val="fr-CA"/>
        </w:rPr>
        <w:t>nouvelles</w:t>
      </w:r>
      <w:r w:rsidR="005463FA" w:rsidRPr="00B63BD5">
        <w:rPr>
          <w:b/>
          <w:color w:val="00B0F0"/>
          <w:sz w:val="19"/>
          <w:szCs w:val="19"/>
          <w:lang w:val="fr-CA"/>
        </w:rPr>
        <w:t xml:space="preserve"> </w:t>
      </w:r>
      <w:r w:rsidR="004573F3" w:rsidRPr="00B63BD5">
        <w:rPr>
          <w:b/>
          <w:color w:val="00B0F0"/>
          <w:sz w:val="19"/>
          <w:szCs w:val="19"/>
          <w:lang w:val="fr-CA"/>
        </w:rPr>
        <w:t>facilit</w:t>
      </w:r>
      <w:r w:rsidR="005463FA" w:rsidRPr="00B63BD5">
        <w:rPr>
          <w:b/>
          <w:color w:val="00B0F0"/>
          <w:sz w:val="19"/>
          <w:szCs w:val="19"/>
          <w:lang w:val="fr-CA"/>
        </w:rPr>
        <w:t>és</w:t>
      </w:r>
      <w:r w:rsidRPr="00B63BD5">
        <w:rPr>
          <w:b/>
          <w:color w:val="00B0F0"/>
          <w:sz w:val="19"/>
          <w:szCs w:val="19"/>
          <w:lang w:val="fr-CA"/>
        </w:rPr>
        <w:t xml:space="preserve"> </w:t>
      </w:r>
      <w:r w:rsidR="005463FA" w:rsidRPr="00B63BD5">
        <w:rPr>
          <w:b/>
          <w:color w:val="00B0F0"/>
          <w:sz w:val="19"/>
          <w:szCs w:val="19"/>
          <w:lang w:val="fr-CA"/>
        </w:rPr>
        <w:t xml:space="preserve">ou </w:t>
      </w:r>
      <w:r w:rsidRPr="00B63BD5">
        <w:rPr>
          <w:b/>
          <w:color w:val="00B0F0"/>
          <w:sz w:val="19"/>
          <w:szCs w:val="19"/>
          <w:lang w:val="fr-CA"/>
        </w:rPr>
        <w:t>[B</w:t>
      </w:r>
      <w:r w:rsidR="00E729F2" w:rsidRPr="00B63BD5">
        <w:rPr>
          <w:b/>
          <w:color w:val="00B0F0"/>
          <w:sz w:val="19"/>
          <w:szCs w:val="19"/>
          <w:lang w:val="fr-CA"/>
        </w:rPr>
        <w:t>]</w:t>
      </w:r>
      <w:r w:rsidR="004573F3" w:rsidRPr="00B63BD5">
        <w:rPr>
          <w:b/>
          <w:color w:val="00B0F0"/>
          <w:sz w:val="19"/>
          <w:szCs w:val="19"/>
          <w:lang w:val="fr-CA"/>
        </w:rPr>
        <w:t xml:space="preserve"> </w:t>
      </w:r>
      <w:r w:rsidR="000C3CB4" w:rsidRPr="00B63BD5">
        <w:rPr>
          <w:b/>
          <w:color w:val="00B0F0"/>
          <w:sz w:val="19"/>
          <w:szCs w:val="19"/>
          <w:lang w:val="fr-CA"/>
        </w:rPr>
        <w:t>s</w:t>
      </w:r>
      <w:r w:rsidR="00564B0C" w:rsidRPr="00B63BD5">
        <w:rPr>
          <w:b/>
          <w:color w:val="00B0F0"/>
          <w:sz w:val="19"/>
          <w:szCs w:val="19"/>
          <w:lang w:val="fr-CA"/>
        </w:rPr>
        <w:t>’</w:t>
      </w:r>
      <w:r w:rsidR="000C3CB4" w:rsidRPr="00B63BD5">
        <w:rPr>
          <w:b/>
          <w:color w:val="00B0F0"/>
          <w:sz w:val="19"/>
          <w:szCs w:val="19"/>
          <w:lang w:val="fr-CA"/>
        </w:rPr>
        <w:t>il s</w:t>
      </w:r>
      <w:r w:rsidR="00564B0C" w:rsidRPr="00B63BD5">
        <w:rPr>
          <w:b/>
          <w:color w:val="00B0F0"/>
          <w:sz w:val="19"/>
          <w:szCs w:val="19"/>
          <w:lang w:val="fr-CA"/>
        </w:rPr>
        <w:t>’</w:t>
      </w:r>
      <w:r w:rsidR="000C3CB4" w:rsidRPr="00B63BD5">
        <w:rPr>
          <w:b/>
          <w:color w:val="00B0F0"/>
          <w:sz w:val="19"/>
          <w:szCs w:val="19"/>
          <w:lang w:val="fr-CA"/>
        </w:rPr>
        <w:t>agit de</w:t>
      </w:r>
      <w:r w:rsidR="005463FA" w:rsidRPr="00B63BD5">
        <w:rPr>
          <w:b/>
          <w:color w:val="00B0F0"/>
          <w:sz w:val="19"/>
          <w:szCs w:val="19"/>
          <w:lang w:val="fr-CA"/>
        </w:rPr>
        <w:t xml:space="preserve"> </w:t>
      </w:r>
      <w:r w:rsidR="005463FA" w:rsidRPr="00B63BD5">
        <w:rPr>
          <w:b/>
          <w:color w:val="00B0F0"/>
          <w:sz w:val="19"/>
          <w:szCs w:val="19"/>
          <w:u w:val="single"/>
          <w:lang w:val="fr-CA"/>
        </w:rPr>
        <w:t>re</w:t>
      </w:r>
      <w:r w:rsidR="00F358DD" w:rsidRPr="00B63BD5">
        <w:rPr>
          <w:b/>
          <w:color w:val="00B0F0"/>
          <w:sz w:val="19"/>
          <w:szCs w:val="19"/>
          <w:u w:val="single"/>
          <w:lang w:val="fr-CA"/>
        </w:rPr>
        <w:t>formulations</w:t>
      </w:r>
      <w:r w:rsidR="001622AC" w:rsidRPr="00B63BD5">
        <w:rPr>
          <w:b/>
          <w:color w:val="00B0F0"/>
          <w:sz w:val="19"/>
          <w:szCs w:val="19"/>
          <w:lang w:val="fr-CA"/>
        </w:rPr>
        <w:t>.</w:t>
      </w:r>
      <w:r w:rsidRPr="00B63BD5">
        <w:rPr>
          <w:b/>
          <w:color w:val="00B0F0"/>
          <w:sz w:val="19"/>
          <w:szCs w:val="19"/>
          <w:lang w:val="fr-CA"/>
        </w:rPr>
        <w:t>]</w:t>
      </w:r>
    </w:p>
    <w:p w14:paraId="1B05E70B" w14:textId="629A3B74" w:rsidR="009926E7" w:rsidRPr="00B63BD5" w:rsidRDefault="00E065FE" w:rsidP="00632863">
      <w:pPr>
        <w:spacing w:after="240"/>
        <w:jc w:val="both"/>
        <w:rPr>
          <w:lang w:val="fr-CA"/>
        </w:rPr>
      </w:pPr>
      <w:r w:rsidRPr="00B63BD5">
        <w:rPr>
          <w:b/>
          <w:color w:val="00B0F0"/>
          <w:lang w:val="fr-CA"/>
        </w:rPr>
        <w:t>[A]</w:t>
      </w:r>
      <w:r w:rsidR="00EE61D5" w:rsidRPr="00B63BD5">
        <w:rPr>
          <w:lang w:val="fr-CA"/>
        </w:rPr>
        <w:t xml:space="preserve"> </w:t>
      </w:r>
      <w:r w:rsidR="005463FA" w:rsidRPr="00B63BD5">
        <w:rPr>
          <w:lang w:val="fr-CA"/>
        </w:rPr>
        <w:t>Sur la foi des renseignements</w:t>
      </w:r>
      <w:r w:rsidR="00052CB0" w:rsidRPr="00B63BD5">
        <w:rPr>
          <w:lang w:val="fr-CA"/>
        </w:rPr>
        <w:t>,</w:t>
      </w:r>
      <w:r w:rsidR="005463FA" w:rsidRPr="00B63BD5">
        <w:rPr>
          <w:lang w:val="fr-CA"/>
        </w:rPr>
        <w:t xml:space="preserve"> </w:t>
      </w:r>
      <w:r w:rsidR="00052CB0" w:rsidRPr="00B63BD5">
        <w:rPr>
          <w:lang w:val="fr-CA"/>
        </w:rPr>
        <w:t>d</w:t>
      </w:r>
      <w:r w:rsidR="00564B0C" w:rsidRPr="00B63BD5">
        <w:rPr>
          <w:lang w:val="fr-CA"/>
        </w:rPr>
        <w:t>’</w:t>
      </w:r>
      <w:r w:rsidR="00052CB0" w:rsidRPr="00B63BD5">
        <w:rPr>
          <w:lang w:val="fr-CA"/>
        </w:rPr>
        <w:t xml:space="preserve">ordre </w:t>
      </w:r>
      <w:r w:rsidR="005463FA" w:rsidRPr="00B63BD5">
        <w:rPr>
          <w:lang w:val="fr-CA"/>
        </w:rPr>
        <w:t>financier et autre, des déclarations, des garanties et</w:t>
      </w:r>
      <w:r w:rsidR="00453387" w:rsidRPr="00B63BD5">
        <w:rPr>
          <w:lang w:val="fr-CA"/>
        </w:rPr>
        <w:t> </w:t>
      </w:r>
      <w:r w:rsidR="005463FA" w:rsidRPr="00B63BD5">
        <w:rPr>
          <w:lang w:val="fr-CA"/>
        </w:rPr>
        <w:t>des</w:t>
      </w:r>
      <w:r w:rsidR="00453387" w:rsidRPr="00B63BD5">
        <w:rPr>
          <w:lang w:val="fr-CA"/>
        </w:rPr>
        <w:t> </w:t>
      </w:r>
      <w:r w:rsidR="005463FA" w:rsidRPr="00B63BD5">
        <w:rPr>
          <w:lang w:val="fr-CA"/>
        </w:rPr>
        <w:t xml:space="preserve">documents </w:t>
      </w:r>
      <w:r w:rsidR="00052CB0" w:rsidRPr="00B63BD5">
        <w:rPr>
          <w:lang w:val="fr-CA"/>
        </w:rPr>
        <w:t xml:space="preserve">que </w:t>
      </w:r>
      <w:r w:rsidR="005463FA" w:rsidRPr="00B63BD5">
        <w:rPr>
          <w:lang w:val="fr-CA"/>
        </w:rPr>
        <w:t>l</w:t>
      </w:r>
      <w:r w:rsidR="00564B0C" w:rsidRPr="00B63BD5">
        <w:rPr>
          <w:lang w:val="fr-CA"/>
        </w:rPr>
        <w:t>’</w:t>
      </w:r>
      <w:r w:rsidR="0055614F" w:rsidRPr="00B63BD5">
        <w:rPr>
          <w:lang w:val="fr-CA"/>
        </w:rPr>
        <w:t>Emprunteur</w:t>
      </w:r>
      <w:r w:rsidR="00052CB0" w:rsidRPr="00B63BD5">
        <w:rPr>
          <w:b/>
          <w:lang w:val="fr-CA"/>
        </w:rPr>
        <w:t xml:space="preserve"> </w:t>
      </w:r>
      <w:r w:rsidR="0055614F" w:rsidRPr="00B63BD5">
        <w:rPr>
          <w:lang w:val="fr-CA"/>
        </w:rPr>
        <w:t>[l</w:t>
      </w:r>
      <w:r w:rsidR="005463FA" w:rsidRPr="00B63BD5">
        <w:rPr>
          <w:lang w:val="fr-CA"/>
        </w:rPr>
        <w:t>es Emprunteurs</w:t>
      </w:r>
      <w:r w:rsidR="000C3CB4" w:rsidRPr="00B63BD5">
        <w:rPr>
          <w:lang w:val="fr-CA"/>
        </w:rPr>
        <w:t>]</w:t>
      </w:r>
      <w:r w:rsidR="005463FA" w:rsidRPr="00B63BD5">
        <w:rPr>
          <w:lang w:val="fr-CA"/>
        </w:rPr>
        <w:t xml:space="preserve"> (au sens donné à ce terme ci</w:t>
      </w:r>
      <w:r w:rsidR="005463FA" w:rsidRPr="00B63BD5">
        <w:rPr>
          <w:lang w:val="fr-CA"/>
        </w:rPr>
        <w:noBreakHyphen/>
        <w:t>après)</w:t>
      </w:r>
      <w:r w:rsidR="00052CB0" w:rsidRPr="00B63BD5">
        <w:rPr>
          <w:lang w:val="fr-CA"/>
        </w:rPr>
        <w:t xml:space="preserve"> a [ont] fournis, faits, donnés et remis</w:t>
      </w:r>
      <w:r w:rsidR="005463FA" w:rsidRPr="00B63BD5">
        <w:rPr>
          <w:lang w:val="fr-CA"/>
        </w:rPr>
        <w:t>,</w:t>
      </w:r>
      <w:r w:rsidR="000C3CB4" w:rsidRPr="00B63BD5">
        <w:rPr>
          <w:lang w:val="fr-CA"/>
        </w:rPr>
        <w:t xml:space="preserve"> </w:t>
      </w:r>
      <w:r w:rsidR="005463FA" w:rsidRPr="00B63BD5">
        <w:rPr>
          <w:lang w:val="fr-CA"/>
        </w:rPr>
        <w:t xml:space="preserve">Banque </w:t>
      </w:r>
      <w:r w:rsidR="009926E7" w:rsidRPr="00B63BD5">
        <w:rPr>
          <w:lang w:val="fr-CA"/>
        </w:rPr>
        <w:t>HSBC Canada (</w:t>
      </w:r>
      <w:r w:rsidR="005463FA" w:rsidRPr="00B63BD5">
        <w:rPr>
          <w:lang w:val="fr-CA"/>
        </w:rPr>
        <w:t>la</w:t>
      </w:r>
      <w:r w:rsidR="00AC4107" w:rsidRPr="00B63BD5">
        <w:rPr>
          <w:lang w:val="fr-CA"/>
        </w:rPr>
        <w:t xml:space="preserve"> </w:t>
      </w:r>
      <w:r w:rsidR="005463FA" w:rsidRPr="00B63BD5">
        <w:rPr>
          <w:lang w:val="fr-CA"/>
        </w:rPr>
        <w:t>«</w:t>
      </w:r>
      <w:r w:rsidR="0094743F" w:rsidRPr="00B63BD5">
        <w:rPr>
          <w:lang w:val="fr-CA"/>
        </w:rPr>
        <w:t> </w:t>
      </w:r>
      <w:r w:rsidR="005463FA" w:rsidRPr="00B63BD5">
        <w:rPr>
          <w:b/>
          <w:lang w:val="fr-CA"/>
        </w:rPr>
        <w:t>Banque</w:t>
      </w:r>
      <w:r w:rsidR="0094743F" w:rsidRPr="00B63BD5">
        <w:rPr>
          <w:lang w:val="fr-CA"/>
        </w:rPr>
        <w:t> </w:t>
      </w:r>
      <w:r w:rsidR="005463FA" w:rsidRPr="00B63BD5">
        <w:rPr>
          <w:lang w:val="fr-CA"/>
        </w:rPr>
        <w:t xml:space="preserve">») est heureuse </w:t>
      </w:r>
      <w:r w:rsidR="00EC3CB5" w:rsidRPr="00B63BD5">
        <w:rPr>
          <w:lang w:val="fr-CA"/>
        </w:rPr>
        <w:t xml:space="preserve">de consentir </w:t>
      </w:r>
      <w:r w:rsidR="005463FA" w:rsidRPr="00B63BD5">
        <w:rPr>
          <w:lang w:val="fr-CA"/>
        </w:rPr>
        <w:t>les facilités de</w:t>
      </w:r>
      <w:r w:rsidR="00453387" w:rsidRPr="00B63BD5">
        <w:rPr>
          <w:lang w:val="fr-CA"/>
        </w:rPr>
        <w:t> </w:t>
      </w:r>
      <w:r w:rsidR="005463FA" w:rsidRPr="00B63BD5">
        <w:rPr>
          <w:lang w:val="fr-CA"/>
        </w:rPr>
        <w:t>crédit suivantes</w:t>
      </w:r>
      <w:r w:rsidR="00B30CF1" w:rsidRPr="00B63BD5">
        <w:rPr>
          <w:lang w:val="fr-CA"/>
        </w:rPr>
        <w:t xml:space="preserve"> </w:t>
      </w:r>
      <w:r w:rsidR="005463FA" w:rsidRPr="00B63BD5">
        <w:rPr>
          <w:lang w:val="fr-CA"/>
        </w:rPr>
        <w:t>selon les modalités énoncées ci</w:t>
      </w:r>
      <w:r w:rsidR="005463FA" w:rsidRPr="00B63BD5">
        <w:rPr>
          <w:lang w:val="fr-CA"/>
        </w:rPr>
        <w:noBreakHyphen/>
        <w:t>après. D</w:t>
      </w:r>
      <w:r w:rsidR="00564B0C" w:rsidRPr="00B63BD5">
        <w:rPr>
          <w:lang w:val="fr-CA"/>
        </w:rPr>
        <w:t>’</w:t>
      </w:r>
      <w:r w:rsidR="005463FA" w:rsidRPr="00B63BD5">
        <w:rPr>
          <w:lang w:val="fr-CA"/>
        </w:rPr>
        <w:t xml:space="preserve">autres modalités </w:t>
      </w:r>
      <w:r w:rsidR="00052CB0" w:rsidRPr="00B63BD5">
        <w:rPr>
          <w:lang w:val="fr-CA"/>
        </w:rPr>
        <w:t xml:space="preserve">sont énoncées </w:t>
      </w:r>
      <w:r w:rsidR="000379FA" w:rsidRPr="00B63BD5">
        <w:rPr>
          <w:lang w:val="fr-CA"/>
        </w:rPr>
        <w:t>dans</w:t>
      </w:r>
      <w:r w:rsidR="006441CA" w:rsidRPr="00B63BD5">
        <w:rPr>
          <w:lang w:val="fr-CA"/>
        </w:rPr>
        <w:t xml:space="preserve"> </w:t>
      </w:r>
      <w:r w:rsidR="000379FA" w:rsidRPr="00B63BD5">
        <w:rPr>
          <w:lang w:val="fr-CA"/>
        </w:rPr>
        <w:t>les</w:t>
      </w:r>
      <w:r w:rsidR="006441CA" w:rsidRPr="00B63BD5">
        <w:rPr>
          <w:lang w:val="fr-CA"/>
        </w:rPr>
        <w:t xml:space="preserve"> </w:t>
      </w:r>
      <w:r w:rsidR="005463FA" w:rsidRPr="00B63BD5">
        <w:rPr>
          <w:lang w:val="fr-CA"/>
        </w:rPr>
        <w:t>annexes</w:t>
      </w:r>
      <w:r w:rsidR="000379FA" w:rsidRPr="00B63BD5">
        <w:rPr>
          <w:lang w:val="fr-CA"/>
        </w:rPr>
        <w:t xml:space="preserve"> ci</w:t>
      </w:r>
      <w:r w:rsidR="000379FA" w:rsidRPr="00B63BD5">
        <w:rPr>
          <w:lang w:val="fr-CA"/>
        </w:rPr>
        <w:noBreakHyphen/>
      </w:r>
      <w:r w:rsidR="005463FA" w:rsidRPr="00B63BD5">
        <w:rPr>
          <w:lang w:val="fr-CA"/>
        </w:rPr>
        <w:t xml:space="preserve">jointes (la présente lettre et toutes les annexes </w:t>
      </w:r>
      <w:r w:rsidR="000379FA" w:rsidRPr="00B63BD5">
        <w:rPr>
          <w:lang w:val="fr-CA"/>
        </w:rPr>
        <w:t>ci</w:t>
      </w:r>
      <w:r w:rsidR="000379FA" w:rsidRPr="00B63BD5">
        <w:rPr>
          <w:lang w:val="fr-CA"/>
        </w:rPr>
        <w:noBreakHyphen/>
      </w:r>
      <w:r w:rsidR="005463FA" w:rsidRPr="00B63BD5">
        <w:rPr>
          <w:lang w:val="fr-CA"/>
        </w:rPr>
        <w:t>jointes constituant</w:t>
      </w:r>
      <w:r w:rsidR="00052CB0" w:rsidRPr="00B63BD5">
        <w:rPr>
          <w:lang w:val="fr-CA"/>
        </w:rPr>
        <w:t>,</w:t>
      </w:r>
      <w:r w:rsidR="005463FA" w:rsidRPr="00B63BD5">
        <w:rPr>
          <w:lang w:val="fr-CA"/>
        </w:rPr>
        <w:t xml:space="preserve"> collectivement</w:t>
      </w:r>
      <w:r w:rsidR="00052CB0" w:rsidRPr="00B63BD5">
        <w:rPr>
          <w:lang w:val="fr-CA"/>
        </w:rPr>
        <w:t>,</w:t>
      </w:r>
      <w:r w:rsidR="005463FA" w:rsidRPr="00B63BD5">
        <w:rPr>
          <w:lang w:val="fr-CA"/>
        </w:rPr>
        <w:t xml:space="preserve"> la</w:t>
      </w:r>
      <w:r w:rsidR="00AC4107" w:rsidRPr="00B63BD5">
        <w:rPr>
          <w:lang w:val="fr-CA"/>
        </w:rPr>
        <w:t xml:space="preserve"> </w:t>
      </w:r>
      <w:r w:rsidR="005463FA" w:rsidRPr="00B63BD5">
        <w:rPr>
          <w:lang w:val="fr-CA"/>
        </w:rPr>
        <w:t>«</w:t>
      </w:r>
      <w:r w:rsidR="0094743F" w:rsidRPr="00B63BD5">
        <w:rPr>
          <w:lang w:val="fr-CA"/>
        </w:rPr>
        <w:t> </w:t>
      </w:r>
      <w:r w:rsidR="005463FA" w:rsidRPr="00B63BD5">
        <w:rPr>
          <w:b/>
          <w:lang w:val="fr-CA"/>
        </w:rPr>
        <w:t>Lettre</w:t>
      </w:r>
      <w:r w:rsidR="000379FA" w:rsidRPr="00B63BD5">
        <w:rPr>
          <w:b/>
          <w:lang w:val="fr-CA"/>
        </w:rPr>
        <w:t xml:space="preserve"> relative aux facilités</w:t>
      </w:r>
      <w:r w:rsidR="0094743F" w:rsidRPr="00B63BD5">
        <w:rPr>
          <w:lang w:val="fr-CA"/>
        </w:rPr>
        <w:t> </w:t>
      </w:r>
      <w:r w:rsidR="005463FA" w:rsidRPr="00B63BD5">
        <w:rPr>
          <w:lang w:val="fr-CA"/>
        </w:rPr>
        <w:t>»). Tou</w:t>
      </w:r>
      <w:r w:rsidR="004A5170" w:rsidRPr="00B63BD5">
        <w:rPr>
          <w:lang w:val="fr-CA"/>
        </w:rPr>
        <w:t>s</w:t>
      </w:r>
      <w:r w:rsidR="005463FA" w:rsidRPr="00B63BD5">
        <w:rPr>
          <w:lang w:val="fr-CA"/>
        </w:rPr>
        <w:t xml:space="preserve"> les termes </w:t>
      </w:r>
      <w:r w:rsidR="00EC3CB5" w:rsidRPr="00B63BD5">
        <w:rPr>
          <w:lang w:val="fr-CA"/>
        </w:rPr>
        <w:t xml:space="preserve">portant la </w:t>
      </w:r>
      <w:r w:rsidR="005463FA" w:rsidRPr="00B63BD5">
        <w:rPr>
          <w:lang w:val="fr-CA"/>
        </w:rPr>
        <w:t>majuscule qui ne sont pas définis dans la</w:t>
      </w:r>
      <w:r w:rsidR="00453387" w:rsidRPr="00B63BD5">
        <w:rPr>
          <w:lang w:val="fr-CA"/>
        </w:rPr>
        <w:t> </w:t>
      </w:r>
      <w:r w:rsidR="005463FA" w:rsidRPr="00B63BD5">
        <w:rPr>
          <w:lang w:val="fr-CA"/>
        </w:rPr>
        <w:t>présente lettre ont le sens qui leur est donné à l</w:t>
      </w:r>
      <w:r w:rsidR="00564B0C" w:rsidRPr="00B63BD5">
        <w:rPr>
          <w:lang w:val="fr-CA"/>
        </w:rPr>
        <w:t>’</w:t>
      </w:r>
      <w:r w:rsidR="000379FA" w:rsidRPr="00B63BD5">
        <w:rPr>
          <w:lang w:val="fr-CA"/>
        </w:rPr>
        <w:t>A</w:t>
      </w:r>
      <w:r w:rsidR="005463FA" w:rsidRPr="00B63BD5">
        <w:rPr>
          <w:lang w:val="fr-CA"/>
        </w:rPr>
        <w:t>nnexe</w:t>
      </w:r>
      <w:r w:rsidR="00AC4107" w:rsidRPr="00B63BD5">
        <w:rPr>
          <w:lang w:val="fr-CA"/>
        </w:rPr>
        <w:t xml:space="preserve"> </w:t>
      </w:r>
      <w:r w:rsidR="005463FA" w:rsidRPr="00B63BD5">
        <w:rPr>
          <w:lang w:val="fr-CA"/>
        </w:rPr>
        <w:t xml:space="preserve">A. </w:t>
      </w:r>
    </w:p>
    <w:p w14:paraId="7D623FFF" w14:textId="4ABD41C5" w:rsidR="00E065FE" w:rsidRPr="00B63BD5" w:rsidRDefault="00E065FE" w:rsidP="00632863">
      <w:pPr>
        <w:spacing w:after="240"/>
        <w:jc w:val="both"/>
        <w:rPr>
          <w:lang w:val="fr-CA"/>
        </w:rPr>
      </w:pPr>
      <w:r w:rsidRPr="00B63BD5">
        <w:rPr>
          <w:b/>
          <w:color w:val="00B0F0"/>
          <w:lang w:val="fr-CA"/>
        </w:rPr>
        <w:t>[B]</w:t>
      </w:r>
      <w:r w:rsidR="00A13698" w:rsidRPr="00B63BD5">
        <w:rPr>
          <w:lang w:val="fr-CA"/>
        </w:rPr>
        <w:t xml:space="preserve"> </w:t>
      </w:r>
      <w:r w:rsidR="00EC3CB5" w:rsidRPr="00B63BD5">
        <w:rPr>
          <w:lang w:val="fr-CA"/>
        </w:rPr>
        <w:t xml:space="preserve">La présente se rapporte </w:t>
      </w:r>
      <w:r w:rsidR="005463FA" w:rsidRPr="00B63BD5">
        <w:rPr>
          <w:lang w:val="fr-CA"/>
        </w:rPr>
        <w:t xml:space="preserve">à la lettre </w:t>
      </w:r>
      <w:r w:rsidR="000379FA" w:rsidRPr="00B63BD5">
        <w:rPr>
          <w:lang w:val="fr-CA"/>
        </w:rPr>
        <w:t>relative aux facilités</w:t>
      </w:r>
      <w:r w:rsidR="00052CB0" w:rsidRPr="00B63BD5">
        <w:rPr>
          <w:lang w:val="fr-CA"/>
        </w:rPr>
        <w:t>, ainsi qu</w:t>
      </w:r>
      <w:r w:rsidR="00564B0C" w:rsidRPr="00B63BD5">
        <w:rPr>
          <w:lang w:val="fr-CA"/>
        </w:rPr>
        <w:t>’</w:t>
      </w:r>
      <w:r w:rsidR="000379FA" w:rsidRPr="00B63BD5">
        <w:rPr>
          <w:lang w:val="fr-CA"/>
        </w:rPr>
        <w:t xml:space="preserve">à ses </w:t>
      </w:r>
      <w:r w:rsidR="000D367D" w:rsidRPr="00B63BD5">
        <w:rPr>
          <w:lang w:val="fr-CA"/>
        </w:rPr>
        <w:t>A</w:t>
      </w:r>
      <w:r w:rsidR="005463FA" w:rsidRPr="00B63BD5">
        <w:rPr>
          <w:lang w:val="fr-CA"/>
        </w:rPr>
        <w:t>nnexes</w:t>
      </w:r>
      <w:r w:rsidR="00052CB0" w:rsidRPr="00B63BD5">
        <w:rPr>
          <w:lang w:val="fr-CA"/>
        </w:rPr>
        <w:t>,</w:t>
      </w:r>
      <w:r w:rsidR="005463FA" w:rsidRPr="00B63BD5">
        <w:rPr>
          <w:lang w:val="fr-CA"/>
        </w:rPr>
        <w:t xml:space="preserve"> datée du ●, </w:t>
      </w:r>
      <w:r w:rsidR="005B2DF9" w:rsidRPr="00B63BD5">
        <w:rPr>
          <w:lang w:val="fr-CA"/>
        </w:rPr>
        <w:t>telle</w:t>
      </w:r>
      <w:r w:rsidR="00453387" w:rsidRPr="00B63BD5">
        <w:rPr>
          <w:lang w:val="fr-CA"/>
        </w:rPr>
        <w:t xml:space="preserve"> </w:t>
      </w:r>
      <w:r w:rsidR="005B2DF9" w:rsidRPr="00B63BD5">
        <w:rPr>
          <w:lang w:val="fr-CA"/>
        </w:rPr>
        <w:t>que</w:t>
      </w:r>
      <w:r w:rsidR="00453387" w:rsidRPr="00B63BD5">
        <w:rPr>
          <w:lang w:val="fr-CA"/>
        </w:rPr>
        <w:t> </w:t>
      </w:r>
      <w:r w:rsidR="005463FA" w:rsidRPr="00B63BD5">
        <w:rPr>
          <w:lang w:val="fr-CA"/>
        </w:rPr>
        <w:t xml:space="preserve">modifiée </w:t>
      </w:r>
      <w:r w:rsidR="005B2DF9" w:rsidRPr="00B63BD5">
        <w:rPr>
          <w:lang w:val="fr-CA"/>
        </w:rPr>
        <w:t>jusqu</w:t>
      </w:r>
      <w:r w:rsidR="00564B0C" w:rsidRPr="00B63BD5">
        <w:rPr>
          <w:lang w:val="fr-CA"/>
        </w:rPr>
        <w:t>’</w:t>
      </w:r>
      <w:r w:rsidR="005B2DF9" w:rsidRPr="00B63BD5">
        <w:rPr>
          <w:lang w:val="fr-CA"/>
        </w:rPr>
        <w:t xml:space="preserve">à la </w:t>
      </w:r>
      <w:r w:rsidR="005463FA" w:rsidRPr="00B63BD5">
        <w:rPr>
          <w:lang w:val="fr-CA"/>
        </w:rPr>
        <w:t>date des présentes, co</w:t>
      </w:r>
      <w:r w:rsidR="004A5170" w:rsidRPr="00B63BD5">
        <w:rPr>
          <w:lang w:val="fr-CA"/>
        </w:rPr>
        <w:t>nclue entre</w:t>
      </w:r>
      <w:r w:rsidR="000379FA" w:rsidRPr="00B63BD5">
        <w:rPr>
          <w:lang w:val="fr-CA"/>
        </w:rPr>
        <w:t xml:space="preserve"> </w:t>
      </w:r>
      <w:r w:rsidR="004A5170" w:rsidRPr="00B63BD5">
        <w:rPr>
          <w:lang w:val="fr-CA"/>
        </w:rPr>
        <w:t>Banque HSBC Canada (la</w:t>
      </w:r>
      <w:r w:rsidR="00AC4107" w:rsidRPr="00B63BD5">
        <w:rPr>
          <w:lang w:val="fr-CA"/>
        </w:rPr>
        <w:t xml:space="preserve"> </w:t>
      </w:r>
      <w:r w:rsidR="004A5170" w:rsidRPr="00B63BD5">
        <w:rPr>
          <w:lang w:val="fr-CA"/>
        </w:rPr>
        <w:t>«</w:t>
      </w:r>
      <w:r w:rsidR="0094743F" w:rsidRPr="00B63BD5">
        <w:rPr>
          <w:lang w:val="fr-CA"/>
        </w:rPr>
        <w:t> </w:t>
      </w:r>
      <w:r w:rsidR="004A5170" w:rsidRPr="00B63BD5">
        <w:rPr>
          <w:b/>
          <w:lang w:val="fr-CA"/>
        </w:rPr>
        <w:t>Banque</w:t>
      </w:r>
      <w:r w:rsidR="0094743F" w:rsidRPr="00B63BD5">
        <w:rPr>
          <w:lang w:val="fr-CA"/>
        </w:rPr>
        <w:t> </w:t>
      </w:r>
      <w:r w:rsidR="004A5170" w:rsidRPr="00B63BD5">
        <w:rPr>
          <w:lang w:val="fr-CA"/>
        </w:rPr>
        <w:t>»)</w:t>
      </w:r>
      <w:r w:rsidR="000379FA" w:rsidRPr="00B63BD5">
        <w:rPr>
          <w:lang w:val="fr-CA"/>
        </w:rPr>
        <w:t>,</w:t>
      </w:r>
      <w:r w:rsidR="004A5170" w:rsidRPr="00B63BD5">
        <w:rPr>
          <w:lang w:val="fr-CA"/>
        </w:rPr>
        <w:t xml:space="preserve"> </w:t>
      </w:r>
      <w:r w:rsidRPr="00B63BD5">
        <w:rPr>
          <w:lang w:val="fr-CA"/>
        </w:rPr>
        <w:t>●</w:t>
      </w:r>
      <w:r w:rsidR="00453387" w:rsidRPr="00B63BD5">
        <w:rPr>
          <w:lang w:val="fr-CA"/>
        </w:rPr>
        <w:t> </w:t>
      </w:r>
      <w:r w:rsidR="004A5170" w:rsidRPr="00B63BD5">
        <w:rPr>
          <w:lang w:val="fr-CA"/>
        </w:rPr>
        <w:t>et</w:t>
      </w:r>
      <w:r w:rsidR="00453387" w:rsidRPr="00B63BD5">
        <w:rPr>
          <w:lang w:val="fr-CA"/>
        </w:rPr>
        <w:t> </w:t>
      </w:r>
      <w:r w:rsidR="004A5170" w:rsidRPr="00B63BD5">
        <w:rPr>
          <w:lang w:val="fr-CA"/>
        </w:rPr>
        <w:t>●</w:t>
      </w:r>
      <w:r w:rsidR="00453387" w:rsidRPr="00B63BD5">
        <w:rPr>
          <w:lang w:val="fr-CA"/>
        </w:rPr>
        <w:t> </w:t>
      </w:r>
      <w:r w:rsidR="004A5170" w:rsidRPr="00B63BD5">
        <w:rPr>
          <w:lang w:val="fr-CA"/>
        </w:rPr>
        <w:t>(collectivement</w:t>
      </w:r>
      <w:r w:rsidR="00052CB0" w:rsidRPr="00B63BD5">
        <w:rPr>
          <w:lang w:val="fr-CA"/>
        </w:rPr>
        <w:t>,</w:t>
      </w:r>
      <w:r w:rsidR="004A5170" w:rsidRPr="00B63BD5">
        <w:rPr>
          <w:lang w:val="fr-CA"/>
        </w:rPr>
        <w:t xml:space="preserve"> la</w:t>
      </w:r>
      <w:r w:rsidR="00AC4107" w:rsidRPr="00B63BD5">
        <w:rPr>
          <w:lang w:val="fr-CA"/>
        </w:rPr>
        <w:t xml:space="preserve"> </w:t>
      </w:r>
      <w:r w:rsidR="004A5170" w:rsidRPr="00B63BD5">
        <w:rPr>
          <w:lang w:val="fr-CA"/>
        </w:rPr>
        <w:t>«</w:t>
      </w:r>
      <w:r w:rsidR="0094743F" w:rsidRPr="00B63BD5">
        <w:rPr>
          <w:lang w:val="fr-CA"/>
        </w:rPr>
        <w:t> </w:t>
      </w:r>
      <w:r w:rsidR="004A5170" w:rsidRPr="00B63BD5">
        <w:rPr>
          <w:b/>
          <w:lang w:val="fr-CA"/>
        </w:rPr>
        <w:t xml:space="preserve">Lettre </w:t>
      </w:r>
      <w:r w:rsidR="000379FA" w:rsidRPr="00B63BD5">
        <w:rPr>
          <w:b/>
          <w:lang w:val="fr-CA"/>
        </w:rPr>
        <w:t>relative aux facilité</w:t>
      </w:r>
      <w:r w:rsidR="00787705" w:rsidRPr="00B63BD5">
        <w:rPr>
          <w:b/>
          <w:lang w:val="fr-CA"/>
        </w:rPr>
        <w:t>s</w:t>
      </w:r>
      <w:r w:rsidR="003E16D5" w:rsidRPr="00B63BD5">
        <w:rPr>
          <w:b/>
          <w:lang w:val="fr-CA"/>
        </w:rPr>
        <w:t xml:space="preserve"> initiale</w:t>
      </w:r>
      <w:r w:rsidR="0094743F" w:rsidRPr="00B63BD5">
        <w:rPr>
          <w:lang w:val="fr-CA"/>
        </w:rPr>
        <w:t> </w:t>
      </w:r>
      <w:r w:rsidR="004A5170" w:rsidRPr="00B63BD5">
        <w:rPr>
          <w:lang w:val="fr-CA"/>
        </w:rPr>
        <w:t>»). Sur la foi des renseignements</w:t>
      </w:r>
      <w:r w:rsidR="00052CB0" w:rsidRPr="00B63BD5">
        <w:rPr>
          <w:lang w:val="fr-CA"/>
        </w:rPr>
        <w:t>, d</w:t>
      </w:r>
      <w:r w:rsidR="00564B0C" w:rsidRPr="00B63BD5">
        <w:rPr>
          <w:lang w:val="fr-CA"/>
        </w:rPr>
        <w:t>’</w:t>
      </w:r>
      <w:r w:rsidR="00052CB0" w:rsidRPr="00B63BD5">
        <w:rPr>
          <w:lang w:val="fr-CA"/>
        </w:rPr>
        <w:t>ordre</w:t>
      </w:r>
      <w:r w:rsidR="004A5170" w:rsidRPr="00B63BD5">
        <w:rPr>
          <w:lang w:val="fr-CA"/>
        </w:rPr>
        <w:t xml:space="preserve"> financier et autre, des déclarations, des garanties et des documents </w:t>
      </w:r>
      <w:r w:rsidR="00787705" w:rsidRPr="00B63BD5">
        <w:rPr>
          <w:lang w:val="fr-CA"/>
        </w:rPr>
        <w:t xml:space="preserve">qui ont été </w:t>
      </w:r>
      <w:r w:rsidR="004A5170" w:rsidRPr="00B63BD5">
        <w:rPr>
          <w:lang w:val="fr-CA"/>
        </w:rPr>
        <w:t>fournis, faits</w:t>
      </w:r>
      <w:r w:rsidR="00052CB0" w:rsidRPr="00B63BD5">
        <w:rPr>
          <w:lang w:val="fr-CA"/>
        </w:rPr>
        <w:t>,</w:t>
      </w:r>
      <w:r w:rsidR="004A5170" w:rsidRPr="00B63BD5">
        <w:rPr>
          <w:lang w:val="fr-CA"/>
        </w:rPr>
        <w:t xml:space="preserve"> donnés </w:t>
      </w:r>
      <w:r w:rsidR="00052CB0" w:rsidRPr="00B63BD5">
        <w:rPr>
          <w:lang w:val="fr-CA"/>
        </w:rPr>
        <w:t>ou</w:t>
      </w:r>
      <w:r w:rsidR="006441CA" w:rsidRPr="00B63BD5">
        <w:rPr>
          <w:lang w:val="fr-CA"/>
        </w:rPr>
        <w:t xml:space="preserve"> </w:t>
      </w:r>
      <w:r w:rsidR="00052CB0" w:rsidRPr="00B63BD5">
        <w:rPr>
          <w:lang w:val="fr-CA"/>
        </w:rPr>
        <w:t xml:space="preserve">remis </w:t>
      </w:r>
      <w:r w:rsidR="004A5170" w:rsidRPr="00B63BD5">
        <w:rPr>
          <w:lang w:val="fr-CA"/>
        </w:rPr>
        <w:t>à la Banque, la Banque a convenu, à la demande de l</w:t>
      </w:r>
      <w:r w:rsidR="00564B0C" w:rsidRPr="00B63BD5">
        <w:rPr>
          <w:lang w:val="fr-CA"/>
        </w:rPr>
        <w:t>’</w:t>
      </w:r>
      <w:r w:rsidR="004A5170" w:rsidRPr="00B63BD5">
        <w:rPr>
          <w:lang w:val="fr-CA"/>
        </w:rPr>
        <w:t xml:space="preserve">Emprunteur, de continuer à </w:t>
      </w:r>
      <w:r w:rsidR="00894F3E" w:rsidRPr="00B63BD5">
        <w:rPr>
          <w:lang w:val="fr-CA"/>
        </w:rPr>
        <w:t>lui</w:t>
      </w:r>
      <w:r w:rsidR="004A5170" w:rsidRPr="00B63BD5">
        <w:rPr>
          <w:lang w:val="fr-CA"/>
        </w:rPr>
        <w:t xml:space="preserve"> </w:t>
      </w:r>
      <w:r w:rsidR="00EC3CB5" w:rsidRPr="00B63BD5">
        <w:rPr>
          <w:lang w:val="fr-CA"/>
        </w:rPr>
        <w:t xml:space="preserve">consentir </w:t>
      </w:r>
      <w:r w:rsidR="004A5170" w:rsidRPr="00B63BD5">
        <w:rPr>
          <w:lang w:val="fr-CA"/>
        </w:rPr>
        <w:t xml:space="preserve">les Facilités de crédit et de modifier certaines modalités de la Lettre </w:t>
      </w:r>
      <w:r w:rsidR="000379FA" w:rsidRPr="00B63BD5">
        <w:rPr>
          <w:lang w:val="fr-CA"/>
        </w:rPr>
        <w:t>relative aux facilités</w:t>
      </w:r>
      <w:r w:rsidR="003E16D5" w:rsidRPr="00B63BD5">
        <w:rPr>
          <w:lang w:val="fr-CA"/>
        </w:rPr>
        <w:t xml:space="preserve"> initiale</w:t>
      </w:r>
      <w:r w:rsidR="004A5170" w:rsidRPr="00B63BD5">
        <w:rPr>
          <w:lang w:val="fr-CA"/>
        </w:rPr>
        <w:t>, comme il</w:t>
      </w:r>
      <w:r w:rsidR="006441CA" w:rsidRPr="00B63BD5">
        <w:rPr>
          <w:lang w:val="fr-CA"/>
        </w:rPr>
        <w:t xml:space="preserve"> </w:t>
      </w:r>
      <w:r w:rsidR="004A5170" w:rsidRPr="00B63BD5">
        <w:rPr>
          <w:lang w:val="fr-CA"/>
        </w:rPr>
        <w:t>est décrit plus amplement ci</w:t>
      </w:r>
      <w:r w:rsidR="004A5170" w:rsidRPr="00B63BD5">
        <w:rPr>
          <w:lang w:val="fr-CA"/>
        </w:rPr>
        <w:noBreakHyphen/>
        <w:t xml:space="preserve">après. </w:t>
      </w:r>
      <w:r w:rsidR="003E16D5" w:rsidRPr="00B63BD5">
        <w:rPr>
          <w:lang w:val="fr-CA"/>
        </w:rPr>
        <w:t>La</w:t>
      </w:r>
      <w:r w:rsidR="00AC4107" w:rsidRPr="00B63BD5">
        <w:rPr>
          <w:lang w:val="fr-CA"/>
        </w:rPr>
        <w:t xml:space="preserve"> </w:t>
      </w:r>
      <w:r w:rsidR="0050714C" w:rsidRPr="00B63BD5">
        <w:rPr>
          <w:lang w:val="fr-CA"/>
        </w:rPr>
        <w:t xml:space="preserve">Lettre </w:t>
      </w:r>
      <w:r w:rsidR="000379FA" w:rsidRPr="00B63BD5">
        <w:rPr>
          <w:lang w:val="fr-CA"/>
        </w:rPr>
        <w:t>relative aux facilités</w:t>
      </w:r>
      <w:r w:rsidR="003E16D5" w:rsidRPr="00B63BD5">
        <w:rPr>
          <w:lang w:val="fr-CA"/>
        </w:rPr>
        <w:t xml:space="preserve"> initiale</w:t>
      </w:r>
      <w:r w:rsidR="005B2DF9" w:rsidRPr="00B63BD5">
        <w:rPr>
          <w:lang w:val="fr-CA"/>
        </w:rPr>
        <w:t xml:space="preserve"> </w:t>
      </w:r>
      <w:r w:rsidR="0050714C" w:rsidRPr="00B63BD5">
        <w:rPr>
          <w:lang w:val="fr-CA"/>
        </w:rPr>
        <w:t>est</w:t>
      </w:r>
      <w:r w:rsidR="00EC3CB5" w:rsidRPr="00B63BD5">
        <w:rPr>
          <w:lang w:val="fr-CA"/>
        </w:rPr>
        <w:t xml:space="preserve"> </w:t>
      </w:r>
      <w:r w:rsidR="0050714C" w:rsidRPr="00B63BD5">
        <w:rPr>
          <w:lang w:val="fr-CA"/>
        </w:rPr>
        <w:t>modifiée et reformulée</w:t>
      </w:r>
      <w:r w:rsidR="00144C20" w:rsidRPr="00B63BD5">
        <w:rPr>
          <w:lang w:val="fr-CA"/>
        </w:rPr>
        <w:t xml:space="preserve"> dans</w:t>
      </w:r>
      <w:r w:rsidR="00453387" w:rsidRPr="00B63BD5">
        <w:rPr>
          <w:lang w:val="fr-CA"/>
        </w:rPr>
        <w:t> </w:t>
      </w:r>
      <w:r w:rsidR="00144C20" w:rsidRPr="00B63BD5">
        <w:rPr>
          <w:lang w:val="fr-CA"/>
        </w:rPr>
        <w:t>son intégralité (sans novation des dettes et des obligations contractées aux termes des facilités de</w:t>
      </w:r>
      <w:r w:rsidR="00453387" w:rsidRPr="00B63BD5">
        <w:rPr>
          <w:lang w:val="fr-CA"/>
        </w:rPr>
        <w:t> </w:t>
      </w:r>
      <w:r w:rsidR="00144C20" w:rsidRPr="00B63BD5">
        <w:rPr>
          <w:lang w:val="fr-CA"/>
        </w:rPr>
        <w:t>crédit existantes),</w:t>
      </w:r>
      <w:r w:rsidR="005B2DF9" w:rsidRPr="00B63BD5">
        <w:rPr>
          <w:lang w:val="fr-CA"/>
        </w:rPr>
        <w:t xml:space="preserve"> afin de se lire à compter de</w:t>
      </w:r>
      <w:r w:rsidR="0050714C" w:rsidRPr="00B63BD5">
        <w:rPr>
          <w:lang w:val="fr-CA"/>
        </w:rPr>
        <w:t xml:space="preserve"> </w:t>
      </w:r>
      <w:r w:rsidR="00EC3CB5" w:rsidRPr="00B63BD5">
        <w:rPr>
          <w:lang w:val="fr-CA"/>
        </w:rPr>
        <w:t>la date indiquée ci</w:t>
      </w:r>
      <w:r w:rsidR="00EC3CB5" w:rsidRPr="00B63BD5">
        <w:rPr>
          <w:lang w:val="fr-CA"/>
        </w:rPr>
        <w:noBreakHyphen/>
        <w:t>dessus</w:t>
      </w:r>
      <w:r w:rsidR="003E16D5" w:rsidRPr="00B63BD5">
        <w:rPr>
          <w:lang w:val="fr-CA"/>
        </w:rPr>
        <w:t>,</w:t>
      </w:r>
      <w:r w:rsidR="0050714C" w:rsidRPr="00B63BD5">
        <w:rPr>
          <w:lang w:val="fr-CA"/>
        </w:rPr>
        <w:t xml:space="preserve"> comme suit</w:t>
      </w:r>
      <w:r w:rsidR="005B2DF9" w:rsidRPr="00B63BD5">
        <w:rPr>
          <w:lang w:val="fr-CA"/>
        </w:rPr>
        <w:t xml:space="preserve"> (ci-après appelée la</w:t>
      </w:r>
      <w:r w:rsidR="006441CA" w:rsidRPr="00B63BD5">
        <w:rPr>
          <w:lang w:val="fr-CA"/>
        </w:rPr>
        <w:t xml:space="preserve"> </w:t>
      </w:r>
      <w:r w:rsidR="005B2DF9" w:rsidRPr="00B63BD5">
        <w:rPr>
          <w:lang w:val="fr-CA"/>
        </w:rPr>
        <w:t>«</w:t>
      </w:r>
      <w:r w:rsidR="0094743F" w:rsidRPr="00B63BD5">
        <w:rPr>
          <w:lang w:val="fr-CA"/>
        </w:rPr>
        <w:t> </w:t>
      </w:r>
      <w:r w:rsidR="005B2DF9" w:rsidRPr="00B63BD5">
        <w:rPr>
          <w:b/>
          <w:lang w:val="fr-CA"/>
        </w:rPr>
        <w:t>Lettre</w:t>
      </w:r>
      <w:r w:rsidR="00453387" w:rsidRPr="00B63BD5">
        <w:rPr>
          <w:b/>
          <w:lang w:val="fr-CA"/>
        </w:rPr>
        <w:t> </w:t>
      </w:r>
      <w:r w:rsidR="005B2DF9" w:rsidRPr="00B63BD5">
        <w:rPr>
          <w:b/>
          <w:lang w:val="fr-CA"/>
        </w:rPr>
        <w:t>relative aux facilités</w:t>
      </w:r>
      <w:r w:rsidR="0094743F" w:rsidRPr="00B63BD5">
        <w:rPr>
          <w:b/>
          <w:lang w:val="fr-CA"/>
        </w:rPr>
        <w:t> </w:t>
      </w:r>
      <w:r w:rsidR="005B2DF9" w:rsidRPr="00B63BD5">
        <w:rPr>
          <w:lang w:val="fr-CA"/>
        </w:rPr>
        <w:t>»)</w:t>
      </w:r>
      <w:r w:rsidR="00AC4107" w:rsidRPr="00B63BD5">
        <w:rPr>
          <w:lang w:val="fr-CA"/>
        </w:rPr>
        <w:t xml:space="preserve"> </w:t>
      </w:r>
      <w:r w:rsidR="0050714C" w:rsidRPr="00B63BD5">
        <w:rPr>
          <w:lang w:val="fr-CA"/>
        </w:rPr>
        <w:t>:</w:t>
      </w:r>
    </w:p>
    <w:p w14:paraId="106F95EE" w14:textId="3311A713" w:rsidR="009926E7" w:rsidRPr="00B63BD5" w:rsidRDefault="002E72F1" w:rsidP="00632863">
      <w:pPr>
        <w:pStyle w:val="FOLHeading"/>
        <w:jc w:val="both"/>
      </w:pPr>
      <w:r w:rsidRPr="00B63BD5">
        <w:rPr>
          <w:rStyle w:val="Emphasis"/>
          <w:i w:val="0"/>
        </w:rPr>
        <w:t>EMPRUNTEUR</w:t>
      </w:r>
      <w:r w:rsidR="00C4138E" w:rsidRPr="00B63BD5">
        <w:t>[</w:t>
      </w:r>
      <w:r w:rsidRPr="00B63BD5">
        <w:t>S</w:t>
      </w:r>
      <w:r w:rsidR="00C4138E" w:rsidRPr="00B63BD5">
        <w:t>]</w:t>
      </w:r>
    </w:p>
    <w:p w14:paraId="23D78741" w14:textId="7F8550A0" w:rsidR="00CF6599" w:rsidRPr="00B63BD5" w:rsidRDefault="00CF6599" w:rsidP="00632863">
      <w:pPr>
        <w:keepNext/>
        <w:keepLines/>
        <w:spacing w:after="240"/>
        <w:jc w:val="both"/>
        <w:rPr>
          <w:b/>
          <w:color w:val="00B0F0"/>
          <w:lang w:val="fr-CA"/>
        </w:rPr>
      </w:pPr>
      <w:r w:rsidRPr="00B63BD5">
        <w:rPr>
          <w:b/>
          <w:color w:val="00B0F0"/>
          <w:lang w:val="fr-CA"/>
        </w:rPr>
        <w:t>[</w:t>
      </w:r>
      <w:r w:rsidR="00EC3CB5" w:rsidRPr="00B63BD5">
        <w:rPr>
          <w:b/>
          <w:color w:val="00B0F0"/>
          <w:lang w:val="fr-CA"/>
        </w:rPr>
        <w:t>N.B.</w:t>
      </w:r>
      <w:r w:rsidR="00AC4107" w:rsidRPr="00B63BD5">
        <w:rPr>
          <w:b/>
          <w:color w:val="00B0F0"/>
          <w:lang w:val="fr-CA"/>
        </w:rPr>
        <w:t xml:space="preserve"> </w:t>
      </w:r>
      <w:r w:rsidR="00EC3CB5" w:rsidRPr="00B63BD5">
        <w:rPr>
          <w:b/>
          <w:color w:val="00B0F0"/>
          <w:lang w:val="fr-CA"/>
        </w:rPr>
        <w:t>:</w:t>
      </w:r>
      <w:r w:rsidRPr="00B63BD5">
        <w:rPr>
          <w:b/>
          <w:color w:val="00B0F0"/>
          <w:lang w:val="fr-CA"/>
        </w:rPr>
        <w:t xml:space="preserve"> U</w:t>
      </w:r>
      <w:r w:rsidR="002E72F1" w:rsidRPr="00B63BD5">
        <w:rPr>
          <w:b/>
          <w:color w:val="00B0F0"/>
          <w:lang w:val="fr-CA"/>
        </w:rPr>
        <w:t>tiliser la</w:t>
      </w:r>
      <w:r w:rsidR="000379FA" w:rsidRPr="00B63BD5">
        <w:rPr>
          <w:b/>
          <w:color w:val="00B0F0"/>
          <w:lang w:val="fr-CA"/>
        </w:rPr>
        <w:t xml:space="preserve"> </w:t>
      </w:r>
      <w:r w:rsidR="00EC3CB5" w:rsidRPr="00B63BD5">
        <w:rPr>
          <w:b/>
          <w:color w:val="00B0F0"/>
          <w:lang w:val="fr-CA"/>
        </w:rPr>
        <w:t xml:space="preserve">dénomination sociale </w:t>
      </w:r>
      <w:r w:rsidR="002E72F1" w:rsidRPr="00B63BD5">
        <w:rPr>
          <w:b/>
          <w:color w:val="00B0F0"/>
          <w:lang w:val="fr-CA"/>
        </w:rPr>
        <w:t xml:space="preserve">complète </w:t>
      </w:r>
      <w:r w:rsidR="000379FA" w:rsidRPr="00B63BD5">
        <w:rPr>
          <w:b/>
          <w:color w:val="00B0F0"/>
          <w:lang w:val="fr-CA"/>
        </w:rPr>
        <w:t>d</w:t>
      </w:r>
      <w:r w:rsidR="007E3004" w:rsidRPr="00B63BD5">
        <w:rPr>
          <w:b/>
          <w:color w:val="00B0F0"/>
          <w:lang w:val="fr-CA"/>
        </w:rPr>
        <w:t>e</w:t>
      </w:r>
      <w:r w:rsidR="000379FA" w:rsidRPr="00B63BD5">
        <w:rPr>
          <w:b/>
          <w:color w:val="00B0F0"/>
          <w:lang w:val="fr-CA"/>
        </w:rPr>
        <w:t xml:space="preserve"> </w:t>
      </w:r>
      <w:r w:rsidR="00C4138E" w:rsidRPr="00B63BD5">
        <w:rPr>
          <w:b/>
          <w:color w:val="00B0F0"/>
          <w:lang w:val="fr-CA"/>
        </w:rPr>
        <w:t xml:space="preserve">chaque </w:t>
      </w:r>
      <w:r w:rsidR="002E72F1" w:rsidRPr="00B63BD5">
        <w:rPr>
          <w:b/>
          <w:color w:val="00B0F0"/>
          <w:lang w:val="fr-CA"/>
        </w:rPr>
        <w:t>Emprunteur.]</w:t>
      </w:r>
    </w:p>
    <w:p w14:paraId="1E6CA082" w14:textId="68510F56" w:rsidR="009926E7" w:rsidRPr="00B63BD5" w:rsidRDefault="009D0841" w:rsidP="00632863">
      <w:pPr>
        <w:spacing w:after="240"/>
        <w:jc w:val="both"/>
        <w:rPr>
          <w:lang w:val="fr-CA"/>
        </w:rPr>
      </w:pPr>
      <w:r w:rsidRPr="00B63BD5">
        <w:rPr>
          <w:rStyle w:val="Prompt"/>
          <w:color w:val="auto"/>
          <w:lang w:val="fr-CA"/>
        </w:rPr>
        <w:t>●</w:t>
      </w:r>
      <w:r w:rsidR="009926E7" w:rsidRPr="00B63BD5">
        <w:rPr>
          <w:lang w:val="fr-CA"/>
        </w:rPr>
        <w:t xml:space="preserve"> (</w:t>
      </w:r>
      <w:r w:rsidR="002E72F1" w:rsidRPr="00B63BD5">
        <w:rPr>
          <w:lang w:val="fr-CA"/>
        </w:rPr>
        <w:t>l</w:t>
      </w:r>
      <w:r w:rsidR="00564B0C" w:rsidRPr="00B63BD5">
        <w:rPr>
          <w:lang w:val="fr-CA"/>
        </w:rPr>
        <w:t>’</w:t>
      </w:r>
      <w:r w:rsidR="002E72F1" w:rsidRPr="00B63BD5">
        <w:rPr>
          <w:lang w:val="fr-CA"/>
        </w:rPr>
        <w:t>«</w:t>
      </w:r>
      <w:r w:rsidR="0094743F" w:rsidRPr="00B63BD5">
        <w:rPr>
          <w:lang w:val="fr-CA"/>
        </w:rPr>
        <w:t> </w:t>
      </w:r>
      <w:r w:rsidR="002E72F1" w:rsidRPr="00B63BD5">
        <w:rPr>
          <w:b/>
          <w:lang w:val="fr-CA"/>
        </w:rPr>
        <w:t>Emprunteur</w:t>
      </w:r>
      <w:r w:rsidR="0094743F" w:rsidRPr="00B63BD5">
        <w:rPr>
          <w:lang w:val="fr-CA"/>
        </w:rPr>
        <w:t> </w:t>
      </w:r>
      <w:r w:rsidR="002E72F1" w:rsidRPr="00B63BD5">
        <w:rPr>
          <w:lang w:val="fr-CA"/>
        </w:rPr>
        <w:t>»</w:t>
      </w:r>
      <w:r w:rsidR="003E16D5" w:rsidRPr="00B63BD5">
        <w:rPr>
          <w:lang w:val="fr-CA"/>
        </w:rPr>
        <w:t>)</w:t>
      </w:r>
      <w:r w:rsidR="00F503C3" w:rsidRPr="00B63BD5">
        <w:rPr>
          <w:lang w:val="fr-CA"/>
        </w:rPr>
        <w:t>.</w:t>
      </w:r>
    </w:p>
    <w:p w14:paraId="4856512D" w14:textId="132B9ABE" w:rsidR="00C4138E" w:rsidRPr="00B63BD5" w:rsidRDefault="00C4138E" w:rsidP="00632863">
      <w:pPr>
        <w:spacing w:after="240"/>
        <w:jc w:val="both"/>
        <w:rPr>
          <w:b/>
          <w:color w:val="00B0F0"/>
          <w:lang w:val="fr-CA"/>
        </w:rPr>
      </w:pPr>
      <w:r w:rsidRPr="00B63BD5">
        <w:rPr>
          <w:b/>
          <w:color w:val="00B0F0"/>
          <w:lang w:val="fr-CA"/>
        </w:rPr>
        <w:t>[N.B.</w:t>
      </w:r>
      <w:r w:rsidR="00AC4107" w:rsidRPr="00B63BD5">
        <w:rPr>
          <w:b/>
          <w:color w:val="00B0F0"/>
          <w:lang w:val="fr-CA"/>
        </w:rPr>
        <w:t xml:space="preserve"> </w:t>
      </w:r>
      <w:r w:rsidRPr="00B63BD5">
        <w:rPr>
          <w:b/>
          <w:color w:val="00B0F0"/>
          <w:lang w:val="fr-CA"/>
        </w:rPr>
        <w:t>: S</w:t>
      </w:r>
      <w:r w:rsidR="00564B0C" w:rsidRPr="00B63BD5">
        <w:rPr>
          <w:b/>
          <w:color w:val="00B0F0"/>
          <w:lang w:val="fr-CA"/>
        </w:rPr>
        <w:t>’</w:t>
      </w:r>
      <w:r w:rsidRPr="00B63BD5">
        <w:rPr>
          <w:b/>
          <w:color w:val="00B0F0"/>
          <w:lang w:val="fr-CA"/>
        </w:rPr>
        <w:t xml:space="preserve">il y a plusieurs emprunteurs, inscrire le nom complet de </w:t>
      </w:r>
      <w:r w:rsidRPr="00B63BD5">
        <w:rPr>
          <w:b/>
          <w:color w:val="00B0F0"/>
          <w:u w:val="single"/>
          <w:lang w:val="fr-CA"/>
        </w:rPr>
        <w:t>chaque</w:t>
      </w:r>
      <w:r w:rsidRPr="00B63BD5">
        <w:rPr>
          <w:b/>
          <w:color w:val="00B0F0"/>
          <w:lang w:val="fr-CA"/>
        </w:rPr>
        <w:t xml:space="preserve"> Emprunteur </w:t>
      </w:r>
      <w:r w:rsidRPr="00B63BD5">
        <w:rPr>
          <w:b/>
          <w:color w:val="00B0F0"/>
          <w:u w:val="single"/>
          <w:lang w:val="fr-CA"/>
        </w:rPr>
        <w:t>et</w:t>
      </w:r>
      <w:r w:rsidRPr="00B63BD5">
        <w:rPr>
          <w:b/>
          <w:color w:val="00B0F0"/>
          <w:lang w:val="fr-CA"/>
        </w:rPr>
        <w:t xml:space="preserve"> </w:t>
      </w:r>
      <w:r w:rsidR="00AB3E27" w:rsidRPr="00B63BD5">
        <w:rPr>
          <w:b/>
          <w:color w:val="00B0F0"/>
          <w:lang w:val="fr-CA"/>
        </w:rPr>
        <w:t xml:space="preserve">le libellé sur la responsabilité solidaire qui </w:t>
      </w:r>
      <w:r w:rsidRPr="00B63BD5">
        <w:rPr>
          <w:b/>
          <w:color w:val="00B0F0"/>
          <w:lang w:val="fr-CA"/>
        </w:rPr>
        <w:t xml:space="preserve">suit. </w:t>
      </w:r>
      <w:r w:rsidR="00830777" w:rsidRPr="00B63BD5">
        <w:rPr>
          <w:b/>
          <w:color w:val="00B0F0"/>
          <w:lang w:val="fr-CA"/>
        </w:rPr>
        <w:t xml:space="preserve">On peut </w:t>
      </w:r>
      <w:r w:rsidRPr="00B63BD5">
        <w:rPr>
          <w:b/>
          <w:color w:val="00B0F0"/>
          <w:lang w:val="fr-CA"/>
        </w:rPr>
        <w:t xml:space="preserve">utiliser </w:t>
      </w:r>
      <w:r w:rsidR="00AB3E27" w:rsidRPr="00B63BD5">
        <w:rPr>
          <w:b/>
          <w:color w:val="00B0F0"/>
          <w:lang w:val="fr-CA"/>
        </w:rPr>
        <w:t xml:space="preserve">soit </w:t>
      </w:r>
      <w:r w:rsidRPr="00B63BD5">
        <w:rPr>
          <w:b/>
          <w:color w:val="00B0F0"/>
          <w:lang w:val="fr-CA"/>
        </w:rPr>
        <w:t>«</w:t>
      </w:r>
      <w:r w:rsidR="0094743F" w:rsidRPr="00B63BD5">
        <w:rPr>
          <w:b/>
          <w:color w:val="00B0F0"/>
          <w:lang w:val="fr-CA"/>
        </w:rPr>
        <w:t> </w:t>
      </w:r>
      <w:r w:rsidRPr="00B63BD5">
        <w:rPr>
          <w:b/>
          <w:color w:val="00B0F0"/>
          <w:lang w:val="fr-CA"/>
        </w:rPr>
        <w:t>Emprunteur</w:t>
      </w:r>
      <w:r w:rsidR="0094743F" w:rsidRPr="00B63BD5">
        <w:rPr>
          <w:b/>
          <w:color w:val="00B0F0"/>
          <w:lang w:val="fr-CA"/>
        </w:rPr>
        <w:t> </w:t>
      </w:r>
      <w:r w:rsidRPr="00B63BD5">
        <w:rPr>
          <w:b/>
          <w:color w:val="00B0F0"/>
          <w:lang w:val="fr-CA"/>
        </w:rPr>
        <w:t xml:space="preserve">» </w:t>
      </w:r>
      <w:r w:rsidR="00AB3E27" w:rsidRPr="00B63BD5">
        <w:rPr>
          <w:b/>
          <w:color w:val="00B0F0"/>
          <w:lang w:val="fr-CA"/>
        </w:rPr>
        <w:t xml:space="preserve">soit </w:t>
      </w:r>
      <w:r w:rsidRPr="00B63BD5">
        <w:rPr>
          <w:b/>
          <w:color w:val="00B0F0"/>
          <w:lang w:val="fr-CA"/>
        </w:rPr>
        <w:t>«</w:t>
      </w:r>
      <w:r w:rsidR="0094743F" w:rsidRPr="00B63BD5">
        <w:rPr>
          <w:b/>
          <w:color w:val="00B0F0"/>
          <w:lang w:val="fr-CA"/>
        </w:rPr>
        <w:t> </w:t>
      </w:r>
      <w:r w:rsidRPr="00B63BD5">
        <w:rPr>
          <w:b/>
          <w:color w:val="00B0F0"/>
          <w:lang w:val="fr-CA"/>
        </w:rPr>
        <w:t>Emprunteurs</w:t>
      </w:r>
      <w:r w:rsidR="0094743F" w:rsidRPr="00B63BD5">
        <w:rPr>
          <w:b/>
          <w:color w:val="00B0F0"/>
          <w:lang w:val="fr-CA"/>
        </w:rPr>
        <w:t> </w:t>
      </w:r>
      <w:r w:rsidRPr="00B63BD5">
        <w:rPr>
          <w:b/>
          <w:color w:val="00B0F0"/>
          <w:lang w:val="fr-CA"/>
        </w:rPr>
        <w:t>» dans tout le</w:t>
      </w:r>
      <w:r w:rsidR="00564B0C" w:rsidRPr="00B63BD5">
        <w:rPr>
          <w:b/>
          <w:color w:val="00B0F0"/>
          <w:lang w:val="fr-CA"/>
        </w:rPr>
        <w:t> </w:t>
      </w:r>
      <w:r w:rsidRPr="00B63BD5">
        <w:rPr>
          <w:b/>
          <w:color w:val="00B0F0"/>
          <w:lang w:val="fr-CA"/>
        </w:rPr>
        <w:t>document.]</w:t>
      </w:r>
    </w:p>
    <w:p w14:paraId="3274FCCC" w14:textId="5C01F331" w:rsidR="00C4138E" w:rsidRPr="00B63BD5" w:rsidRDefault="009D0841" w:rsidP="00632863">
      <w:pPr>
        <w:jc w:val="both"/>
        <w:rPr>
          <w:rStyle w:val="Prompt"/>
          <w:b/>
          <w:color w:val="auto"/>
          <w:lang w:val="fr-CA"/>
        </w:rPr>
      </w:pPr>
      <w:r w:rsidRPr="00B63BD5">
        <w:rPr>
          <w:b/>
          <w:lang w:val="fr-CA"/>
        </w:rPr>
        <w:t>●</w:t>
      </w:r>
      <w:r w:rsidR="00C4138E" w:rsidRPr="00B63BD5">
        <w:rPr>
          <w:rStyle w:val="Prompt"/>
          <w:b/>
          <w:color w:val="auto"/>
          <w:lang w:val="fr-CA"/>
        </w:rPr>
        <w:t>,</w:t>
      </w:r>
    </w:p>
    <w:p w14:paraId="660FB812" w14:textId="77777777" w:rsidR="00DD6EEC" w:rsidRPr="00B63BD5" w:rsidRDefault="009D0841" w:rsidP="00632863">
      <w:pPr>
        <w:jc w:val="both"/>
        <w:rPr>
          <w:rStyle w:val="Prompt"/>
          <w:b/>
          <w:color w:val="auto"/>
          <w:lang w:val="fr-CA"/>
        </w:rPr>
      </w:pPr>
      <w:r w:rsidRPr="00B63BD5">
        <w:rPr>
          <w:rStyle w:val="Prompt"/>
          <w:b/>
          <w:color w:val="auto"/>
          <w:lang w:val="fr-CA"/>
        </w:rPr>
        <w:t>●</w:t>
      </w:r>
      <w:r w:rsidR="00DD6EEC" w:rsidRPr="00B63BD5">
        <w:rPr>
          <w:rStyle w:val="Prompt"/>
          <w:b/>
          <w:color w:val="auto"/>
          <w:lang w:val="fr-CA"/>
        </w:rPr>
        <w:t xml:space="preserve"> </w:t>
      </w:r>
      <w:r w:rsidR="00C4138E" w:rsidRPr="00B63BD5">
        <w:rPr>
          <w:rStyle w:val="Prompt"/>
          <w:b/>
          <w:color w:val="auto"/>
          <w:lang w:val="fr-CA"/>
        </w:rPr>
        <w:t>et</w:t>
      </w:r>
    </w:p>
    <w:p w14:paraId="688BBBCE" w14:textId="283C452D" w:rsidR="00C4138E" w:rsidRPr="00B63BD5" w:rsidRDefault="009D0841" w:rsidP="00632863">
      <w:pPr>
        <w:jc w:val="both"/>
        <w:rPr>
          <w:rStyle w:val="Prompt"/>
          <w:b/>
          <w:color w:val="auto"/>
          <w:lang w:val="fr-CA"/>
        </w:rPr>
      </w:pPr>
      <w:r w:rsidRPr="00B63BD5">
        <w:rPr>
          <w:rStyle w:val="Prompt"/>
          <w:b/>
          <w:color w:val="auto"/>
          <w:lang w:val="fr-CA"/>
        </w:rPr>
        <w:t>●</w:t>
      </w:r>
    </w:p>
    <w:p w14:paraId="53B0BED4" w14:textId="6C317F4C" w:rsidR="00C4138E" w:rsidRPr="00B63BD5" w:rsidRDefault="00C4138E" w:rsidP="001B1A70">
      <w:pPr>
        <w:spacing w:before="200" w:after="200"/>
        <w:jc w:val="both"/>
        <w:rPr>
          <w:rStyle w:val="Prompt"/>
          <w:color w:val="auto"/>
          <w:lang w:val="fr-CA"/>
        </w:rPr>
      </w:pPr>
      <w:r w:rsidRPr="00B63BD5">
        <w:rPr>
          <w:rStyle w:val="Prompt"/>
          <w:color w:val="auto"/>
          <w:lang w:val="fr-CA"/>
        </w:rPr>
        <w:t>(</w:t>
      </w:r>
      <w:r w:rsidR="00AB3E27" w:rsidRPr="00B63BD5">
        <w:rPr>
          <w:rStyle w:val="Prompt"/>
          <w:color w:val="auto"/>
          <w:lang w:val="fr-CA"/>
        </w:rPr>
        <w:t xml:space="preserve">individuellement, </w:t>
      </w:r>
      <w:r w:rsidRPr="00B63BD5">
        <w:rPr>
          <w:rStyle w:val="Prompt"/>
          <w:color w:val="auto"/>
          <w:lang w:val="fr-CA"/>
        </w:rPr>
        <w:t>un</w:t>
      </w:r>
      <w:r w:rsidR="00AC4107" w:rsidRPr="00B63BD5">
        <w:rPr>
          <w:rStyle w:val="Prompt"/>
          <w:color w:val="auto"/>
          <w:lang w:val="fr-CA"/>
        </w:rPr>
        <w:t xml:space="preserve"> </w:t>
      </w:r>
      <w:r w:rsidRPr="00B63BD5">
        <w:rPr>
          <w:rStyle w:val="Prompt"/>
          <w:color w:val="auto"/>
          <w:lang w:val="fr-CA"/>
        </w:rPr>
        <w:t>«</w:t>
      </w:r>
      <w:r w:rsidR="0094743F" w:rsidRPr="00B63BD5">
        <w:rPr>
          <w:rStyle w:val="Prompt"/>
          <w:color w:val="auto"/>
          <w:lang w:val="fr-CA"/>
        </w:rPr>
        <w:t> </w:t>
      </w:r>
      <w:r w:rsidRPr="00B63BD5">
        <w:rPr>
          <w:rStyle w:val="Prompt"/>
          <w:b/>
          <w:color w:val="auto"/>
          <w:lang w:val="fr-CA"/>
        </w:rPr>
        <w:t>Emprunteur</w:t>
      </w:r>
      <w:r w:rsidR="0094743F" w:rsidRPr="00B63BD5">
        <w:rPr>
          <w:rStyle w:val="Prompt"/>
          <w:color w:val="auto"/>
          <w:lang w:val="fr-CA"/>
        </w:rPr>
        <w:t> </w:t>
      </w:r>
      <w:r w:rsidR="005B2DF9" w:rsidRPr="00B63BD5">
        <w:rPr>
          <w:rStyle w:val="Prompt"/>
          <w:color w:val="auto"/>
          <w:lang w:val="fr-CA"/>
        </w:rPr>
        <w:t xml:space="preserve">» et </w:t>
      </w:r>
      <w:r w:rsidRPr="00B63BD5">
        <w:rPr>
          <w:rStyle w:val="Prompt"/>
          <w:color w:val="auto"/>
          <w:lang w:val="fr-CA"/>
        </w:rPr>
        <w:t>collectivement, les</w:t>
      </w:r>
      <w:r w:rsidR="00AC4107" w:rsidRPr="00B63BD5">
        <w:rPr>
          <w:rStyle w:val="Prompt"/>
          <w:color w:val="auto"/>
          <w:lang w:val="fr-CA"/>
        </w:rPr>
        <w:t xml:space="preserve"> </w:t>
      </w:r>
      <w:r w:rsidRPr="00B63BD5">
        <w:rPr>
          <w:rStyle w:val="Prompt"/>
          <w:color w:val="auto"/>
          <w:lang w:val="fr-CA"/>
        </w:rPr>
        <w:t>«</w:t>
      </w:r>
      <w:r w:rsidR="0094743F" w:rsidRPr="00B63BD5">
        <w:rPr>
          <w:rStyle w:val="Prompt"/>
          <w:color w:val="auto"/>
          <w:lang w:val="fr-CA"/>
        </w:rPr>
        <w:t> </w:t>
      </w:r>
      <w:r w:rsidRPr="00B63BD5">
        <w:rPr>
          <w:rStyle w:val="Prompt"/>
          <w:b/>
          <w:color w:val="auto"/>
          <w:lang w:val="fr-CA"/>
        </w:rPr>
        <w:t>Emprunteurs</w:t>
      </w:r>
      <w:r w:rsidR="0094743F" w:rsidRPr="00B63BD5">
        <w:rPr>
          <w:rStyle w:val="Prompt"/>
          <w:color w:val="auto"/>
          <w:lang w:val="fr-CA"/>
        </w:rPr>
        <w:t> </w:t>
      </w:r>
      <w:r w:rsidRPr="00B63BD5">
        <w:rPr>
          <w:rStyle w:val="Prompt"/>
          <w:color w:val="auto"/>
          <w:lang w:val="fr-CA"/>
        </w:rPr>
        <w:t>»</w:t>
      </w:r>
      <w:r w:rsidR="004E463A" w:rsidRPr="00B63BD5">
        <w:rPr>
          <w:rStyle w:val="Prompt"/>
          <w:color w:val="auto"/>
          <w:lang w:val="fr-CA"/>
        </w:rPr>
        <w:t xml:space="preserve"> et</w:t>
      </w:r>
      <w:r w:rsidR="002B61C6" w:rsidRPr="00B63BD5">
        <w:rPr>
          <w:rStyle w:val="Prompt"/>
          <w:color w:val="auto"/>
          <w:lang w:val="fr-CA"/>
        </w:rPr>
        <w:t>, pour plus de précision</w:t>
      </w:r>
      <w:r w:rsidR="00F358DD" w:rsidRPr="00B63BD5">
        <w:rPr>
          <w:rStyle w:val="Prompt"/>
          <w:color w:val="auto"/>
          <w:lang w:val="fr-CA"/>
        </w:rPr>
        <w:t>, l</w:t>
      </w:r>
      <w:r w:rsidR="0096299F" w:rsidRPr="00B63BD5">
        <w:rPr>
          <w:rStyle w:val="Prompt"/>
          <w:color w:val="auto"/>
          <w:lang w:val="fr-CA"/>
        </w:rPr>
        <w:t>a</w:t>
      </w:r>
      <w:r w:rsidR="00564B0C" w:rsidRPr="00B63BD5">
        <w:rPr>
          <w:rStyle w:val="Prompt"/>
          <w:color w:val="auto"/>
          <w:lang w:val="fr-CA"/>
        </w:rPr>
        <w:t> </w:t>
      </w:r>
      <w:r w:rsidR="00F358DD" w:rsidRPr="00B63BD5">
        <w:rPr>
          <w:rStyle w:val="Prompt"/>
          <w:color w:val="auto"/>
          <w:lang w:val="fr-CA"/>
        </w:rPr>
        <w:t>mention «</w:t>
      </w:r>
      <w:r w:rsidR="0094743F" w:rsidRPr="00B63BD5">
        <w:rPr>
          <w:rStyle w:val="Prompt"/>
          <w:color w:val="auto"/>
          <w:lang w:val="fr-CA"/>
        </w:rPr>
        <w:t> </w:t>
      </w:r>
      <w:r w:rsidR="00F358DD" w:rsidRPr="00B63BD5">
        <w:rPr>
          <w:rStyle w:val="Prompt"/>
          <w:color w:val="auto"/>
          <w:lang w:val="fr-CA"/>
        </w:rPr>
        <w:t>Emprunteur</w:t>
      </w:r>
      <w:r w:rsidR="0094743F" w:rsidRPr="00B63BD5">
        <w:rPr>
          <w:rStyle w:val="Prompt"/>
          <w:color w:val="auto"/>
          <w:lang w:val="fr-CA"/>
        </w:rPr>
        <w:t> </w:t>
      </w:r>
      <w:r w:rsidR="00F358DD" w:rsidRPr="00B63BD5">
        <w:rPr>
          <w:rStyle w:val="Prompt"/>
          <w:color w:val="auto"/>
          <w:lang w:val="fr-CA"/>
        </w:rPr>
        <w:t>»</w:t>
      </w:r>
      <w:r w:rsidR="009270D2" w:rsidRPr="00B63BD5">
        <w:rPr>
          <w:rStyle w:val="Prompt"/>
          <w:color w:val="auto"/>
          <w:lang w:val="fr-CA"/>
        </w:rPr>
        <w:t xml:space="preserve"> </w:t>
      </w:r>
      <w:r w:rsidR="00F358DD" w:rsidRPr="00B63BD5">
        <w:rPr>
          <w:rStyle w:val="Prompt"/>
          <w:color w:val="auto"/>
          <w:lang w:val="fr-CA"/>
        </w:rPr>
        <w:t>désigne chacun des Emprunteurs et</w:t>
      </w:r>
      <w:r w:rsidR="005B2DF9" w:rsidRPr="00B63BD5">
        <w:rPr>
          <w:rStyle w:val="Prompt"/>
          <w:color w:val="auto"/>
          <w:lang w:val="fr-CA"/>
        </w:rPr>
        <w:t xml:space="preserve"> tous les</w:t>
      </w:r>
      <w:r w:rsidR="00F358DD" w:rsidRPr="00B63BD5">
        <w:rPr>
          <w:rStyle w:val="Prompt"/>
          <w:color w:val="auto"/>
          <w:lang w:val="fr-CA"/>
        </w:rPr>
        <w:t xml:space="preserve"> Emprunteurs, sauf indication</w:t>
      </w:r>
      <w:r w:rsidR="006441CA" w:rsidRPr="00B63BD5">
        <w:rPr>
          <w:rStyle w:val="Prompt"/>
          <w:color w:val="auto"/>
          <w:lang w:val="fr-CA"/>
        </w:rPr>
        <w:t xml:space="preserve"> </w:t>
      </w:r>
      <w:r w:rsidR="00F358DD" w:rsidRPr="00B63BD5">
        <w:rPr>
          <w:rStyle w:val="Prompt"/>
          <w:color w:val="auto"/>
          <w:lang w:val="fr-CA"/>
        </w:rPr>
        <w:t>contraire</w:t>
      </w:r>
      <w:r w:rsidR="008C59F1" w:rsidRPr="00B63BD5">
        <w:rPr>
          <w:rStyle w:val="Prompt"/>
          <w:color w:val="auto"/>
          <w:lang w:val="fr-CA"/>
        </w:rPr>
        <w:t>.</w:t>
      </w:r>
      <w:r w:rsidR="00F358DD" w:rsidRPr="00B63BD5">
        <w:rPr>
          <w:rStyle w:val="Prompt"/>
          <w:color w:val="auto"/>
          <w:lang w:val="fr-CA"/>
        </w:rPr>
        <w:t>)</w:t>
      </w:r>
    </w:p>
    <w:p w14:paraId="3A050A93" w14:textId="2990CD0C" w:rsidR="006F0D95" w:rsidRPr="00B63BD5" w:rsidRDefault="00C4138E" w:rsidP="00632863">
      <w:pPr>
        <w:spacing w:after="240"/>
        <w:jc w:val="both"/>
        <w:rPr>
          <w:lang w:val="fr-CA"/>
        </w:rPr>
      </w:pPr>
      <w:r w:rsidRPr="00B63BD5">
        <w:rPr>
          <w:lang w:val="fr-CA"/>
        </w:rPr>
        <w:t>C</w:t>
      </w:r>
      <w:r w:rsidR="00BF0555" w:rsidRPr="00B63BD5">
        <w:rPr>
          <w:lang w:val="fr-CA"/>
        </w:rPr>
        <w:t>hacun des Emprunteurs convient qu</w:t>
      </w:r>
      <w:r w:rsidR="00564B0C" w:rsidRPr="00B63BD5">
        <w:rPr>
          <w:lang w:val="fr-CA"/>
        </w:rPr>
        <w:t>’</w:t>
      </w:r>
      <w:r w:rsidR="00BF0555" w:rsidRPr="00B63BD5">
        <w:rPr>
          <w:lang w:val="fr-CA"/>
        </w:rPr>
        <w:t>il sera solidairement responsable avec tous les autres Emprunteurs de l</w:t>
      </w:r>
      <w:r w:rsidR="00564B0C" w:rsidRPr="00B63BD5">
        <w:rPr>
          <w:lang w:val="fr-CA"/>
        </w:rPr>
        <w:t>’</w:t>
      </w:r>
      <w:r w:rsidR="00BF0555" w:rsidRPr="00B63BD5">
        <w:rPr>
          <w:lang w:val="fr-CA"/>
        </w:rPr>
        <w:t>ensemble des dettes, des responsabilités, des engagements et des obligations prévu</w:t>
      </w:r>
      <w:r w:rsidR="00122508" w:rsidRPr="00B63BD5">
        <w:rPr>
          <w:lang w:val="fr-CA"/>
        </w:rPr>
        <w:t>e</w:t>
      </w:r>
      <w:r w:rsidR="00BF0555" w:rsidRPr="00B63BD5">
        <w:rPr>
          <w:lang w:val="fr-CA"/>
        </w:rPr>
        <w:t>s par</w:t>
      </w:r>
      <w:r w:rsidR="006441CA" w:rsidRPr="00B63BD5">
        <w:rPr>
          <w:lang w:val="fr-CA"/>
        </w:rPr>
        <w:t xml:space="preserve"> </w:t>
      </w:r>
      <w:r w:rsidR="00BF0555" w:rsidRPr="00B63BD5">
        <w:rPr>
          <w:lang w:val="fr-CA"/>
        </w:rPr>
        <w:t>les</w:t>
      </w:r>
      <w:r w:rsidR="006441CA" w:rsidRPr="00B63BD5">
        <w:rPr>
          <w:lang w:val="fr-CA"/>
        </w:rPr>
        <w:t xml:space="preserve"> </w:t>
      </w:r>
      <w:r w:rsidR="00BF0555" w:rsidRPr="00B63BD5">
        <w:rPr>
          <w:lang w:val="fr-CA"/>
        </w:rPr>
        <w:t>présentes et par chacun des autres Documents de prêt.</w:t>
      </w:r>
    </w:p>
    <w:p w14:paraId="0D63BCED" w14:textId="2F40F0FF" w:rsidR="00593C77" w:rsidRPr="00B63BD5" w:rsidRDefault="00593C77" w:rsidP="00632863">
      <w:pPr>
        <w:pStyle w:val="FOLHeading"/>
        <w:jc w:val="both"/>
      </w:pPr>
      <w:r w:rsidRPr="00B63BD5">
        <w:lastRenderedPageBreak/>
        <w:t>GARANT</w:t>
      </w:r>
      <w:r w:rsidR="00C4138E" w:rsidRPr="00B63BD5">
        <w:t>[</w:t>
      </w:r>
      <w:r w:rsidRPr="00B63BD5">
        <w:t>S</w:t>
      </w:r>
      <w:r w:rsidR="00C4138E" w:rsidRPr="00B63BD5">
        <w:t>]</w:t>
      </w:r>
    </w:p>
    <w:p w14:paraId="465378A2" w14:textId="2AB6D5FF" w:rsidR="002E72F1" w:rsidRPr="00B63BD5" w:rsidRDefault="002E72F1" w:rsidP="00632863">
      <w:pPr>
        <w:keepNext/>
        <w:keepLines/>
        <w:spacing w:after="240"/>
        <w:jc w:val="both"/>
        <w:rPr>
          <w:b/>
          <w:color w:val="00B0F0"/>
          <w:lang w:val="fr-CA"/>
        </w:rPr>
      </w:pPr>
      <w:r w:rsidRPr="00B63BD5">
        <w:rPr>
          <w:b/>
          <w:color w:val="00B0F0"/>
          <w:lang w:val="fr-CA"/>
        </w:rPr>
        <w:t>[</w:t>
      </w:r>
      <w:r w:rsidR="00EC3CB5" w:rsidRPr="00B63BD5">
        <w:rPr>
          <w:b/>
          <w:color w:val="00B0F0"/>
          <w:lang w:val="fr-CA"/>
        </w:rPr>
        <w:t>N.B.</w:t>
      </w:r>
      <w:r w:rsidR="00AC4107" w:rsidRPr="00B63BD5">
        <w:rPr>
          <w:b/>
          <w:color w:val="00B0F0"/>
          <w:lang w:val="fr-CA"/>
        </w:rPr>
        <w:t xml:space="preserve"> </w:t>
      </w:r>
      <w:r w:rsidR="00EC3CB5" w:rsidRPr="00B63BD5">
        <w:rPr>
          <w:b/>
          <w:color w:val="00B0F0"/>
          <w:lang w:val="fr-CA"/>
        </w:rPr>
        <w:t>:</w:t>
      </w:r>
      <w:r w:rsidRPr="00B63BD5">
        <w:rPr>
          <w:b/>
          <w:color w:val="00B0F0"/>
          <w:lang w:val="fr-CA"/>
        </w:rPr>
        <w:t xml:space="preserve"> Utiliser la </w:t>
      </w:r>
      <w:r w:rsidR="00EC3CB5" w:rsidRPr="00B63BD5">
        <w:rPr>
          <w:b/>
          <w:color w:val="00B0F0"/>
          <w:lang w:val="fr-CA"/>
        </w:rPr>
        <w:t xml:space="preserve">dénomination sociale </w:t>
      </w:r>
      <w:r w:rsidRPr="00B63BD5">
        <w:rPr>
          <w:b/>
          <w:color w:val="00B0F0"/>
          <w:lang w:val="fr-CA"/>
        </w:rPr>
        <w:t xml:space="preserve">complète </w:t>
      </w:r>
      <w:r w:rsidR="00C4138E" w:rsidRPr="00B63BD5">
        <w:rPr>
          <w:b/>
          <w:color w:val="00B0F0"/>
          <w:lang w:val="fr-CA"/>
        </w:rPr>
        <w:t xml:space="preserve">de chaque </w:t>
      </w:r>
      <w:r w:rsidRPr="00B63BD5">
        <w:rPr>
          <w:b/>
          <w:color w:val="00B0F0"/>
          <w:lang w:val="fr-CA"/>
        </w:rPr>
        <w:t>Garant.]</w:t>
      </w:r>
    </w:p>
    <w:p w14:paraId="0B47C2F6" w14:textId="2FA2F11F" w:rsidR="00593C77" w:rsidRPr="00B63BD5" w:rsidRDefault="009D0841" w:rsidP="00632863">
      <w:pPr>
        <w:spacing w:after="240"/>
        <w:jc w:val="both"/>
        <w:rPr>
          <w:lang w:val="fr-CA"/>
        </w:rPr>
      </w:pPr>
      <w:r w:rsidRPr="00B63BD5">
        <w:rPr>
          <w:rStyle w:val="Prompt"/>
          <w:color w:val="auto"/>
          <w:lang w:val="fr-CA"/>
        </w:rPr>
        <w:t>●</w:t>
      </w:r>
      <w:r w:rsidR="00593C77" w:rsidRPr="00B63BD5">
        <w:rPr>
          <w:lang w:val="fr-CA"/>
        </w:rPr>
        <w:t xml:space="preserve"> (</w:t>
      </w:r>
      <w:r w:rsidR="002E72F1" w:rsidRPr="00B63BD5">
        <w:rPr>
          <w:lang w:val="fr-CA"/>
        </w:rPr>
        <w:t>le</w:t>
      </w:r>
      <w:r w:rsidR="00AC4107" w:rsidRPr="00B63BD5">
        <w:rPr>
          <w:lang w:val="fr-CA"/>
        </w:rPr>
        <w:t xml:space="preserve"> </w:t>
      </w:r>
      <w:r w:rsidR="002E72F1" w:rsidRPr="00B63BD5">
        <w:rPr>
          <w:lang w:val="fr-CA"/>
        </w:rPr>
        <w:t>«</w:t>
      </w:r>
      <w:r w:rsidR="0094743F" w:rsidRPr="00B63BD5">
        <w:rPr>
          <w:lang w:val="fr-CA"/>
        </w:rPr>
        <w:t> </w:t>
      </w:r>
      <w:r w:rsidR="002E72F1" w:rsidRPr="00B63BD5">
        <w:rPr>
          <w:b/>
          <w:lang w:val="fr-CA"/>
        </w:rPr>
        <w:t>Garant</w:t>
      </w:r>
      <w:r w:rsidR="0094743F" w:rsidRPr="00B63BD5">
        <w:rPr>
          <w:lang w:val="fr-CA"/>
        </w:rPr>
        <w:t> </w:t>
      </w:r>
      <w:r w:rsidR="002E72F1" w:rsidRPr="00B63BD5">
        <w:rPr>
          <w:lang w:val="fr-CA"/>
        </w:rPr>
        <w:t>»)</w:t>
      </w:r>
      <w:r w:rsidR="00F503C3" w:rsidRPr="00B63BD5">
        <w:rPr>
          <w:lang w:val="fr-CA"/>
        </w:rPr>
        <w:t>.</w:t>
      </w:r>
    </w:p>
    <w:p w14:paraId="5B0EFE41" w14:textId="385DC289" w:rsidR="00C4138E" w:rsidRPr="00B63BD5" w:rsidRDefault="00C4138E" w:rsidP="00632863">
      <w:pPr>
        <w:keepNext/>
        <w:spacing w:after="240"/>
        <w:jc w:val="both"/>
        <w:rPr>
          <w:b/>
          <w:color w:val="00B0F0"/>
          <w:lang w:val="fr-CA"/>
        </w:rPr>
      </w:pPr>
      <w:r w:rsidRPr="00B63BD5">
        <w:rPr>
          <w:b/>
          <w:color w:val="00B0F0"/>
          <w:lang w:val="fr-CA"/>
        </w:rPr>
        <w:t>[N.B.</w:t>
      </w:r>
      <w:r w:rsidR="00AC4107" w:rsidRPr="00B63BD5">
        <w:rPr>
          <w:b/>
          <w:color w:val="00B0F0"/>
          <w:lang w:val="fr-CA"/>
        </w:rPr>
        <w:t xml:space="preserve"> </w:t>
      </w:r>
      <w:r w:rsidRPr="00B63BD5">
        <w:rPr>
          <w:b/>
          <w:color w:val="00B0F0"/>
          <w:lang w:val="fr-CA"/>
        </w:rPr>
        <w:t>: S</w:t>
      </w:r>
      <w:r w:rsidR="00564B0C" w:rsidRPr="00B63BD5">
        <w:rPr>
          <w:b/>
          <w:color w:val="00B0F0"/>
          <w:lang w:val="fr-CA"/>
        </w:rPr>
        <w:t>’</w:t>
      </w:r>
      <w:r w:rsidRPr="00B63BD5">
        <w:rPr>
          <w:b/>
          <w:color w:val="00B0F0"/>
          <w:lang w:val="fr-CA"/>
        </w:rPr>
        <w:t xml:space="preserve">il y a plusieurs </w:t>
      </w:r>
      <w:r w:rsidR="002B61C6" w:rsidRPr="00B63BD5">
        <w:rPr>
          <w:b/>
          <w:color w:val="00B0F0"/>
          <w:lang w:val="fr-CA"/>
        </w:rPr>
        <w:t>G</w:t>
      </w:r>
      <w:r w:rsidRPr="00B63BD5">
        <w:rPr>
          <w:b/>
          <w:color w:val="00B0F0"/>
          <w:lang w:val="fr-CA"/>
        </w:rPr>
        <w:t xml:space="preserve">arants, inscrire le nom complet de chaque Garant </w:t>
      </w:r>
      <w:r w:rsidRPr="00B63BD5">
        <w:rPr>
          <w:b/>
          <w:color w:val="00B0F0"/>
          <w:u w:val="single"/>
          <w:lang w:val="fr-CA"/>
        </w:rPr>
        <w:t xml:space="preserve">et </w:t>
      </w:r>
      <w:r w:rsidR="00AB3E27" w:rsidRPr="00B63BD5">
        <w:rPr>
          <w:b/>
          <w:color w:val="00B0F0"/>
          <w:u w:val="single"/>
          <w:lang w:val="fr-CA"/>
        </w:rPr>
        <w:t>le libellé sur</w:t>
      </w:r>
      <w:r w:rsidR="00453387" w:rsidRPr="00B63BD5">
        <w:rPr>
          <w:b/>
          <w:color w:val="00B0F0"/>
          <w:u w:val="single"/>
          <w:lang w:val="fr-CA"/>
        </w:rPr>
        <w:t> </w:t>
      </w:r>
      <w:r w:rsidR="00AB3E27" w:rsidRPr="00B63BD5">
        <w:rPr>
          <w:b/>
          <w:color w:val="00B0F0"/>
          <w:u w:val="single"/>
          <w:lang w:val="fr-CA"/>
        </w:rPr>
        <w:t>la</w:t>
      </w:r>
      <w:r w:rsidR="00453387" w:rsidRPr="00B63BD5">
        <w:rPr>
          <w:b/>
          <w:color w:val="00B0F0"/>
          <w:u w:val="single"/>
          <w:lang w:val="fr-CA"/>
        </w:rPr>
        <w:t> </w:t>
      </w:r>
      <w:r w:rsidR="00AB3E27" w:rsidRPr="00B63BD5">
        <w:rPr>
          <w:b/>
          <w:color w:val="00B0F0"/>
          <w:u w:val="single"/>
          <w:lang w:val="fr-CA"/>
        </w:rPr>
        <w:t>responsabilité solidaire qui</w:t>
      </w:r>
      <w:r w:rsidR="00BF6223" w:rsidRPr="00B63BD5">
        <w:rPr>
          <w:b/>
          <w:color w:val="00B0F0"/>
          <w:u w:val="single"/>
          <w:lang w:val="fr-CA"/>
        </w:rPr>
        <w:t xml:space="preserve"> suit</w:t>
      </w:r>
      <w:r w:rsidRPr="00B63BD5">
        <w:rPr>
          <w:b/>
          <w:color w:val="00B0F0"/>
          <w:u w:val="single"/>
          <w:lang w:val="fr-CA"/>
        </w:rPr>
        <w:t>.</w:t>
      </w:r>
      <w:r w:rsidRPr="00B63BD5">
        <w:rPr>
          <w:b/>
          <w:color w:val="00B0F0"/>
          <w:lang w:val="fr-CA"/>
        </w:rPr>
        <w:t>]</w:t>
      </w:r>
    </w:p>
    <w:p w14:paraId="693CE7DD" w14:textId="77777777" w:rsidR="00C4138E" w:rsidRPr="00B63BD5" w:rsidRDefault="009D0841" w:rsidP="00632863">
      <w:pPr>
        <w:keepNext/>
        <w:jc w:val="both"/>
        <w:rPr>
          <w:rStyle w:val="Prompt"/>
          <w:b/>
          <w:color w:val="auto"/>
          <w:lang w:val="fr-CA"/>
        </w:rPr>
      </w:pPr>
      <w:r w:rsidRPr="00B63BD5">
        <w:rPr>
          <w:b/>
          <w:lang w:val="fr-CA"/>
        </w:rPr>
        <w:t>●</w:t>
      </w:r>
      <w:r w:rsidR="00C4138E" w:rsidRPr="00B63BD5">
        <w:rPr>
          <w:rStyle w:val="Prompt"/>
          <w:b/>
          <w:color w:val="auto"/>
          <w:lang w:val="fr-CA"/>
        </w:rPr>
        <w:t>,</w:t>
      </w:r>
    </w:p>
    <w:p w14:paraId="18662C8A" w14:textId="77777777" w:rsidR="00B66036" w:rsidRPr="00B63BD5" w:rsidRDefault="009D0841" w:rsidP="00632863">
      <w:pPr>
        <w:keepNext/>
        <w:jc w:val="both"/>
        <w:rPr>
          <w:rStyle w:val="Prompt"/>
          <w:b/>
          <w:color w:val="auto"/>
          <w:lang w:val="fr-CA"/>
        </w:rPr>
      </w:pPr>
      <w:r w:rsidRPr="00B63BD5">
        <w:rPr>
          <w:rStyle w:val="Prompt"/>
          <w:b/>
          <w:color w:val="auto"/>
          <w:lang w:val="fr-CA"/>
        </w:rPr>
        <w:t>●</w:t>
      </w:r>
      <w:r w:rsidR="00B66036" w:rsidRPr="00B63BD5">
        <w:rPr>
          <w:rStyle w:val="Prompt"/>
          <w:b/>
          <w:color w:val="auto"/>
          <w:lang w:val="fr-CA"/>
        </w:rPr>
        <w:t xml:space="preserve"> </w:t>
      </w:r>
      <w:r w:rsidR="00C4138E" w:rsidRPr="00B63BD5">
        <w:rPr>
          <w:rStyle w:val="Prompt"/>
          <w:b/>
          <w:color w:val="auto"/>
          <w:lang w:val="fr-CA"/>
        </w:rPr>
        <w:t xml:space="preserve">et </w:t>
      </w:r>
    </w:p>
    <w:p w14:paraId="43E48FC1" w14:textId="78AEACC2" w:rsidR="00C4138E" w:rsidRPr="00B63BD5" w:rsidRDefault="009D0841" w:rsidP="00632863">
      <w:pPr>
        <w:keepNext/>
        <w:jc w:val="both"/>
        <w:rPr>
          <w:rStyle w:val="Prompt"/>
          <w:b/>
          <w:color w:val="auto"/>
          <w:lang w:val="fr-CA"/>
        </w:rPr>
      </w:pPr>
      <w:r w:rsidRPr="00B63BD5">
        <w:rPr>
          <w:rStyle w:val="Prompt"/>
          <w:b/>
          <w:color w:val="auto"/>
          <w:lang w:val="fr-CA"/>
        </w:rPr>
        <w:t>●</w:t>
      </w:r>
    </w:p>
    <w:p w14:paraId="6026938C" w14:textId="3B647804" w:rsidR="0052174B" w:rsidRPr="00B63BD5" w:rsidRDefault="0052174B" w:rsidP="00632863">
      <w:pPr>
        <w:jc w:val="both"/>
        <w:rPr>
          <w:rStyle w:val="Prompt"/>
          <w:b/>
          <w:color w:val="auto"/>
          <w:lang w:val="fr-CA"/>
        </w:rPr>
      </w:pPr>
    </w:p>
    <w:p w14:paraId="326BBB0D" w14:textId="595A5922" w:rsidR="008C59F1" w:rsidRPr="00B63BD5" w:rsidRDefault="008C59F1" w:rsidP="00632863">
      <w:pPr>
        <w:spacing w:after="240"/>
        <w:jc w:val="both"/>
        <w:rPr>
          <w:rStyle w:val="Prompt"/>
          <w:color w:val="auto"/>
          <w:lang w:val="fr-CA"/>
        </w:rPr>
      </w:pPr>
      <w:r w:rsidRPr="00B63BD5">
        <w:rPr>
          <w:rStyle w:val="Prompt"/>
          <w:color w:val="auto"/>
          <w:lang w:val="fr-CA"/>
        </w:rPr>
        <w:t>(</w:t>
      </w:r>
      <w:r w:rsidR="00AB3E27" w:rsidRPr="00B63BD5">
        <w:rPr>
          <w:rStyle w:val="Prompt"/>
          <w:color w:val="auto"/>
          <w:lang w:val="fr-CA"/>
        </w:rPr>
        <w:t xml:space="preserve">individuellement, </w:t>
      </w:r>
      <w:r w:rsidRPr="00B63BD5">
        <w:rPr>
          <w:rStyle w:val="Prompt"/>
          <w:color w:val="auto"/>
          <w:lang w:val="fr-CA"/>
        </w:rPr>
        <w:t>un</w:t>
      </w:r>
      <w:r w:rsidR="00AC4107" w:rsidRPr="00B63BD5">
        <w:rPr>
          <w:rStyle w:val="Prompt"/>
          <w:color w:val="auto"/>
          <w:lang w:val="fr-CA"/>
        </w:rPr>
        <w:t xml:space="preserve"> </w:t>
      </w:r>
      <w:r w:rsidRPr="00B63BD5">
        <w:rPr>
          <w:rStyle w:val="Prompt"/>
          <w:color w:val="auto"/>
          <w:lang w:val="fr-CA"/>
        </w:rPr>
        <w:t>«</w:t>
      </w:r>
      <w:r w:rsidR="0094743F" w:rsidRPr="00B63BD5">
        <w:rPr>
          <w:rStyle w:val="Prompt"/>
          <w:color w:val="auto"/>
          <w:lang w:val="fr-CA"/>
        </w:rPr>
        <w:t> </w:t>
      </w:r>
      <w:r w:rsidRPr="00B63BD5">
        <w:rPr>
          <w:rStyle w:val="Prompt"/>
          <w:b/>
          <w:color w:val="auto"/>
          <w:lang w:val="fr-CA"/>
        </w:rPr>
        <w:t>Garant</w:t>
      </w:r>
      <w:r w:rsidR="0094743F" w:rsidRPr="00B63BD5">
        <w:rPr>
          <w:rStyle w:val="Prompt"/>
          <w:color w:val="auto"/>
          <w:lang w:val="fr-CA"/>
        </w:rPr>
        <w:t> </w:t>
      </w:r>
      <w:r w:rsidR="007F5213" w:rsidRPr="00B63BD5">
        <w:rPr>
          <w:rStyle w:val="Prompt"/>
          <w:color w:val="auto"/>
          <w:lang w:val="fr-CA"/>
        </w:rPr>
        <w:t xml:space="preserve">» et </w:t>
      </w:r>
      <w:r w:rsidRPr="00B63BD5">
        <w:rPr>
          <w:rStyle w:val="Prompt"/>
          <w:color w:val="auto"/>
          <w:lang w:val="fr-CA"/>
        </w:rPr>
        <w:t>collectivement, les</w:t>
      </w:r>
      <w:r w:rsidR="00AC4107" w:rsidRPr="00B63BD5">
        <w:rPr>
          <w:rStyle w:val="Prompt"/>
          <w:color w:val="auto"/>
          <w:lang w:val="fr-CA"/>
        </w:rPr>
        <w:t xml:space="preserve"> </w:t>
      </w:r>
      <w:r w:rsidRPr="00B63BD5">
        <w:rPr>
          <w:rStyle w:val="Prompt"/>
          <w:color w:val="auto"/>
          <w:lang w:val="fr-CA"/>
        </w:rPr>
        <w:t>«</w:t>
      </w:r>
      <w:r w:rsidR="0094743F" w:rsidRPr="00B63BD5">
        <w:rPr>
          <w:rStyle w:val="Prompt"/>
          <w:color w:val="auto"/>
          <w:lang w:val="fr-CA"/>
        </w:rPr>
        <w:t> </w:t>
      </w:r>
      <w:r w:rsidRPr="00B63BD5">
        <w:rPr>
          <w:rStyle w:val="Prompt"/>
          <w:b/>
          <w:color w:val="auto"/>
          <w:lang w:val="fr-CA"/>
        </w:rPr>
        <w:t>Garants</w:t>
      </w:r>
      <w:r w:rsidR="0094743F" w:rsidRPr="00B63BD5">
        <w:rPr>
          <w:rStyle w:val="Prompt"/>
          <w:color w:val="auto"/>
          <w:lang w:val="fr-CA"/>
        </w:rPr>
        <w:t> </w:t>
      </w:r>
      <w:r w:rsidRPr="00B63BD5">
        <w:rPr>
          <w:rStyle w:val="Prompt"/>
          <w:color w:val="auto"/>
          <w:lang w:val="fr-CA"/>
        </w:rPr>
        <w:t>»).</w:t>
      </w:r>
    </w:p>
    <w:p w14:paraId="69F3B6B0" w14:textId="620FD3E3" w:rsidR="00C4138E" w:rsidRPr="00B63BD5" w:rsidRDefault="00C4138E" w:rsidP="00632863">
      <w:pPr>
        <w:spacing w:after="240"/>
        <w:jc w:val="both"/>
        <w:rPr>
          <w:lang w:val="fr-CA"/>
        </w:rPr>
      </w:pPr>
      <w:r w:rsidRPr="00B63BD5">
        <w:rPr>
          <w:lang w:val="fr-CA"/>
        </w:rPr>
        <w:t>Chacun</w:t>
      </w:r>
      <w:r w:rsidR="00BF0555" w:rsidRPr="00B63BD5">
        <w:rPr>
          <w:lang w:val="fr-CA"/>
        </w:rPr>
        <w:t xml:space="preserve"> des Garants convient qu</w:t>
      </w:r>
      <w:r w:rsidR="00564B0C" w:rsidRPr="00B63BD5">
        <w:rPr>
          <w:lang w:val="fr-CA"/>
        </w:rPr>
        <w:t>’</w:t>
      </w:r>
      <w:r w:rsidR="00BF0555" w:rsidRPr="00B63BD5">
        <w:rPr>
          <w:lang w:val="fr-CA"/>
        </w:rPr>
        <w:t xml:space="preserve">il sera solidairement responsable avec tous les autres </w:t>
      </w:r>
      <w:r w:rsidR="005E376E" w:rsidRPr="00B63BD5">
        <w:rPr>
          <w:lang w:val="fr-CA"/>
        </w:rPr>
        <w:t>Garants</w:t>
      </w:r>
      <w:r w:rsidR="00AB3E27" w:rsidRPr="00B63BD5">
        <w:rPr>
          <w:lang w:val="fr-CA"/>
        </w:rPr>
        <w:t>.</w:t>
      </w:r>
    </w:p>
    <w:p w14:paraId="45B47D64" w14:textId="55A6D90A" w:rsidR="008C59F1" w:rsidRPr="00B63BD5" w:rsidRDefault="008C59F1" w:rsidP="00632863">
      <w:pPr>
        <w:spacing w:after="240"/>
        <w:jc w:val="both"/>
        <w:rPr>
          <w:lang w:val="fr-CA"/>
        </w:rPr>
      </w:pPr>
      <w:r w:rsidRPr="00B63BD5">
        <w:rPr>
          <w:b/>
          <w:color w:val="00B0F0"/>
          <w:lang w:val="fr-CA"/>
        </w:rPr>
        <w:t>[S</w:t>
      </w:r>
      <w:r w:rsidR="00564B0C" w:rsidRPr="00B63BD5">
        <w:rPr>
          <w:b/>
          <w:color w:val="00B0F0"/>
          <w:lang w:val="fr-CA"/>
        </w:rPr>
        <w:t>’</w:t>
      </w:r>
      <w:r w:rsidRPr="00B63BD5">
        <w:rPr>
          <w:b/>
          <w:color w:val="00B0F0"/>
          <w:lang w:val="fr-CA"/>
        </w:rPr>
        <w:t xml:space="preserve">il </w:t>
      </w:r>
      <w:r w:rsidR="000F1B51" w:rsidRPr="00B63BD5">
        <w:rPr>
          <w:b/>
          <w:color w:val="00B0F0"/>
          <w:lang w:val="fr-CA"/>
        </w:rPr>
        <w:t>n</w:t>
      </w:r>
      <w:r w:rsidR="00564B0C" w:rsidRPr="00B63BD5">
        <w:rPr>
          <w:b/>
          <w:color w:val="00B0F0"/>
          <w:lang w:val="fr-CA"/>
        </w:rPr>
        <w:t>’</w:t>
      </w:r>
      <w:r w:rsidRPr="00B63BD5">
        <w:rPr>
          <w:b/>
          <w:color w:val="00B0F0"/>
          <w:lang w:val="fr-CA"/>
        </w:rPr>
        <w:t xml:space="preserve">y </w:t>
      </w:r>
      <w:r w:rsidR="000F1B51" w:rsidRPr="00B63BD5">
        <w:rPr>
          <w:b/>
          <w:color w:val="00B0F0"/>
          <w:lang w:val="fr-CA"/>
        </w:rPr>
        <w:t>a qu</w:t>
      </w:r>
      <w:r w:rsidR="00564B0C" w:rsidRPr="00B63BD5">
        <w:rPr>
          <w:b/>
          <w:color w:val="00B0F0"/>
          <w:lang w:val="fr-CA"/>
        </w:rPr>
        <w:t>’</w:t>
      </w:r>
      <w:r w:rsidR="000F1B51" w:rsidRPr="00B63BD5">
        <w:rPr>
          <w:b/>
          <w:color w:val="00B0F0"/>
          <w:lang w:val="fr-CA"/>
        </w:rPr>
        <w:t xml:space="preserve">un </w:t>
      </w:r>
      <w:r w:rsidRPr="00B63BD5">
        <w:rPr>
          <w:b/>
          <w:color w:val="00B0F0"/>
          <w:lang w:val="fr-CA"/>
        </w:rPr>
        <w:t xml:space="preserve">seul </w:t>
      </w:r>
      <w:r w:rsidR="000F1B51" w:rsidRPr="00B63BD5">
        <w:rPr>
          <w:b/>
          <w:color w:val="00B0F0"/>
          <w:lang w:val="fr-CA"/>
        </w:rPr>
        <w:t>E</w:t>
      </w:r>
      <w:r w:rsidRPr="00B63BD5">
        <w:rPr>
          <w:b/>
          <w:color w:val="00B0F0"/>
          <w:lang w:val="fr-CA"/>
        </w:rPr>
        <w:t>mprunteur et qu</w:t>
      </w:r>
      <w:r w:rsidR="00564B0C" w:rsidRPr="00B63BD5">
        <w:rPr>
          <w:b/>
          <w:color w:val="00B0F0"/>
          <w:lang w:val="fr-CA"/>
        </w:rPr>
        <w:t>’</w:t>
      </w:r>
      <w:r w:rsidRPr="00B63BD5">
        <w:rPr>
          <w:b/>
          <w:color w:val="00B0F0"/>
          <w:lang w:val="fr-CA"/>
        </w:rPr>
        <w:t>il n</w:t>
      </w:r>
      <w:r w:rsidR="00564B0C" w:rsidRPr="00B63BD5">
        <w:rPr>
          <w:b/>
          <w:color w:val="00B0F0"/>
          <w:lang w:val="fr-CA"/>
        </w:rPr>
        <w:t>’</w:t>
      </w:r>
      <w:r w:rsidRPr="00B63BD5">
        <w:rPr>
          <w:b/>
          <w:color w:val="00B0F0"/>
          <w:lang w:val="fr-CA"/>
        </w:rPr>
        <w:t xml:space="preserve">y a aucun </w:t>
      </w:r>
      <w:r w:rsidR="000F1B51" w:rsidRPr="00B63BD5">
        <w:rPr>
          <w:b/>
          <w:color w:val="00B0F0"/>
          <w:lang w:val="fr-CA"/>
        </w:rPr>
        <w:t>G</w:t>
      </w:r>
      <w:r w:rsidRPr="00B63BD5">
        <w:rPr>
          <w:b/>
          <w:color w:val="00B0F0"/>
          <w:lang w:val="fr-CA"/>
        </w:rPr>
        <w:t>arant</w:t>
      </w:r>
      <w:r w:rsidR="00AC4107" w:rsidRPr="00B63BD5">
        <w:rPr>
          <w:b/>
          <w:color w:val="00B0F0"/>
          <w:lang w:val="fr-CA"/>
        </w:rPr>
        <w:t xml:space="preserve"> </w:t>
      </w:r>
      <w:r w:rsidRPr="00B63BD5">
        <w:rPr>
          <w:b/>
          <w:color w:val="00B0F0"/>
          <w:lang w:val="fr-CA"/>
        </w:rPr>
        <w:t>:]</w:t>
      </w:r>
      <w:r w:rsidRPr="00B63BD5">
        <w:rPr>
          <w:color w:val="00B0F0"/>
          <w:lang w:val="fr-CA"/>
        </w:rPr>
        <w:t xml:space="preserve"> </w:t>
      </w:r>
      <w:r w:rsidR="0055614F" w:rsidRPr="00B63BD5">
        <w:rPr>
          <w:lang w:val="fr-CA"/>
        </w:rPr>
        <w:t>A</w:t>
      </w:r>
      <w:r w:rsidRPr="00B63BD5">
        <w:rPr>
          <w:lang w:val="fr-CA"/>
        </w:rPr>
        <w:t>ux fins de la présente Lettre relative aux facilités, l</w:t>
      </w:r>
      <w:r w:rsidR="00564B0C" w:rsidRPr="00B63BD5">
        <w:rPr>
          <w:lang w:val="fr-CA"/>
        </w:rPr>
        <w:t>’</w:t>
      </w:r>
      <w:r w:rsidRPr="00B63BD5">
        <w:rPr>
          <w:lang w:val="fr-CA"/>
        </w:rPr>
        <w:t>Emprunteur est parfois appelé un</w:t>
      </w:r>
      <w:r w:rsidR="00AC4107" w:rsidRPr="00B63BD5">
        <w:rPr>
          <w:lang w:val="fr-CA"/>
        </w:rPr>
        <w:t xml:space="preserve"> </w:t>
      </w:r>
      <w:r w:rsidRPr="00B63BD5">
        <w:rPr>
          <w:lang w:val="fr-CA"/>
        </w:rPr>
        <w:t>«</w:t>
      </w:r>
      <w:r w:rsidR="0094743F" w:rsidRPr="00B63BD5">
        <w:rPr>
          <w:lang w:val="fr-CA"/>
        </w:rPr>
        <w:t> </w:t>
      </w:r>
      <w:r w:rsidR="003E16D5" w:rsidRPr="00B63BD5">
        <w:rPr>
          <w:b/>
          <w:lang w:val="fr-CA"/>
        </w:rPr>
        <w:t>B</w:t>
      </w:r>
      <w:r w:rsidRPr="00B63BD5">
        <w:rPr>
          <w:b/>
          <w:lang w:val="fr-CA"/>
        </w:rPr>
        <w:t>énéficiaire du crédit</w:t>
      </w:r>
      <w:r w:rsidR="0094743F" w:rsidRPr="00B63BD5">
        <w:rPr>
          <w:lang w:val="fr-CA"/>
        </w:rPr>
        <w:t> </w:t>
      </w:r>
      <w:r w:rsidRPr="00B63BD5">
        <w:rPr>
          <w:lang w:val="fr-CA"/>
        </w:rPr>
        <w:t>».</w:t>
      </w:r>
    </w:p>
    <w:p w14:paraId="383B3E0B" w14:textId="0A11E8DC" w:rsidR="00E6128A" w:rsidRPr="00B63BD5" w:rsidRDefault="008C59F1" w:rsidP="00632863">
      <w:pPr>
        <w:spacing w:after="240"/>
        <w:jc w:val="both"/>
        <w:rPr>
          <w:lang w:val="fr-CA"/>
        </w:rPr>
      </w:pPr>
      <w:r w:rsidRPr="00B63BD5">
        <w:rPr>
          <w:b/>
          <w:color w:val="00B0F0"/>
          <w:lang w:val="fr-CA"/>
        </w:rPr>
        <w:t>[S</w:t>
      </w:r>
      <w:r w:rsidR="00564B0C" w:rsidRPr="00B63BD5">
        <w:rPr>
          <w:b/>
          <w:color w:val="00B0F0"/>
          <w:lang w:val="fr-CA"/>
        </w:rPr>
        <w:t>’</w:t>
      </w:r>
      <w:r w:rsidR="000F1B51" w:rsidRPr="00B63BD5">
        <w:rPr>
          <w:b/>
          <w:color w:val="00B0F0"/>
          <w:lang w:val="fr-CA"/>
        </w:rPr>
        <w:t xml:space="preserve">il </w:t>
      </w:r>
      <w:r w:rsidRPr="00B63BD5">
        <w:rPr>
          <w:b/>
          <w:color w:val="00B0F0"/>
          <w:lang w:val="fr-CA"/>
        </w:rPr>
        <w:t xml:space="preserve">y a plusieurs </w:t>
      </w:r>
      <w:r w:rsidR="000F1B51" w:rsidRPr="00B63BD5">
        <w:rPr>
          <w:b/>
          <w:color w:val="00B0F0"/>
          <w:lang w:val="fr-CA"/>
        </w:rPr>
        <w:t xml:space="preserve">Emprunteurs ou </w:t>
      </w:r>
      <w:r w:rsidR="007F5213" w:rsidRPr="00B63BD5">
        <w:rPr>
          <w:b/>
          <w:color w:val="00B0F0"/>
          <w:lang w:val="fr-CA"/>
        </w:rPr>
        <w:t>s</w:t>
      </w:r>
      <w:r w:rsidR="00564B0C" w:rsidRPr="00B63BD5">
        <w:rPr>
          <w:b/>
          <w:color w:val="00B0F0"/>
          <w:lang w:val="fr-CA"/>
        </w:rPr>
        <w:t>’</w:t>
      </w:r>
      <w:r w:rsidR="000F1B51" w:rsidRPr="00B63BD5">
        <w:rPr>
          <w:b/>
          <w:color w:val="00B0F0"/>
          <w:lang w:val="fr-CA"/>
        </w:rPr>
        <w:t>il n</w:t>
      </w:r>
      <w:r w:rsidR="00564B0C" w:rsidRPr="00B63BD5">
        <w:rPr>
          <w:b/>
          <w:color w:val="00B0F0"/>
          <w:lang w:val="fr-CA"/>
        </w:rPr>
        <w:t>’</w:t>
      </w:r>
      <w:r w:rsidR="000F1B51" w:rsidRPr="00B63BD5">
        <w:rPr>
          <w:b/>
          <w:color w:val="00B0F0"/>
          <w:lang w:val="fr-CA"/>
        </w:rPr>
        <w:t>y a qu</w:t>
      </w:r>
      <w:r w:rsidR="00564B0C" w:rsidRPr="00B63BD5">
        <w:rPr>
          <w:b/>
          <w:color w:val="00B0F0"/>
          <w:lang w:val="fr-CA"/>
        </w:rPr>
        <w:t>’</w:t>
      </w:r>
      <w:r w:rsidR="000F1B51" w:rsidRPr="00B63BD5">
        <w:rPr>
          <w:b/>
          <w:color w:val="00B0F0"/>
          <w:lang w:val="fr-CA"/>
        </w:rPr>
        <w:t>un seul E</w:t>
      </w:r>
      <w:r w:rsidRPr="00B63BD5">
        <w:rPr>
          <w:b/>
          <w:color w:val="00B0F0"/>
          <w:lang w:val="fr-CA"/>
        </w:rPr>
        <w:t xml:space="preserve">mprunteur </w:t>
      </w:r>
      <w:r w:rsidR="00737DE0" w:rsidRPr="00B63BD5">
        <w:rPr>
          <w:b/>
          <w:color w:val="00B0F0"/>
          <w:lang w:val="fr-CA"/>
        </w:rPr>
        <w:t>et un ou</w:t>
      </w:r>
      <w:r w:rsidRPr="00B63BD5">
        <w:rPr>
          <w:b/>
          <w:color w:val="00B0F0"/>
          <w:lang w:val="fr-CA"/>
        </w:rPr>
        <w:t xml:space="preserve"> plusieurs </w:t>
      </w:r>
      <w:r w:rsidR="000F1B51" w:rsidRPr="00B63BD5">
        <w:rPr>
          <w:b/>
          <w:color w:val="00B0F0"/>
          <w:lang w:val="fr-CA"/>
        </w:rPr>
        <w:t>Garants</w:t>
      </w:r>
      <w:r w:rsidR="00AC4107" w:rsidRPr="00B63BD5">
        <w:rPr>
          <w:b/>
          <w:color w:val="00B0F0"/>
          <w:lang w:val="fr-CA"/>
        </w:rPr>
        <w:t xml:space="preserve"> </w:t>
      </w:r>
      <w:r w:rsidRPr="00B63BD5">
        <w:rPr>
          <w:b/>
          <w:color w:val="00B0F0"/>
          <w:lang w:val="fr-CA"/>
        </w:rPr>
        <w:t>:]</w:t>
      </w:r>
      <w:r w:rsidR="002E72F1" w:rsidRPr="00B63BD5">
        <w:rPr>
          <w:color w:val="00B0F0"/>
          <w:lang w:val="fr-CA"/>
        </w:rPr>
        <w:t xml:space="preserve"> </w:t>
      </w:r>
      <w:r w:rsidR="002B61C6" w:rsidRPr="00B63BD5">
        <w:rPr>
          <w:lang w:val="fr-CA"/>
        </w:rPr>
        <w:t>[</w:t>
      </w:r>
      <w:r w:rsidR="0055614F" w:rsidRPr="00B63BD5">
        <w:rPr>
          <w:lang w:val="fr-CA"/>
        </w:rPr>
        <w:t>L</w:t>
      </w:r>
      <w:r w:rsidR="00564B0C" w:rsidRPr="00B63BD5">
        <w:rPr>
          <w:lang w:val="fr-CA"/>
        </w:rPr>
        <w:t>’</w:t>
      </w:r>
      <w:r w:rsidR="002E72F1" w:rsidRPr="00B63BD5">
        <w:rPr>
          <w:lang w:val="fr-CA"/>
        </w:rPr>
        <w:t>Emprunteur</w:t>
      </w:r>
      <w:r w:rsidR="0055614F" w:rsidRPr="00B63BD5">
        <w:rPr>
          <w:lang w:val="fr-CA"/>
        </w:rPr>
        <w:t xml:space="preserve"> </w:t>
      </w:r>
      <w:r w:rsidR="002B61C6" w:rsidRPr="00B63BD5">
        <w:rPr>
          <w:rStyle w:val="Prompt"/>
          <w:b/>
          <w:color w:val="00B0F0"/>
          <w:highlight w:val="yellow"/>
          <w:lang w:val="fr-CA"/>
        </w:rPr>
        <w:t>OU</w:t>
      </w:r>
      <w:r w:rsidR="002B61C6" w:rsidRPr="00B63BD5">
        <w:rPr>
          <w:lang w:val="fr-CA"/>
        </w:rPr>
        <w:t xml:space="preserve"> </w:t>
      </w:r>
      <w:r w:rsidR="002E72F1" w:rsidRPr="00B63BD5">
        <w:rPr>
          <w:lang w:val="fr-CA"/>
        </w:rPr>
        <w:t>les Emprunteurs</w:t>
      </w:r>
      <w:r w:rsidR="00C4138E" w:rsidRPr="00B63BD5">
        <w:rPr>
          <w:lang w:val="fr-CA"/>
        </w:rPr>
        <w:t>]</w:t>
      </w:r>
      <w:r w:rsidR="002E72F1" w:rsidRPr="00B63BD5">
        <w:rPr>
          <w:lang w:val="fr-CA"/>
        </w:rPr>
        <w:t xml:space="preserve"> </w:t>
      </w:r>
      <w:r w:rsidR="00C4138E" w:rsidRPr="00B63BD5">
        <w:rPr>
          <w:lang w:val="fr-CA"/>
        </w:rPr>
        <w:t>[</w:t>
      </w:r>
      <w:r w:rsidR="0055614F" w:rsidRPr="00B63BD5">
        <w:rPr>
          <w:lang w:val="fr-CA"/>
        </w:rPr>
        <w:t xml:space="preserve">et </w:t>
      </w:r>
      <w:r w:rsidR="002E72F1" w:rsidRPr="00B63BD5">
        <w:rPr>
          <w:lang w:val="fr-CA"/>
        </w:rPr>
        <w:t>le Garant</w:t>
      </w:r>
      <w:r w:rsidR="002B61C6" w:rsidRPr="00B63BD5">
        <w:rPr>
          <w:lang w:val="fr-CA"/>
        </w:rPr>
        <w:t xml:space="preserve"> </w:t>
      </w:r>
      <w:r w:rsidR="002B61C6" w:rsidRPr="00B63BD5">
        <w:rPr>
          <w:rStyle w:val="Prompt"/>
          <w:b/>
          <w:color w:val="00B0F0"/>
          <w:highlight w:val="yellow"/>
          <w:lang w:val="fr-CA"/>
        </w:rPr>
        <w:t>OU</w:t>
      </w:r>
      <w:r w:rsidR="002B61C6" w:rsidRPr="00B63BD5">
        <w:rPr>
          <w:rStyle w:val="Prompt"/>
          <w:b/>
          <w:color w:val="00B0F0"/>
          <w:lang w:val="fr-CA"/>
        </w:rPr>
        <w:t xml:space="preserve"> </w:t>
      </w:r>
      <w:r w:rsidR="0055614F" w:rsidRPr="00B63BD5">
        <w:rPr>
          <w:lang w:val="fr-CA"/>
        </w:rPr>
        <w:t xml:space="preserve">et </w:t>
      </w:r>
      <w:r w:rsidR="002E72F1" w:rsidRPr="00B63BD5">
        <w:rPr>
          <w:lang w:val="fr-CA"/>
        </w:rPr>
        <w:t>les Garants</w:t>
      </w:r>
      <w:r w:rsidR="00C4138E" w:rsidRPr="00B63BD5">
        <w:rPr>
          <w:lang w:val="fr-CA"/>
        </w:rPr>
        <w:t>]</w:t>
      </w:r>
      <w:r w:rsidR="002E72F1" w:rsidRPr="00B63BD5">
        <w:rPr>
          <w:lang w:val="fr-CA"/>
        </w:rPr>
        <w:t xml:space="preserve"> </w:t>
      </w:r>
      <w:r w:rsidR="000F1B51" w:rsidRPr="00B63BD5">
        <w:rPr>
          <w:lang w:val="fr-CA"/>
        </w:rPr>
        <w:t>sont</w:t>
      </w:r>
      <w:r w:rsidR="002E72F1" w:rsidRPr="00B63BD5">
        <w:rPr>
          <w:lang w:val="fr-CA"/>
        </w:rPr>
        <w:t xml:space="preserve"> </w:t>
      </w:r>
      <w:r w:rsidR="00EC3CB5" w:rsidRPr="00B63BD5">
        <w:rPr>
          <w:lang w:val="fr-CA"/>
        </w:rPr>
        <w:t xml:space="preserve">parfois </w:t>
      </w:r>
      <w:r w:rsidR="006D2889" w:rsidRPr="00B63BD5">
        <w:rPr>
          <w:lang w:val="fr-CA"/>
        </w:rPr>
        <w:t>appelés</w:t>
      </w:r>
      <w:r w:rsidR="00052CB0" w:rsidRPr="00B63BD5">
        <w:rPr>
          <w:lang w:val="fr-CA"/>
        </w:rPr>
        <w:t xml:space="preserve"> </w:t>
      </w:r>
      <w:r w:rsidR="00F86021" w:rsidRPr="00B63BD5">
        <w:rPr>
          <w:lang w:val="fr-CA"/>
        </w:rPr>
        <w:t>individuellement un «</w:t>
      </w:r>
      <w:r w:rsidR="0094743F" w:rsidRPr="00B63BD5">
        <w:rPr>
          <w:lang w:val="fr-CA"/>
        </w:rPr>
        <w:t> </w:t>
      </w:r>
      <w:r w:rsidR="00F86021" w:rsidRPr="00B63BD5">
        <w:rPr>
          <w:b/>
          <w:lang w:val="fr-CA"/>
        </w:rPr>
        <w:t>Bénéficiaire du crédit</w:t>
      </w:r>
      <w:r w:rsidR="0094743F" w:rsidRPr="00B63BD5">
        <w:rPr>
          <w:lang w:val="fr-CA"/>
        </w:rPr>
        <w:t> </w:t>
      </w:r>
      <w:r w:rsidR="00F86021" w:rsidRPr="00B63BD5">
        <w:rPr>
          <w:lang w:val="fr-CA"/>
        </w:rPr>
        <w:t xml:space="preserve">» et </w:t>
      </w:r>
      <w:r w:rsidR="00052CB0" w:rsidRPr="00B63BD5">
        <w:rPr>
          <w:lang w:val="fr-CA"/>
        </w:rPr>
        <w:t>collectivement</w:t>
      </w:r>
      <w:r w:rsidR="002E72F1" w:rsidRPr="00B63BD5">
        <w:rPr>
          <w:lang w:val="fr-CA"/>
        </w:rPr>
        <w:t xml:space="preserve"> les</w:t>
      </w:r>
      <w:r w:rsidR="00AC4107" w:rsidRPr="00B63BD5">
        <w:rPr>
          <w:lang w:val="fr-CA"/>
        </w:rPr>
        <w:t xml:space="preserve"> </w:t>
      </w:r>
      <w:r w:rsidR="002E72F1" w:rsidRPr="00B63BD5">
        <w:rPr>
          <w:lang w:val="fr-CA"/>
        </w:rPr>
        <w:t>«</w:t>
      </w:r>
      <w:r w:rsidR="0094743F" w:rsidRPr="00B63BD5">
        <w:rPr>
          <w:lang w:val="fr-CA"/>
        </w:rPr>
        <w:t> </w:t>
      </w:r>
      <w:r w:rsidR="008121D8" w:rsidRPr="00B63BD5">
        <w:rPr>
          <w:b/>
          <w:lang w:val="fr-CA"/>
        </w:rPr>
        <w:t>Bénéficiaires du crédit</w:t>
      </w:r>
      <w:r w:rsidR="0094743F" w:rsidRPr="00B63BD5">
        <w:rPr>
          <w:lang w:val="fr-CA"/>
        </w:rPr>
        <w:t> </w:t>
      </w:r>
      <w:r w:rsidR="002E72F1" w:rsidRPr="00B63BD5">
        <w:rPr>
          <w:lang w:val="fr-CA"/>
        </w:rPr>
        <w:t>»</w:t>
      </w:r>
      <w:r w:rsidR="00E6128A" w:rsidRPr="00B63BD5">
        <w:rPr>
          <w:lang w:val="fr-CA"/>
        </w:rPr>
        <w:t>.</w:t>
      </w:r>
    </w:p>
    <w:p w14:paraId="53C8083B" w14:textId="77777777" w:rsidR="00593C77" w:rsidRPr="00B63BD5" w:rsidRDefault="002E72F1" w:rsidP="00632863">
      <w:pPr>
        <w:pStyle w:val="FOLHeading"/>
        <w:jc w:val="both"/>
      </w:pPr>
      <w:r w:rsidRPr="00B63BD5">
        <w:t xml:space="preserve">FACILITÉS DE </w:t>
      </w:r>
      <w:r w:rsidR="00593C77" w:rsidRPr="00B63BD5">
        <w:t>CR</w:t>
      </w:r>
      <w:r w:rsidRPr="00B63BD5">
        <w:t>É</w:t>
      </w:r>
      <w:r w:rsidR="00C4138E" w:rsidRPr="00B63BD5">
        <w:t>DIT</w:t>
      </w:r>
    </w:p>
    <w:p w14:paraId="53ECC331" w14:textId="40A13C19" w:rsidR="00564B0C" w:rsidRPr="00B63BD5" w:rsidRDefault="002E72F1" w:rsidP="00632863">
      <w:pPr>
        <w:spacing w:after="240"/>
        <w:jc w:val="both"/>
        <w:rPr>
          <w:lang w:val="fr-CA"/>
        </w:rPr>
      </w:pPr>
      <w:r w:rsidRPr="00B63BD5">
        <w:rPr>
          <w:lang w:val="fr-CA"/>
        </w:rPr>
        <w:t>Les facilités de crédit suivantes (appelées</w:t>
      </w:r>
      <w:r w:rsidR="00052CB0" w:rsidRPr="00B63BD5">
        <w:rPr>
          <w:lang w:val="fr-CA"/>
        </w:rPr>
        <w:t xml:space="preserve"> collectivement</w:t>
      </w:r>
      <w:r w:rsidRPr="00B63BD5">
        <w:rPr>
          <w:lang w:val="fr-CA"/>
        </w:rPr>
        <w:t xml:space="preserve"> les «</w:t>
      </w:r>
      <w:r w:rsidR="0094743F" w:rsidRPr="00B63BD5">
        <w:rPr>
          <w:lang w:val="fr-CA"/>
        </w:rPr>
        <w:t> </w:t>
      </w:r>
      <w:r w:rsidRPr="00B63BD5">
        <w:rPr>
          <w:b/>
          <w:lang w:val="fr-CA"/>
        </w:rPr>
        <w:t>Facilités de crédit</w:t>
      </w:r>
      <w:r w:rsidR="0094743F" w:rsidRPr="00B63BD5">
        <w:rPr>
          <w:lang w:val="fr-CA"/>
        </w:rPr>
        <w:t> </w:t>
      </w:r>
      <w:r w:rsidRPr="00B63BD5">
        <w:rPr>
          <w:lang w:val="fr-CA"/>
        </w:rPr>
        <w:t>») sont autorisées</w:t>
      </w:r>
      <w:r w:rsidR="00783F3F" w:rsidRPr="00B63BD5">
        <w:rPr>
          <w:lang w:val="fr-CA"/>
        </w:rPr>
        <w:t xml:space="preserve">, sous réserve </w:t>
      </w:r>
      <w:r w:rsidR="006D2889" w:rsidRPr="00B63BD5">
        <w:rPr>
          <w:lang w:val="fr-CA"/>
        </w:rPr>
        <w:t>que toutes l</w:t>
      </w:r>
      <w:r w:rsidRPr="00B63BD5">
        <w:rPr>
          <w:lang w:val="fr-CA"/>
        </w:rPr>
        <w:t xml:space="preserve">es </w:t>
      </w:r>
      <w:r w:rsidR="005F2DEE" w:rsidRPr="00B63BD5">
        <w:rPr>
          <w:lang w:val="fr-CA"/>
        </w:rPr>
        <w:t>modalités</w:t>
      </w:r>
      <w:r w:rsidRPr="00B63BD5">
        <w:rPr>
          <w:lang w:val="fr-CA"/>
        </w:rPr>
        <w:t xml:space="preserve"> énoncées dans la présente Lettre </w:t>
      </w:r>
      <w:r w:rsidR="006D2889" w:rsidRPr="00B63BD5">
        <w:rPr>
          <w:lang w:val="fr-CA"/>
        </w:rPr>
        <w:t xml:space="preserve">relative aux facilités </w:t>
      </w:r>
      <w:r w:rsidR="00052CB0" w:rsidRPr="00B63BD5">
        <w:rPr>
          <w:lang w:val="fr-CA"/>
        </w:rPr>
        <w:t xml:space="preserve">aient été </w:t>
      </w:r>
      <w:r w:rsidR="006D2889" w:rsidRPr="00B63BD5">
        <w:rPr>
          <w:lang w:val="fr-CA"/>
        </w:rPr>
        <w:t>remplies</w:t>
      </w:r>
      <w:r w:rsidRPr="00B63BD5">
        <w:rPr>
          <w:lang w:val="fr-CA"/>
        </w:rPr>
        <w:t>.</w:t>
      </w:r>
    </w:p>
    <w:p w14:paraId="10714187" w14:textId="3C763BEF" w:rsidR="00564B0C" w:rsidRPr="00B63BD5" w:rsidRDefault="00D85CF9" w:rsidP="007E357C">
      <w:pPr>
        <w:pStyle w:val="04LOLglNew1"/>
        <w:rPr>
          <w:rFonts w:ascii="Arial" w:hAnsi="Arial"/>
          <w:lang w:val="fr-CA"/>
        </w:rPr>
      </w:pPr>
      <w:r w:rsidRPr="00B63BD5">
        <w:rPr>
          <w:rFonts w:ascii="Arial" w:hAnsi="Arial"/>
          <w:lang w:val="fr-CA"/>
        </w:rPr>
        <w:t>Facilité de crédit à l</w:t>
      </w:r>
      <w:r w:rsidR="00564B0C" w:rsidRPr="00B63BD5">
        <w:rPr>
          <w:rFonts w:ascii="Arial" w:hAnsi="Arial"/>
          <w:lang w:val="fr-CA"/>
        </w:rPr>
        <w:t>’</w:t>
      </w:r>
      <w:r w:rsidR="00035240" w:rsidRPr="00B63BD5">
        <w:rPr>
          <w:rFonts w:ascii="Arial" w:hAnsi="Arial"/>
          <w:lang w:val="fr-CA"/>
        </w:rPr>
        <w:t>exploitation</w:t>
      </w:r>
    </w:p>
    <w:p w14:paraId="61E0961F" w14:textId="6D3E6E73" w:rsidR="00564B0C" w:rsidRPr="00B63BD5" w:rsidRDefault="00035240" w:rsidP="00D33630">
      <w:pPr>
        <w:pStyle w:val="04LOLglNew2"/>
      </w:pPr>
      <w:r w:rsidRPr="00B63BD5">
        <w:t>Montant</w:t>
      </w:r>
    </w:p>
    <w:p w14:paraId="0AD51838" w14:textId="2F37EFC0" w:rsidR="00C4138E" w:rsidRPr="00B63BD5" w:rsidRDefault="008C59F1" w:rsidP="00632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b/>
          <w:color w:val="00B0F0"/>
          <w:lang w:val="fr-CA"/>
        </w:rPr>
      </w:pPr>
      <w:r w:rsidRPr="00B63BD5">
        <w:rPr>
          <w:b/>
          <w:color w:val="00B0F0"/>
          <w:lang w:val="fr-CA"/>
        </w:rPr>
        <w:t>[N.B.</w:t>
      </w:r>
      <w:r w:rsidR="00AC4107" w:rsidRPr="00B63BD5">
        <w:rPr>
          <w:b/>
          <w:color w:val="00B0F0"/>
          <w:lang w:val="fr-CA"/>
        </w:rPr>
        <w:t xml:space="preserve"> </w:t>
      </w:r>
      <w:r w:rsidRPr="00B63BD5">
        <w:rPr>
          <w:b/>
          <w:color w:val="00B0F0"/>
          <w:lang w:val="fr-CA"/>
        </w:rPr>
        <w:t xml:space="preserve">: Utiliser uniquement la </w:t>
      </w:r>
      <w:r w:rsidR="000F1B51" w:rsidRPr="00B63BD5">
        <w:rPr>
          <w:b/>
          <w:color w:val="00B0F0"/>
          <w:lang w:val="fr-CA"/>
        </w:rPr>
        <w:t xml:space="preserve">monnaie </w:t>
      </w:r>
      <w:r w:rsidRPr="00B63BD5">
        <w:rPr>
          <w:b/>
          <w:color w:val="00B0F0"/>
          <w:lang w:val="fr-CA"/>
        </w:rPr>
        <w:t>dans laquelle la limite</w:t>
      </w:r>
      <w:r w:rsidR="00737DE0" w:rsidRPr="00B63BD5">
        <w:rPr>
          <w:b/>
          <w:color w:val="00B0F0"/>
          <w:lang w:val="fr-CA"/>
        </w:rPr>
        <w:t xml:space="preserve"> de contrôle (CBL) est </w:t>
      </w:r>
      <w:r w:rsidR="00E15C09" w:rsidRPr="00B63BD5">
        <w:rPr>
          <w:b/>
          <w:color w:val="00B0F0"/>
          <w:lang w:val="fr-CA"/>
        </w:rPr>
        <w:t>exprimée</w:t>
      </w:r>
      <w:r w:rsidR="00737DE0" w:rsidRPr="00B63BD5">
        <w:rPr>
          <w:b/>
          <w:color w:val="00B0F0"/>
          <w:lang w:val="fr-CA"/>
        </w:rPr>
        <w:t xml:space="preserve"> dans CARM</w:t>
      </w:r>
      <w:r w:rsidRPr="00B63BD5">
        <w:rPr>
          <w:b/>
          <w:color w:val="00B0F0"/>
          <w:lang w:val="fr-CA"/>
        </w:rPr>
        <w:t xml:space="preserve"> </w:t>
      </w:r>
      <w:r w:rsidR="00E15C09" w:rsidRPr="00B63BD5">
        <w:rPr>
          <w:b/>
          <w:color w:val="00B0F0"/>
          <w:lang w:val="fr-CA"/>
        </w:rPr>
        <w:t xml:space="preserve">dans </w:t>
      </w:r>
      <w:r w:rsidR="008C3103" w:rsidRPr="00B63BD5">
        <w:rPr>
          <w:b/>
          <w:color w:val="00B0F0"/>
          <w:lang w:val="fr-CA"/>
        </w:rPr>
        <w:t>le présent article</w:t>
      </w:r>
      <w:r w:rsidRPr="00B63BD5">
        <w:rPr>
          <w:b/>
          <w:color w:val="00B0F0"/>
          <w:lang w:val="fr-CA"/>
        </w:rPr>
        <w:t>.</w:t>
      </w:r>
      <w:r w:rsidR="000E5479" w:rsidRPr="00B63BD5">
        <w:rPr>
          <w:b/>
          <w:color w:val="00B0F0"/>
          <w:lang w:val="fr-CA"/>
        </w:rPr>
        <w:t xml:space="preserve"> </w:t>
      </w:r>
      <w:r w:rsidR="001C10CE" w:rsidRPr="00B63BD5">
        <w:rPr>
          <w:b/>
          <w:color w:val="00B0F0"/>
          <w:lang w:val="fr-CA"/>
        </w:rPr>
        <w:t>Si une facilité de consolidation des soldes a été approuvée, veuillez utiliser le supplément relatif à la consolidation des soldes (formulaire</w:t>
      </w:r>
      <w:r w:rsidR="00AC4107" w:rsidRPr="00B63BD5">
        <w:rPr>
          <w:b/>
          <w:color w:val="00B0F0"/>
          <w:lang w:val="fr-CA"/>
        </w:rPr>
        <w:t xml:space="preserve"> </w:t>
      </w:r>
      <w:r w:rsidR="001C10CE" w:rsidRPr="00B63BD5">
        <w:rPr>
          <w:b/>
          <w:color w:val="00B0F0"/>
          <w:lang w:val="fr-CA"/>
        </w:rPr>
        <w:t>970-0152-FR) pour intégrer la</w:t>
      </w:r>
      <w:r w:rsidR="00575395" w:rsidRPr="00B63BD5">
        <w:rPr>
          <w:b/>
          <w:color w:val="00B0F0"/>
          <w:lang w:val="fr-CA"/>
        </w:rPr>
        <w:t> </w:t>
      </w:r>
      <w:r w:rsidR="001C10CE" w:rsidRPr="00B63BD5">
        <w:rPr>
          <w:b/>
          <w:color w:val="00B0F0"/>
          <w:lang w:val="fr-CA"/>
        </w:rPr>
        <w:t>structure de consolidation approuvée dans la Lettre relative aux facilités.</w:t>
      </w:r>
      <w:r w:rsidRPr="00B63BD5">
        <w:rPr>
          <w:b/>
          <w:color w:val="00B0F0"/>
          <w:lang w:val="fr-CA"/>
        </w:rPr>
        <w:t>]</w:t>
      </w:r>
    </w:p>
    <w:p w14:paraId="2C0EE134" w14:textId="05A64574" w:rsidR="00976352" w:rsidRPr="00B63BD5" w:rsidRDefault="00F81A34" w:rsidP="00632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Facilité de crédit à l</w:t>
      </w:r>
      <w:r w:rsidR="00564B0C" w:rsidRPr="00B63BD5">
        <w:rPr>
          <w:lang w:val="fr-CA"/>
        </w:rPr>
        <w:t>’</w:t>
      </w:r>
      <w:r w:rsidR="00035240" w:rsidRPr="00B63BD5">
        <w:rPr>
          <w:lang w:val="fr-CA"/>
        </w:rPr>
        <w:t>exploitation renouvelable à</w:t>
      </w:r>
      <w:r w:rsidR="007F5213" w:rsidRPr="00B63BD5">
        <w:rPr>
          <w:lang w:val="fr-CA"/>
        </w:rPr>
        <w:t xml:space="preserve"> demande</w:t>
      </w:r>
      <w:r w:rsidR="00035240" w:rsidRPr="00B63BD5">
        <w:rPr>
          <w:lang w:val="fr-CA"/>
        </w:rPr>
        <w:t xml:space="preserve"> (l</w:t>
      </w:r>
      <w:r w:rsidRPr="00B63BD5">
        <w:rPr>
          <w:lang w:val="fr-CA"/>
        </w:rPr>
        <w:t>a</w:t>
      </w:r>
      <w:r w:rsidR="00AC4107" w:rsidRPr="00B63BD5">
        <w:rPr>
          <w:lang w:val="fr-CA"/>
        </w:rPr>
        <w:t xml:space="preserve"> </w:t>
      </w:r>
      <w:r w:rsidR="00035240" w:rsidRPr="00B63BD5">
        <w:rPr>
          <w:lang w:val="fr-CA"/>
        </w:rPr>
        <w:t>«</w:t>
      </w:r>
      <w:r w:rsidR="0094743F" w:rsidRPr="00B63BD5">
        <w:rPr>
          <w:lang w:val="fr-CA"/>
        </w:rPr>
        <w:t> </w:t>
      </w:r>
      <w:r w:rsidRPr="00B63BD5">
        <w:rPr>
          <w:b/>
          <w:lang w:val="fr-CA"/>
        </w:rPr>
        <w:t>Facilité de crédit à l</w:t>
      </w:r>
      <w:r w:rsidR="00564B0C" w:rsidRPr="00B63BD5">
        <w:rPr>
          <w:b/>
          <w:lang w:val="fr-CA"/>
        </w:rPr>
        <w:t>’</w:t>
      </w:r>
      <w:r w:rsidR="00035240" w:rsidRPr="00B63BD5">
        <w:rPr>
          <w:b/>
          <w:lang w:val="fr-CA"/>
        </w:rPr>
        <w:t>exploitation</w:t>
      </w:r>
      <w:r w:rsidR="0094743F" w:rsidRPr="00B63BD5">
        <w:rPr>
          <w:lang w:val="fr-CA"/>
        </w:rPr>
        <w:t> </w:t>
      </w:r>
      <w:r w:rsidR="00035240" w:rsidRPr="00B63BD5">
        <w:rPr>
          <w:lang w:val="fr-CA"/>
        </w:rPr>
        <w:t xml:space="preserve">») </w:t>
      </w:r>
      <w:r w:rsidR="007F5213" w:rsidRPr="00B63BD5">
        <w:rPr>
          <w:lang w:val="fr-CA"/>
        </w:rPr>
        <w:t xml:space="preserve">disponible </w:t>
      </w:r>
      <w:r w:rsidR="000E5479" w:rsidRPr="00B63BD5">
        <w:rPr>
          <w:lang w:val="fr-CA"/>
        </w:rPr>
        <w:t xml:space="preserve">à la discrétion de la Banque </w:t>
      </w:r>
      <w:r w:rsidR="007F5213" w:rsidRPr="00B63BD5">
        <w:rPr>
          <w:lang w:val="fr-CA"/>
        </w:rPr>
        <w:t xml:space="preserve">au moyen </w:t>
      </w:r>
      <w:r w:rsidR="00035240" w:rsidRPr="00B63BD5">
        <w:rPr>
          <w:lang w:val="fr-CA"/>
        </w:rPr>
        <w:t>d</w:t>
      </w:r>
      <w:r w:rsidR="00564B0C" w:rsidRPr="00B63BD5">
        <w:rPr>
          <w:lang w:val="fr-CA"/>
        </w:rPr>
        <w:t>’</w:t>
      </w:r>
      <w:r w:rsidR="00035240" w:rsidRPr="00B63BD5">
        <w:rPr>
          <w:lang w:val="fr-CA"/>
        </w:rPr>
        <w:t>avances et</w:t>
      </w:r>
      <w:r w:rsidR="007F5213" w:rsidRPr="00B63BD5">
        <w:rPr>
          <w:lang w:val="fr-CA"/>
        </w:rPr>
        <w:t xml:space="preserve"> des </w:t>
      </w:r>
      <w:r w:rsidR="00035240" w:rsidRPr="00B63BD5">
        <w:rPr>
          <w:lang w:val="fr-CA"/>
        </w:rPr>
        <w:t xml:space="preserve">autres </w:t>
      </w:r>
      <w:r w:rsidR="007F5213" w:rsidRPr="00B63BD5">
        <w:rPr>
          <w:lang w:val="fr-CA"/>
        </w:rPr>
        <w:t xml:space="preserve">types de </w:t>
      </w:r>
      <w:r w:rsidR="00035240" w:rsidRPr="00B63BD5">
        <w:rPr>
          <w:lang w:val="fr-CA"/>
        </w:rPr>
        <w:t>crédits</w:t>
      </w:r>
      <w:r w:rsidRPr="00B63BD5">
        <w:rPr>
          <w:lang w:val="fr-CA"/>
        </w:rPr>
        <w:t xml:space="preserve"> </w:t>
      </w:r>
      <w:r w:rsidR="00035240" w:rsidRPr="00B63BD5">
        <w:rPr>
          <w:lang w:val="fr-CA"/>
        </w:rPr>
        <w:t>décrit</w:t>
      </w:r>
      <w:r w:rsidRPr="00B63BD5">
        <w:rPr>
          <w:lang w:val="fr-CA"/>
        </w:rPr>
        <w:t>s</w:t>
      </w:r>
      <w:r w:rsidR="00035240" w:rsidRPr="00B63BD5">
        <w:rPr>
          <w:lang w:val="fr-CA"/>
        </w:rPr>
        <w:t xml:space="preserve"> au</w:t>
      </w:r>
      <w:r w:rsidR="006441CA" w:rsidRPr="00B63BD5">
        <w:rPr>
          <w:lang w:val="fr-CA"/>
        </w:rPr>
        <w:t xml:space="preserve"> </w:t>
      </w:r>
      <w:r w:rsidR="00035240" w:rsidRPr="00B63BD5">
        <w:rPr>
          <w:lang w:val="fr-CA"/>
        </w:rPr>
        <w:t>paragraphe</w:t>
      </w:r>
      <w:r w:rsidR="00B056F9" w:rsidRPr="00B63BD5">
        <w:rPr>
          <w:lang w:val="fr-CA"/>
        </w:rPr>
        <w:t> </w:t>
      </w:r>
      <w:r w:rsidR="00052CB0" w:rsidRPr="00B63BD5">
        <w:rPr>
          <w:lang w:val="fr-CA"/>
        </w:rPr>
        <w:fldChar w:fldCharType="begin"/>
      </w:r>
      <w:r w:rsidR="00052CB0" w:rsidRPr="00B63BD5">
        <w:rPr>
          <w:lang w:val="fr-CA"/>
        </w:rPr>
        <w:instrText xml:space="preserve"> REF _Ref476227790 \r \h </w:instrText>
      </w:r>
      <w:r w:rsidR="00B30CF1" w:rsidRPr="00B63BD5">
        <w:rPr>
          <w:lang w:val="fr-CA"/>
        </w:rPr>
        <w:instrText xml:space="preserve"> \* MERGEFORMAT </w:instrText>
      </w:r>
      <w:r w:rsidR="00052CB0" w:rsidRPr="00B63BD5">
        <w:rPr>
          <w:lang w:val="fr-CA"/>
        </w:rPr>
      </w:r>
      <w:r w:rsidR="00052CB0" w:rsidRPr="00B63BD5">
        <w:rPr>
          <w:lang w:val="fr-CA"/>
        </w:rPr>
        <w:fldChar w:fldCharType="separate"/>
      </w:r>
      <w:r w:rsidR="000F2F99" w:rsidRPr="00B63BD5">
        <w:rPr>
          <w:lang w:val="fr-CA"/>
        </w:rPr>
        <w:t>1.3</w:t>
      </w:r>
      <w:r w:rsidR="00052CB0" w:rsidRPr="00B63BD5">
        <w:rPr>
          <w:lang w:val="fr-CA"/>
        </w:rPr>
        <w:fldChar w:fldCharType="end"/>
      </w:r>
      <w:r w:rsidR="00035240" w:rsidRPr="00B63BD5">
        <w:rPr>
          <w:lang w:val="fr-CA"/>
        </w:rPr>
        <w:t xml:space="preserve"> (ci</w:t>
      </w:r>
      <w:r w:rsidR="00035240" w:rsidRPr="00B63BD5">
        <w:rPr>
          <w:lang w:val="fr-CA"/>
        </w:rPr>
        <w:noBreakHyphen/>
        <w:t xml:space="preserve">après) </w:t>
      </w:r>
      <w:r w:rsidR="00783F3F" w:rsidRPr="00B63BD5">
        <w:rPr>
          <w:lang w:val="fr-CA"/>
        </w:rPr>
        <w:t>jusqu</w:t>
      </w:r>
      <w:r w:rsidR="00564B0C" w:rsidRPr="00B63BD5">
        <w:rPr>
          <w:lang w:val="fr-CA"/>
        </w:rPr>
        <w:t>’</w:t>
      </w:r>
      <w:r w:rsidR="00783F3F" w:rsidRPr="00B63BD5">
        <w:rPr>
          <w:lang w:val="fr-CA"/>
        </w:rPr>
        <w:t xml:space="preserve">à concurrence </w:t>
      </w:r>
      <w:r w:rsidR="00035240" w:rsidRPr="00B63BD5">
        <w:rPr>
          <w:lang w:val="fr-CA"/>
        </w:rPr>
        <w:t>d</w:t>
      </w:r>
      <w:r w:rsidR="00564B0C" w:rsidRPr="00B63BD5">
        <w:rPr>
          <w:lang w:val="fr-CA"/>
        </w:rPr>
        <w:t>’</w:t>
      </w:r>
      <w:r w:rsidR="00035240" w:rsidRPr="00B63BD5">
        <w:rPr>
          <w:lang w:val="fr-CA"/>
        </w:rPr>
        <w:t>un montant</w:t>
      </w:r>
      <w:r w:rsidRPr="00B63BD5">
        <w:rPr>
          <w:lang w:val="fr-CA"/>
        </w:rPr>
        <w:t xml:space="preserve"> </w:t>
      </w:r>
      <w:r w:rsidR="00C306CC" w:rsidRPr="00B63BD5">
        <w:rPr>
          <w:lang w:val="fr-CA"/>
        </w:rPr>
        <w:t>global</w:t>
      </w:r>
      <w:r w:rsidR="00C52F14" w:rsidRPr="00B63BD5">
        <w:rPr>
          <w:lang w:val="fr-CA"/>
        </w:rPr>
        <w:t xml:space="preserve"> </w:t>
      </w:r>
      <w:r w:rsidR="00C52F14" w:rsidRPr="00B63BD5">
        <w:rPr>
          <w:rStyle w:val="Prompt"/>
          <w:color w:val="auto"/>
          <w:lang w:val="fr-CA"/>
        </w:rPr>
        <w:t>(pour tous ces types d</w:t>
      </w:r>
      <w:r w:rsidR="00564B0C" w:rsidRPr="00B63BD5">
        <w:rPr>
          <w:rStyle w:val="Prompt"/>
          <w:color w:val="auto"/>
          <w:lang w:val="fr-CA"/>
        </w:rPr>
        <w:t>’</w:t>
      </w:r>
      <w:r w:rsidR="00C52F14" w:rsidRPr="00B63BD5">
        <w:rPr>
          <w:rStyle w:val="Prompt"/>
          <w:color w:val="auto"/>
          <w:lang w:val="fr-CA"/>
        </w:rPr>
        <w:t>avances et</w:t>
      </w:r>
      <w:r w:rsidR="006441CA" w:rsidRPr="00B63BD5">
        <w:rPr>
          <w:rStyle w:val="Prompt"/>
          <w:color w:val="auto"/>
          <w:lang w:val="fr-CA"/>
        </w:rPr>
        <w:t xml:space="preserve"> </w:t>
      </w:r>
      <w:r w:rsidR="0058310B" w:rsidRPr="00B63BD5">
        <w:rPr>
          <w:rStyle w:val="Prompt"/>
          <w:color w:val="auto"/>
          <w:lang w:val="fr-CA"/>
        </w:rPr>
        <w:t>d</w:t>
      </w:r>
      <w:r w:rsidR="00564B0C" w:rsidRPr="00B63BD5">
        <w:rPr>
          <w:rStyle w:val="Prompt"/>
          <w:color w:val="auto"/>
          <w:lang w:val="fr-CA"/>
        </w:rPr>
        <w:t>’</w:t>
      </w:r>
      <w:r w:rsidR="00C52F14" w:rsidRPr="00B63BD5">
        <w:rPr>
          <w:rStyle w:val="Prompt"/>
          <w:color w:val="auto"/>
          <w:lang w:val="fr-CA"/>
        </w:rPr>
        <w:t>autres crédits)</w:t>
      </w:r>
      <w:r w:rsidR="00035240" w:rsidRPr="00B63BD5">
        <w:rPr>
          <w:lang w:val="fr-CA"/>
        </w:rPr>
        <w:t xml:space="preserve"> </w:t>
      </w:r>
      <w:r w:rsidR="00783F3F" w:rsidRPr="00B63BD5">
        <w:rPr>
          <w:lang w:val="fr-CA"/>
        </w:rPr>
        <w:t xml:space="preserve">de </w:t>
      </w:r>
      <w:r w:rsidR="00386939" w:rsidRPr="00B63BD5">
        <w:rPr>
          <w:lang w:val="fr-CA"/>
        </w:rPr>
        <w:t>[</w:t>
      </w:r>
      <w:r w:rsidR="009D0841" w:rsidRPr="00B63BD5">
        <w:rPr>
          <w:lang w:val="fr-CA"/>
        </w:rPr>
        <w:t>●</w:t>
      </w:r>
      <w:r w:rsidR="00564B0C" w:rsidRPr="00B63BD5">
        <w:rPr>
          <w:rStyle w:val="Prompt"/>
          <w:color w:val="auto"/>
          <w:lang w:val="fr-CA"/>
        </w:rPr>
        <w:t> </w:t>
      </w:r>
      <w:r w:rsidR="00035240" w:rsidRPr="00B63BD5">
        <w:rPr>
          <w:rStyle w:val="Prompt"/>
          <w:color w:val="auto"/>
          <w:lang w:val="fr-CA"/>
        </w:rPr>
        <w:t>$</w:t>
      </w:r>
      <w:r w:rsidR="00D30FBA" w:rsidRPr="00B63BD5">
        <w:rPr>
          <w:rStyle w:val="Prompt"/>
          <w:color w:val="auto"/>
          <w:lang w:val="fr-CA"/>
        </w:rPr>
        <w:t> </w:t>
      </w:r>
      <w:r w:rsidR="00035240" w:rsidRPr="00B63BD5">
        <w:rPr>
          <w:rStyle w:val="Prompt"/>
          <w:color w:val="auto"/>
          <w:lang w:val="fr-CA"/>
        </w:rPr>
        <w:t>CA</w:t>
      </w:r>
      <w:r w:rsidR="00F2556E" w:rsidRPr="00B63BD5">
        <w:rPr>
          <w:rStyle w:val="Prompt"/>
          <w:color w:val="auto"/>
          <w:lang w:val="fr-CA"/>
        </w:rPr>
        <w:t xml:space="preserve"> </w:t>
      </w:r>
      <w:r w:rsidR="001934B0" w:rsidRPr="00B63BD5">
        <w:rPr>
          <w:rStyle w:val="Prompt"/>
          <w:b/>
          <w:color w:val="00B0F0"/>
          <w:highlight w:val="yellow"/>
          <w:lang w:val="fr-CA"/>
        </w:rPr>
        <w:t>OU</w:t>
      </w:r>
      <w:r w:rsidR="00386939" w:rsidRPr="00B63BD5">
        <w:rPr>
          <w:rStyle w:val="Prompt"/>
          <w:b/>
          <w:color w:val="auto"/>
          <w:lang w:val="fr-CA"/>
        </w:rPr>
        <w:t xml:space="preserve"> </w:t>
      </w:r>
      <w:r w:rsidR="009D0841" w:rsidRPr="00B63BD5">
        <w:rPr>
          <w:rStyle w:val="Prompt"/>
          <w:color w:val="auto"/>
          <w:lang w:val="fr-CA"/>
        </w:rPr>
        <w:t>●</w:t>
      </w:r>
      <w:r w:rsidR="00AC4107" w:rsidRPr="00B63BD5">
        <w:rPr>
          <w:rStyle w:val="Prompt"/>
          <w:color w:val="auto"/>
          <w:lang w:val="fr-CA"/>
        </w:rPr>
        <w:t xml:space="preserve"> </w:t>
      </w:r>
      <w:r w:rsidR="002E294C" w:rsidRPr="00B63BD5">
        <w:rPr>
          <w:rStyle w:val="Prompt"/>
          <w:color w:val="auto"/>
          <w:lang w:val="fr-CA"/>
        </w:rPr>
        <w:t>$</w:t>
      </w:r>
      <w:r w:rsidR="00AC4107" w:rsidRPr="00B63BD5">
        <w:rPr>
          <w:rStyle w:val="Prompt"/>
          <w:color w:val="auto"/>
          <w:lang w:val="fr-CA"/>
        </w:rPr>
        <w:t xml:space="preserve"> </w:t>
      </w:r>
      <w:r w:rsidR="002E294C" w:rsidRPr="00B63BD5">
        <w:rPr>
          <w:rStyle w:val="Prompt"/>
          <w:color w:val="auto"/>
          <w:lang w:val="fr-CA"/>
        </w:rPr>
        <w:t>US]</w:t>
      </w:r>
      <w:r w:rsidR="00035240" w:rsidRPr="00B63BD5">
        <w:rPr>
          <w:rStyle w:val="Prompt"/>
          <w:color w:val="auto"/>
          <w:lang w:val="fr-CA"/>
        </w:rPr>
        <w:t xml:space="preserve">, sous réserve </w:t>
      </w:r>
      <w:r w:rsidR="004924D8" w:rsidRPr="00B63BD5">
        <w:rPr>
          <w:rStyle w:val="Prompt"/>
          <w:color w:val="auto"/>
          <w:lang w:val="fr-CA"/>
        </w:rPr>
        <w:t>des E</w:t>
      </w:r>
      <w:r w:rsidR="000E5479" w:rsidRPr="00B63BD5">
        <w:rPr>
          <w:rStyle w:val="Prompt"/>
          <w:color w:val="auto"/>
          <w:lang w:val="fr-CA"/>
        </w:rPr>
        <w:t>xigences relatives à la marge, le cas échéant</w:t>
      </w:r>
      <w:r w:rsidR="00035240" w:rsidRPr="00B63BD5">
        <w:rPr>
          <w:rStyle w:val="Prompt"/>
          <w:color w:val="auto"/>
          <w:lang w:val="fr-CA"/>
        </w:rPr>
        <w:t>.</w:t>
      </w:r>
      <w:r w:rsidR="00C711D5" w:rsidRPr="00B63BD5">
        <w:rPr>
          <w:lang w:val="fr-CA"/>
        </w:rPr>
        <w:t xml:space="preserve"> </w:t>
      </w:r>
    </w:p>
    <w:p w14:paraId="51E25EF5" w14:textId="18C5C0D5" w:rsidR="009926E7" w:rsidRPr="00B63BD5" w:rsidRDefault="00035240" w:rsidP="00D33630">
      <w:pPr>
        <w:pStyle w:val="04LOLglNew2"/>
      </w:pPr>
      <w:r w:rsidRPr="00B63BD5">
        <w:t>Objet</w:t>
      </w:r>
    </w:p>
    <w:p w14:paraId="7461B963" w14:textId="0231BBED" w:rsidR="009926E7" w:rsidRPr="00B63BD5" w:rsidRDefault="00C52F14" w:rsidP="00632863">
      <w:pPr>
        <w:widowControl w:val="0"/>
        <w:spacing w:after="240"/>
        <w:jc w:val="both"/>
        <w:rPr>
          <w:lang w:val="fr-CA"/>
        </w:rPr>
      </w:pPr>
      <w:r w:rsidRPr="00B63BD5">
        <w:rPr>
          <w:lang w:val="fr-CA"/>
        </w:rPr>
        <w:t>Servir au financement d</w:t>
      </w:r>
      <w:r w:rsidR="00035240" w:rsidRPr="00B63BD5">
        <w:rPr>
          <w:lang w:val="fr-CA"/>
        </w:rPr>
        <w:t xml:space="preserve">es </w:t>
      </w:r>
      <w:r w:rsidR="00561311" w:rsidRPr="00B63BD5">
        <w:rPr>
          <w:lang w:val="fr-CA"/>
        </w:rPr>
        <w:t xml:space="preserve">activités </w:t>
      </w:r>
      <w:r w:rsidR="00783F3F" w:rsidRPr="00B63BD5">
        <w:rPr>
          <w:lang w:val="fr-CA"/>
        </w:rPr>
        <w:t>courant</w:t>
      </w:r>
      <w:r w:rsidR="00561311" w:rsidRPr="00B63BD5">
        <w:rPr>
          <w:lang w:val="fr-CA"/>
        </w:rPr>
        <w:t>e</w:t>
      </w:r>
      <w:r w:rsidR="00783F3F" w:rsidRPr="00B63BD5">
        <w:rPr>
          <w:lang w:val="fr-CA"/>
        </w:rPr>
        <w:t xml:space="preserve">s </w:t>
      </w:r>
      <w:r w:rsidR="00035240" w:rsidRPr="00B63BD5">
        <w:rPr>
          <w:lang w:val="fr-CA"/>
        </w:rPr>
        <w:t>de l</w:t>
      </w:r>
      <w:r w:rsidR="00564B0C" w:rsidRPr="00B63BD5">
        <w:rPr>
          <w:lang w:val="fr-CA"/>
        </w:rPr>
        <w:t>’</w:t>
      </w:r>
      <w:r w:rsidR="00035240" w:rsidRPr="00B63BD5">
        <w:rPr>
          <w:lang w:val="fr-CA"/>
        </w:rPr>
        <w:t>Emprunteur</w:t>
      </w:r>
      <w:r w:rsidRPr="00B63BD5">
        <w:rPr>
          <w:lang w:val="fr-CA"/>
        </w:rPr>
        <w:t>.</w:t>
      </w:r>
    </w:p>
    <w:p w14:paraId="684EE58C" w14:textId="72996BE4" w:rsidR="00B66036" w:rsidRPr="00B63BD5" w:rsidRDefault="00B66036" w:rsidP="00D33630">
      <w:pPr>
        <w:pStyle w:val="04LOLglNew2"/>
      </w:pPr>
      <w:bookmarkStart w:id="0" w:name="_Ref476227790"/>
      <w:bookmarkStart w:id="1" w:name="_Ref467076264"/>
      <w:r w:rsidRPr="00B63BD5">
        <w:t>Disponibilité</w:t>
      </w:r>
      <w:bookmarkEnd w:id="0"/>
      <w:r w:rsidRPr="00B63BD5">
        <w:t xml:space="preserve"> </w:t>
      </w:r>
      <w:bookmarkEnd w:id="1"/>
    </w:p>
    <w:p w14:paraId="35C91FB3" w14:textId="16DC7280" w:rsidR="00B66036" w:rsidRPr="00B63BD5" w:rsidRDefault="00B66036" w:rsidP="00632863">
      <w:pPr>
        <w:widowControl w:val="0"/>
        <w:spacing w:after="240"/>
        <w:jc w:val="both"/>
        <w:rPr>
          <w:b/>
          <w:color w:val="00B0F0"/>
          <w:lang w:val="fr-CA"/>
        </w:rPr>
      </w:pPr>
      <w:r w:rsidRPr="00B63BD5">
        <w:rPr>
          <w:b/>
          <w:color w:val="00B0F0"/>
          <w:lang w:val="fr-CA"/>
        </w:rPr>
        <w:t>[N.B.</w:t>
      </w:r>
      <w:r w:rsidR="00AC4107" w:rsidRPr="00B63BD5">
        <w:rPr>
          <w:b/>
          <w:color w:val="00B0F0"/>
          <w:lang w:val="fr-CA"/>
        </w:rPr>
        <w:t xml:space="preserve"> </w:t>
      </w:r>
      <w:r w:rsidRPr="00B63BD5">
        <w:rPr>
          <w:b/>
          <w:color w:val="00B0F0"/>
          <w:lang w:val="fr-CA"/>
        </w:rPr>
        <w:t>: Si des limites différentes sont mises à la disposition d</w:t>
      </w:r>
      <w:r w:rsidR="00564B0C" w:rsidRPr="00B63BD5">
        <w:rPr>
          <w:b/>
          <w:color w:val="00B0F0"/>
          <w:lang w:val="fr-CA"/>
        </w:rPr>
        <w:t>’</w:t>
      </w:r>
      <w:r w:rsidRPr="00B63BD5">
        <w:rPr>
          <w:b/>
          <w:color w:val="00B0F0"/>
          <w:lang w:val="fr-CA"/>
        </w:rPr>
        <w:t>entités différentes, indiquer ici le nom de chaque entité et la somme mise à la disposition de chacune d</w:t>
      </w:r>
      <w:r w:rsidR="00564B0C" w:rsidRPr="00B63BD5">
        <w:rPr>
          <w:b/>
          <w:color w:val="00B0F0"/>
          <w:lang w:val="fr-CA"/>
        </w:rPr>
        <w:t>’</w:t>
      </w:r>
      <w:r w:rsidRPr="00B63BD5">
        <w:rPr>
          <w:b/>
          <w:color w:val="00B0F0"/>
          <w:lang w:val="fr-CA"/>
        </w:rPr>
        <w:t>entre elles (p.</w:t>
      </w:r>
      <w:r w:rsidR="00AC4107" w:rsidRPr="00B63BD5">
        <w:rPr>
          <w:b/>
          <w:color w:val="00B0F0"/>
          <w:lang w:val="fr-CA"/>
        </w:rPr>
        <w:t xml:space="preserve"> </w:t>
      </w:r>
      <w:r w:rsidRPr="00B63BD5">
        <w:rPr>
          <w:b/>
          <w:color w:val="00B0F0"/>
          <w:lang w:val="fr-CA"/>
        </w:rPr>
        <w:t>ex.</w:t>
      </w:r>
      <w:r w:rsidR="00AC4107" w:rsidRPr="00B63BD5">
        <w:rPr>
          <w:b/>
          <w:color w:val="00B0F0"/>
          <w:lang w:val="fr-CA"/>
        </w:rPr>
        <w:t xml:space="preserve"> </w:t>
      </w:r>
      <w:r w:rsidRPr="00B63BD5">
        <w:rPr>
          <w:b/>
          <w:color w:val="00B0F0"/>
          <w:lang w:val="fr-CA"/>
        </w:rPr>
        <w:t>: «</w:t>
      </w:r>
      <w:r w:rsidR="0094743F" w:rsidRPr="00B63BD5">
        <w:rPr>
          <w:b/>
          <w:color w:val="00B0F0"/>
          <w:lang w:val="fr-CA"/>
        </w:rPr>
        <w:t> </w:t>
      </w:r>
      <w:r w:rsidRPr="00B63BD5">
        <w:rPr>
          <w:b/>
          <w:color w:val="00B0F0"/>
          <w:lang w:val="fr-CA"/>
        </w:rPr>
        <w:t>Somme mise à la disposition de [inscrire le nom de l</w:t>
      </w:r>
      <w:r w:rsidR="00564B0C" w:rsidRPr="00B63BD5">
        <w:rPr>
          <w:b/>
          <w:color w:val="00B0F0"/>
          <w:lang w:val="fr-CA"/>
        </w:rPr>
        <w:t>’</w:t>
      </w:r>
      <w:r w:rsidRPr="00B63BD5">
        <w:rPr>
          <w:b/>
          <w:color w:val="00B0F0"/>
          <w:lang w:val="fr-CA"/>
        </w:rPr>
        <w:t>Emprunteur]</w:t>
      </w:r>
      <w:r w:rsidR="00AC4107" w:rsidRPr="00B63BD5">
        <w:rPr>
          <w:b/>
          <w:color w:val="00B0F0"/>
          <w:lang w:val="fr-CA"/>
        </w:rPr>
        <w:t xml:space="preserve"> </w:t>
      </w:r>
      <w:r w:rsidRPr="00B63BD5">
        <w:rPr>
          <w:b/>
          <w:color w:val="00B0F0"/>
          <w:lang w:val="fr-CA"/>
        </w:rPr>
        <w:t>: [●</w:t>
      </w:r>
      <w:r w:rsidR="00AC4107" w:rsidRPr="00B63BD5">
        <w:rPr>
          <w:rStyle w:val="Prompt"/>
          <w:b/>
          <w:color w:val="00B0F0"/>
          <w:lang w:val="fr-CA"/>
        </w:rPr>
        <w:t xml:space="preserve"> </w:t>
      </w:r>
      <w:r w:rsidRPr="00B63BD5">
        <w:rPr>
          <w:rStyle w:val="Prompt"/>
          <w:b/>
          <w:color w:val="00B0F0"/>
          <w:lang w:val="fr-CA"/>
        </w:rPr>
        <w:t>$</w:t>
      </w:r>
      <w:r w:rsidR="00AC4107" w:rsidRPr="00B63BD5">
        <w:rPr>
          <w:rStyle w:val="Prompt"/>
          <w:b/>
          <w:color w:val="00B0F0"/>
          <w:lang w:val="fr-CA"/>
        </w:rPr>
        <w:t xml:space="preserve"> </w:t>
      </w:r>
      <w:r w:rsidRPr="00B63BD5">
        <w:rPr>
          <w:rStyle w:val="Prompt"/>
          <w:b/>
          <w:color w:val="00B0F0"/>
          <w:lang w:val="fr-CA"/>
        </w:rPr>
        <w:t>CA OU ●</w:t>
      </w:r>
      <w:r w:rsidR="00AC4107" w:rsidRPr="00B63BD5">
        <w:rPr>
          <w:rStyle w:val="Prompt"/>
          <w:b/>
          <w:color w:val="00B0F0"/>
          <w:lang w:val="fr-CA"/>
        </w:rPr>
        <w:t xml:space="preserve"> </w:t>
      </w:r>
      <w:r w:rsidRPr="00B63BD5">
        <w:rPr>
          <w:rStyle w:val="Prompt"/>
          <w:b/>
          <w:color w:val="00B0F0"/>
          <w:lang w:val="fr-CA"/>
        </w:rPr>
        <w:t>$</w:t>
      </w:r>
      <w:r w:rsidR="00AC4107" w:rsidRPr="00B63BD5">
        <w:rPr>
          <w:rStyle w:val="Prompt"/>
          <w:b/>
          <w:color w:val="00B0F0"/>
          <w:lang w:val="fr-CA"/>
        </w:rPr>
        <w:t xml:space="preserve"> </w:t>
      </w:r>
      <w:r w:rsidRPr="00B63BD5">
        <w:rPr>
          <w:rStyle w:val="Prompt"/>
          <w:b/>
          <w:color w:val="00B0F0"/>
          <w:lang w:val="fr-CA"/>
        </w:rPr>
        <w:t>US]</w:t>
      </w:r>
      <w:r w:rsidR="0094743F" w:rsidRPr="00B63BD5">
        <w:rPr>
          <w:rStyle w:val="Prompt"/>
          <w:b/>
          <w:color w:val="00B0F0"/>
          <w:lang w:val="fr-CA"/>
        </w:rPr>
        <w:t> </w:t>
      </w:r>
      <w:r w:rsidRPr="00B63BD5">
        <w:rPr>
          <w:rStyle w:val="Prompt"/>
          <w:b/>
          <w:color w:val="00B0F0"/>
          <w:lang w:val="fr-CA"/>
        </w:rPr>
        <w:t>», etc</w:t>
      </w:r>
      <w:r w:rsidRPr="00B63BD5">
        <w:rPr>
          <w:b/>
          <w:color w:val="00B0F0"/>
          <w:lang w:val="fr-CA"/>
        </w:rPr>
        <w:t>. Il n</w:t>
      </w:r>
      <w:r w:rsidR="00564B0C" w:rsidRPr="00B63BD5">
        <w:rPr>
          <w:b/>
          <w:color w:val="00B0F0"/>
          <w:lang w:val="fr-CA"/>
        </w:rPr>
        <w:t>’</w:t>
      </w:r>
      <w:r w:rsidRPr="00B63BD5">
        <w:rPr>
          <w:b/>
          <w:color w:val="00B0F0"/>
          <w:lang w:val="fr-CA"/>
        </w:rPr>
        <w:t>est pas</w:t>
      </w:r>
      <w:r w:rsidR="00E65DA3" w:rsidRPr="00B63BD5">
        <w:rPr>
          <w:b/>
          <w:color w:val="00B0F0"/>
          <w:lang w:val="fr-CA"/>
        </w:rPr>
        <w:t> </w:t>
      </w:r>
      <w:r w:rsidRPr="00B63BD5">
        <w:rPr>
          <w:b/>
          <w:color w:val="00B0F0"/>
          <w:lang w:val="fr-CA"/>
        </w:rPr>
        <w:t>nécessaire d</w:t>
      </w:r>
      <w:r w:rsidR="00564B0C" w:rsidRPr="00B63BD5">
        <w:rPr>
          <w:b/>
          <w:color w:val="00B0F0"/>
          <w:lang w:val="fr-CA"/>
        </w:rPr>
        <w:t>’</w:t>
      </w:r>
      <w:r w:rsidRPr="00B63BD5">
        <w:rPr>
          <w:b/>
          <w:color w:val="00B0F0"/>
          <w:lang w:val="fr-CA"/>
        </w:rPr>
        <w:t>inscrire le nom de l</w:t>
      </w:r>
      <w:r w:rsidR="00564B0C" w:rsidRPr="00B63BD5">
        <w:rPr>
          <w:b/>
          <w:color w:val="00B0F0"/>
          <w:lang w:val="fr-CA"/>
        </w:rPr>
        <w:t>’</w:t>
      </w:r>
      <w:r w:rsidRPr="00B63BD5">
        <w:rPr>
          <w:b/>
          <w:color w:val="00B0F0"/>
          <w:lang w:val="fr-CA"/>
        </w:rPr>
        <w:t>Emprunteur de la facilité s</w:t>
      </w:r>
      <w:r w:rsidR="00564B0C" w:rsidRPr="00B63BD5">
        <w:rPr>
          <w:b/>
          <w:color w:val="00B0F0"/>
          <w:lang w:val="fr-CA"/>
        </w:rPr>
        <w:t>’</w:t>
      </w:r>
      <w:r w:rsidRPr="00B63BD5">
        <w:rPr>
          <w:b/>
          <w:color w:val="00B0F0"/>
          <w:lang w:val="fr-CA"/>
        </w:rPr>
        <w:t>il n</w:t>
      </w:r>
      <w:r w:rsidR="00564B0C" w:rsidRPr="00B63BD5">
        <w:rPr>
          <w:b/>
          <w:color w:val="00B0F0"/>
          <w:lang w:val="fr-CA"/>
        </w:rPr>
        <w:t>’</w:t>
      </w:r>
      <w:r w:rsidRPr="00B63BD5">
        <w:rPr>
          <w:b/>
          <w:color w:val="00B0F0"/>
          <w:lang w:val="fr-CA"/>
        </w:rPr>
        <w:t>y en a qu</w:t>
      </w:r>
      <w:r w:rsidR="00564B0C" w:rsidRPr="00B63BD5">
        <w:rPr>
          <w:b/>
          <w:color w:val="00B0F0"/>
          <w:lang w:val="fr-CA"/>
        </w:rPr>
        <w:t>’</w:t>
      </w:r>
      <w:r w:rsidRPr="00B63BD5">
        <w:rPr>
          <w:b/>
          <w:color w:val="00B0F0"/>
          <w:lang w:val="fr-CA"/>
        </w:rPr>
        <w:t xml:space="preserve">un seul </w:t>
      </w:r>
      <w:r w:rsidRPr="00B63BD5">
        <w:rPr>
          <w:b/>
          <w:color w:val="00B0F0"/>
          <w:u w:val="single"/>
          <w:lang w:val="fr-CA"/>
        </w:rPr>
        <w:t>ou</w:t>
      </w:r>
      <w:r w:rsidRPr="00B63BD5">
        <w:rPr>
          <w:b/>
          <w:color w:val="00B0F0"/>
          <w:lang w:val="fr-CA"/>
        </w:rPr>
        <w:t xml:space="preserve"> encore s</w:t>
      </w:r>
      <w:r w:rsidR="00564B0C" w:rsidRPr="00B63BD5">
        <w:rPr>
          <w:b/>
          <w:color w:val="00B0F0"/>
          <w:lang w:val="fr-CA"/>
        </w:rPr>
        <w:t>’</w:t>
      </w:r>
      <w:r w:rsidRPr="00B63BD5">
        <w:rPr>
          <w:b/>
          <w:color w:val="00B0F0"/>
          <w:lang w:val="fr-CA"/>
        </w:rPr>
        <w:t>il</w:t>
      </w:r>
      <w:r w:rsidR="006441CA" w:rsidRPr="00B63BD5">
        <w:rPr>
          <w:b/>
          <w:color w:val="00B0F0"/>
          <w:lang w:val="fr-CA"/>
        </w:rPr>
        <w:t xml:space="preserve"> </w:t>
      </w:r>
      <w:r w:rsidRPr="00B63BD5">
        <w:rPr>
          <w:b/>
          <w:color w:val="00B0F0"/>
          <w:lang w:val="fr-CA"/>
        </w:rPr>
        <w:t>y a</w:t>
      </w:r>
      <w:r w:rsidR="006441CA" w:rsidRPr="00B63BD5">
        <w:rPr>
          <w:b/>
          <w:color w:val="00B0F0"/>
          <w:lang w:val="fr-CA"/>
        </w:rPr>
        <w:t xml:space="preserve"> </w:t>
      </w:r>
      <w:r w:rsidRPr="00B63BD5">
        <w:rPr>
          <w:b/>
          <w:color w:val="00B0F0"/>
          <w:lang w:val="fr-CA"/>
        </w:rPr>
        <w:t>plusieurs Emprunteurs et que tous ceux</w:t>
      </w:r>
      <w:r w:rsidRPr="00B63BD5">
        <w:rPr>
          <w:b/>
          <w:color w:val="00B0F0"/>
          <w:lang w:val="fr-CA"/>
        </w:rPr>
        <w:noBreakHyphen/>
        <w:t>ci ont solidairement accès à la même limite totale.]</w:t>
      </w:r>
    </w:p>
    <w:p w14:paraId="371934B7" w14:textId="7CF4BA90" w:rsidR="00916B9A" w:rsidRPr="00B63BD5" w:rsidRDefault="00783F3F" w:rsidP="00632863">
      <w:pPr>
        <w:widowControl w:val="0"/>
        <w:spacing w:after="240"/>
        <w:jc w:val="both"/>
        <w:rPr>
          <w:lang w:val="fr-CA"/>
        </w:rPr>
      </w:pPr>
      <w:r w:rsidRPr="00B63BD5">
        <w:rPr>
          <w:lang w:val="fr-CA"/>
        </w:rPr>
        <w:t>L</w:t>
      </w:r>
      <w:r w:rsidR="00035240" w:rsidRPr="00B63BD5">
        <w:rPr>
          <w:lang w:val="fr-CA"/>
        </w:rPr>
        <w:t xml:space="preserve">es avances et autres crédits </w:t>
      </w:r>
      <w:r w:rsidR="00D17E47" w:rsidRPr="00B63BD5">
        <w:rPr>
          <w:lang w:val="fr-CA"/>
        </w:rPr>
        <w:t>consentis</w:t>
      </w:r>
      <w:r w:rsidR="007F5213" w:rsidRPr="00B63BD5">
        <w:rPr>
          <w:lang w:val="fr-CA"/>
        </w:rPr>
        <w:t xml:space="preserve"> en vertu de</w:t>
      </w:r>
      <w:r w:rsidR="00D17E47" w:rsidRPr="00B63BD5">
        <w:rPr>
          <w:lang w:val="fr-CA"/>
        </w:rPr>
        <w:t xml:space="preserve"> </w:t>
      </w:r>
      <w:r w:rsidR="00035240" w:rsidRPr="00B63BD5">
        <w:rPr>
          <w:lang w:val="fr-CA"/>
        </w:rPr>
        <w:t xml:space="preserve">la Facilité </w:t>
      </w:r>
      <w:r w:rsidR="00D17E47" w:rsidRPr="00B63BD5">
        <w:rPr>
          <w:lang w:val="fr-CA"/>
        </w:rPr>
        <w:t>de crédit à l</w:t>
      </w:r>
      <w:r w:rsidR="00564B0C" w:rsidRPr="00B63BD5">
        <w:rPr>
          <w:lang w:val="fr-CA"/>
        </w:rPr>
        <w:t>’</w:t>
      </w:r>
      <w:r w:rsidR="00035240" w:rsidRPr="00B63BD5">
        <w:rPr>
          <w:lang w:val="fr-CA"/>
        </w:rPr>
        <w:t>exploitation (les</w:t>
      </w:r>
      <w:r w:rsidR="006441CA" w:rsidRPr="00B63BD5">
        <w:rPr>
          <w:lang w:val="fr-CA"/>
        </w:rPr>
        <w:t xml:space="preserve"> </w:t>
      </w:r>
      <w:r w:rsidR="00035240" w:rsidRPr="00B63BD5">
        <w:rPr>
          <w:lang w:val="fr-CA"/>
        </w:rPr>
        <w:t>«</w:t>
      </w:r>
      <w:r w:rsidR="0094743F" w:rsidRPr="00B63BD5">
        <w:rPr>
          <w:lang w:val="fr-CA"/>
        </w:rPr>
        <w:t> </w:t>
      </w:r>
      <w:r w:rsidR="00035240" w:rsidRPr="00B63BD5">
        <w:rPr>
          <w:b/>
          <w:lang w:val="fr-CA"/>
        </w:rPr>
        <w:t>Prêts</w:t>
      </w:r>
      <w:r w:rsidR="00E65DA3" w:rsidRPr="00B63BD5">
        <w:rPr>
          <w:b/>
          <w:lang w:val="fr-CA"/>
        </w:rPr>
        <w:t> </w:t>
      </w:r>
      <w:r w:rsidRPr="00B63BD5">
        <w:rPr>
          <w:b/>
          <w:lang w:val="fr-CA"/>
        </w:rPr>
        <w:t>à</w:t>
      </w:r>
      <w:r w:rsidR="00E65DA3" w:rsidRPr="00B63BD5">
        <w:rPr>
          <w:b/>
          <w:lang w:val="fr-CA"/>
        </w:rPr>
        <w:t> </w:t>
      </w:r>
      <w:r w:rsidRPr="00B63BD5">
        <w:rPr>
          <w:b/>
          <w:lang w:val="fr-CA"/>
        </w:rPr>
        <w:t>l</w:t>
      </w:r>
      <w:r w:rsidR="00564B0C" w:rsidRPr="00B63BD5">
        <w:rPr>
          <w:b/>
          <w:lang w:val="fr-CA"/>
        </w:rPr>
        <w:t>’</w:t>
      </w:r>
      <w:r w:rsidR="00035240" w:rsidRPr="00B63BD5">
        <w:rPr>
          <w:b/>
          <w:lang w:val="fr-CA"/>
        </w:rPr>
        <w:t>exploitation</w:t>
      </w:r>
      <w:r w:rsidR="0094743F" w:rsidRPr="00B63BD5">
        <w:rPr>
          <w:lang w:val="fr-CA"/>
        </w:rPr>
        <w:t> </w:t>
      </w:r>
      <w:r w:rsidR="007F5213" w:rsidRPr="00B63BD5">
        <w:rPr>
          <w:lang w:val="fr-CA"/>
        </w:rPr>
        <w:t>») sont disponibles</w:t>
      </w:r>
      <w:r w:rsidR="00035240" w:rsidRPr="00B63BD5">
        <w:rPr>
          <w:lang w:val="fr-CA"/>
        </w:rPr>
        <w:t xml:space="preserve"> comme suit</w:t>
      </w:r>
      <w:r w:rsidR="00202247" w:rsidRPr="00B63BD5">
        <w:rPr>
          <w:lang w:val="fr-CA"/>
        </w:rPr>
        <w:t xml:space="preserve"> : </w:t>
      </w:r>
    </w:p>
    <w:p w14:paraId="5D081796" w14:textId="649707F1" w:rsidR="00FF769C" w:rsidRPr="00B63BD5" w:rsidRDefault="00FF769C" w:rsidP="00632863">
      <w:pPr>
        <w:widowControl w:val="0"/>
        <w:spacing w:after="240"/>
        <w:jc w:val="both"/>
        <w:rPr>
          <w:b/>
          <w:color w:val="00B0F0"/>
          <w:lang w:val="fr-CA"/>
        </w:rPr>
      </w:pPr>
      <w:r w:rsidRPr="00B63BD5">
        <w:rPr>
          <w:b/>
          <w:color w:val="00B0F0"/>
          <w:lang w:val="fr-CA"/>
        </w:rPr>
        <w:lastRenderedPageBreak/>
        <w:t>[</w:t>
      </w:r>
      <w:r w:rsidR="00EC3CB5" w:rsidRPr="00B63BD5">
        <w:rPr>
          <w:b/>
          <w:color w:val="00B0F0"/>
          <w:lang w:val="fr-CA"/>
        </w:rPr>
        <w:t>N.B. :</w:t>
      </w:r>
      <w:r w:rsidRPr="00B63BD5">
        <w:rPr>
          <w:b/>
          <w:color w:val="00B0F0"/>
          <w:lang w:val="fr-CA"/>
        </w:rPr>
        <w:t xml:space="preserve"> </w:t>
      </w:r>
      <w:r w:rsidR="00035240" w:rsidRPr="00B63BD5">
        <w:rPr>
          <w:b/>
          <w:color w:val="00B0F0"/>
          <w:lang w:val="fr-CA"/>
        </w:rPr>
        <w:t>Supprimer les dispositions qui ne s</w:t>
      </w:r>
      <w:r w:rsidR="00D17E47" w:rsidRPr="00B63BD5">
        <w:rPr>
          <w:b/>
          <w:color w:val="00B0F0"/>
          <w:lang w:val="fr-CA"/>
        </w:rPr>
        <w:t xml:space="preserve">ont pas </w:t>
      </w:r>
      <w:r w:rsidR="00035240" w:rsidRPr="00B63BD5">
        <w:rPr>
          <w:b/>
          <w:color w:val="00B0F0"/>
          <w:lang w:val="fr-CA"/>
        </w:rPr>
        <w:t>appli</w:t>
      </w:r>
      <w:r w:rsidR="00D17E47" w:rsidRPr="00B63BD5">
        <w:rPr>
          <w:b/>
          <w:color w:val="00B0F0"/>
          <w:lang w:val="fr-CA"/>
        </w:rPr>
        <w:t>cables</w:t>
      </w:r>
      <w:r w:rsidR="00035240" w:rsidRPr="00B63BD5">
        <w:rPr>
          <w:b/>
          <w:color w:val="00B0F0"/>
          <w:lang w:val="fr-CA"/>
        </w:rPr>
        <w:t>.]</w:t>
      </w:r>
    </w:p>
    <w:p w14:paraId="1A7DBDCC" w14:textId="26EC8C72" w:rsidR="00916B9A" w:rsidRPr="00B63BD5" w:rsidRDefault="006B7656" w:rsidP="000B7739">
      <w:pPr>
        <w:pStyle w:val="04LOLglNew3"/>
        <w:rPr>
          <w:rStyle w:val="Prompt"/>
          <w:color w:val="auto"/>
          <w:szCs w:val="20"/>
          <w:lang w:val="fr-CA"/>
        </w:rPr>
      </w:pPr>
      <w:r w:rsidRPr="00B63BD5">
        <w:rPr>
          <w:lang w:val="fr-CA"/>
        </w:rPr>
        <w:t xml:space="preserve">une </w:t>
      </w:r>
      <w:r w:rsidR="00982DB6" w:rsidRPr="00B63BD5">
        <w:rPr>
          <w:lang w:val="fr-CA"/>
        </w:rPr>
        <w:t>protection en cas de</w:t>
      </w:r>
      <w:r w:rsidR="00682477" w:rsidRPr="00B63BD5">
        <w:rPr>
          <w:lang w:val="fr-CA"/>
        </w:rPr>
        <w:t xml:space="preserve"> découvert du compte en D</w:t>
      </w:r>
      <w:r w:rsidR="00511C1F" w:rsidRPr="00B63BD5">
        <w:rPr>
          <w:lang w:val="fr-CA"/>
        </w:rPr>
        <w:t>ollars canadiens d</w:t>
      </w:r>
      <w:r w:rsidR="00564B0C" w:rsidRPr="00B63BD5">
        <w:rPr>
          <w:lang w:val="fr-CA"/>
        </w:rPr>
        <w:t>’</w:t>
      </w:r>
      <w:r w:rsidR="00511C1F" w:rsidRPr="00B63BD5">
        <w:rPr>
          <w:lang w:val="fr-CA"/>
        </w:rPr>
        <w:t>un</w:t>
      </w:r>
      <w:r w:rsidR="00982DB6" w:rsidRPr="00B63BD5">
        <w:rPr>
          <w:lang w:val="fr-CA"/>
        </w:rPr>
        <w:t xml:space="preserve"> montant</w:t>
      </w:r>
      <w:r w:rsidR="007F5213" w:rsidRPr="00B63BD5">
        <w:rPr>
          <w:lang w:val="fr-CA"/>
        </w:rPr>
        <w:t xml:space="preserve"> en</w:t>
      </w:r>
      <w:r w:rsidR="00982DB6" w:rsidRPr="00B63BD5">
        <w:rPr>
          <w:lang w:val="fr-CA"/>
        </w:rPr>
        <w:t xml:space="preserve"> </w:t>
      </w:r>
      <w:r w:rsidR="00511C1F" w:rsidRPr="00B63BD5">
        <w:rPr>
          <w:lang w:val="fr-CA"/>
        </w:rPr>
        <w:t xml:space="preserve">capital </w:t>
      </w:r>
      <w:r w:rsidR="00C306CC" w:rsidRPr="00B63BD5">
        <w:rPr>
          <w:lang w:val="fr-CA"/>
        </w:rPr>
        <w:t>global</w:t>
      </w:r>
      <w:r w:rsidR="007F5213" w:rsidRPr="00B63BD5">
        <w:rPr>
          <w:lang w:val="fr-CA"/>
        </w:rPr>
        <w:t xml:space="preserve"> n</w:t>
      </w:r>
      <w:r w:rsidR="00564B0C" w:rsidRPr="00B63BD5">
        <w:rPr>
          <w:lang w:val="fr-CA"/>
        </w:rPr>
        <w:t>’</w:t>
      </w:r>
      <w:r w:rsidR="007F5213" w:rsidRPr="00B63BD5">
        <w:rPr>
          <w:lang w:val="fr-CA"/>
        </w:rPr>
        <w:t>excédant pas</w:t>
      </w:r>
      <w:r w:rsidR="00C306CC" w:rsidRPr="00B63BD5">
        <w:rPr>
          <w:lang w:val="fr-CA"/>
        </w:rPr>
        <w:t xml:space="preserve"> </w:t>
      </w:r>
      <w:r w:rsidR="0053409E" w:rsidRPr="00B63BD5">
        <w:rPr>
          <w:lang w:val="fr-CA"/>
        </w:rPr>
        <w:t>[</w:t>
      </w:r>
      <w:r w:rsidR="00511C1F" w:rsidRPr="00B63BD5">
        <w:rPr>
          <w:lang w:val="fr-CA"/>
        </w:rPr>
        <w:t>●</w:t>
      </w:r>
      <w:r w:rsidR="0053409E" w:rsidRPr="00B63BD5">
        <w:rPr>
          <w:lang w:val="fr-CA"/>
        </w:rPr>
        <w:t>]</w:t>
      </w:r>
      <w:r w:rsidR="00F72B2D" w:rsidRPr="00B63BD5">
        <w:rPr>
          <w:lang w:val="fr-CA"/>
        </w:rPr>
        <w:t> </w:t>
      </w:r>
      <w:r w:rsidR="00511C1F" w:rsidRPr="00B63BD5">
        <w:rPr>
          <w:lang w:val="fr-CA"/>
        </w:rPr>
        <w:t>$</w:t>
      </w:r>
      <w:r w:rsidR="00AC4107" w:rsidRPr="00B63BD5">
        <w:rPr>
          <w:lang w:val="fr-CA"/>
        </w:rPr>
        <w:t xml:space="preserve"> </w:t>
      </w:r>
      <w:r w:rsidR="00511C1F" w:rsidRPr="00B63BD5">
        <w:rPr>
          <w:lang w:val="fr-CA"/>
        </w:rPr>
        <w:t>CA (les</w:t>
      </w:r>
      <w:r w:rsidR="00AC4107" w:rsidRPr="00B63BD5">
        <w:rPr>
          <w:lang w:val="fr-CA"/>
        </w:rPr>
        <w:t xml:space="preserve"> </w:t>
      </w:r>
      <w:r w:rsidR="00511C1F" w:rsidRPr="00B63BD5">
        <w:rPr>
          <w:lang w:val="fr-CA"/>
        </w:rPr>
        <w:t>«</w:t>
      </w:r>
      <w:r w:rsidR="0094743F" w:rsidRPr="00B63BD5">
        <w:rPr>
          <w:lang w:val="fr-CA"/>
        </w:rPr>
        <w:t> </w:t>
      </w:r>
      <w:r w:rsidR="000E6B1E" w:rsidRPr="00B63BD5">
        <w:rPr>
          <w:b/>
          <w:lang w:val="fr-CA"/>
        </w:rPr>
        <w:t xml:space="preserve">Prêts </w:t>
      </w:r>
      <w:r w:rsidR="000E03DE" w:rsidRPr="00B63BD5">
        <w:rPr>
          <w:b/>
          <w:lang w:val="fr-CA"/>
        </w:rPr>
        <w:t xml:space="preserve">pour </w:t>
      </w:r>
      <w:r w:rsidR="00511C1F" w:rsidRPr="00B63BD5">
        <w:rPr>
          <w:b/>
          <w:lang w:val="fr-CA"/>
        </w:rPr>
        <w:t>découvert en dollars canadiens</w:t>
      </w:r>
      <w:r w:rsidR="0094743F" w:rsidRPr="00B63BD5">
        <w:rPr>
          <w:lang w:val="fr-CA"/>
        </w:rPr>
        <w:t> </w:t>
      </w:r>
      <w:r w:rsidR="00511C1F" w:rsidRPr="00B63BD5">
        <w:rPr>
          <w:lang w:val="fr-CA"/>
        </w:rPr>
        <w:t>»)</w:t>
      </w:r>
      <w:r w:rsidR="00916B9A" w:rsidRPr="00B63BD5">
        <w:rPr>
          <w:rStyle w:val="Prompt"/>
          <w:color w:val="auto"/>
          <w:szCs w:val="20"/>
          <w:lang w:val="fr-CA"/>
        </w:rPr>
        <w:t>;</w:t>
      </w:r>
    </w:p>
    <w:p w14:paraId="64E6E897" w14:textId="36F46468" w:rsidR="00916B9A" w:rsidRPr="00B63BD5" w:rsidRDefault="00770758" w:rsidP="00632863">
      <w:pPr>
        <w:pStyle w:val="Heading4"/>
        <w:jc w:val="both"/>
        <w:rPr>
          <w:rStyle w:val="Prompt"/>
          <w:b/>
          <w:color w:val="00B0F0"/>
        </w:rPr>
      </w:pPr>
      <w:r w:rsidRPr="00B63BD5">
        <w:rPr>
          <w:b/>
          <w:color w:val="00B0F0"/>
        </w:rPr>
        <w:t>[N.B.</w:t>
      </w:r>
      <w:r w:rsidR="00AC4107" w:rsidRPr="00B63BD5">
        <w:rPr>
          <w:b/>
          <w:color w:val="00B0F0"/>
        </w:rPr>
        <w:t xml:space="preserve"> </w:t>
      </w:r>
      <w:r w:rsidRPr="00B63BD5">
        <w:rPr>
          <w:b/>
          <w:color w:val="00B0F0"/>
        </w:rPr>
        <w:t>: En règle générale, la limite de découvert en Dollars américains dans CARM est l</w:t>
      </w:r>
      <w:r w:rsidR="00564B0C" w:rsidRPr="00B63BD5">
        <w:rPr>
          <w:b/>
          <w:color w:val="00B0F0"/>
        </w:rPr>
        <w:t>’</w:t>
      </w:r>
      <w:r w:rsidRPr="00B63BD5">
        <w:rPr>
          <w:b/>
          <w:color w:val="00B0F0"/>
        </w:rPr>
        <w:t>équivalent de la limite en Dollars canadiens (il ne s</w:t>
      </w:r>
      <w:r w:rsidR="00564B0C" w:rsidRPr="00B63BD5">
        <w:rPr>
          <w:b/>
          <w:color w:val="00B0F0"/>
        </w:rPr>
        <w:t>’</w:t>
      </w:r>
      <w:r w:rsidRPr="00B63BD5">
        <w:rPr>
          <w:b/>
          <w:color w:val="00B0F0"/>
        </w:rPr>
        <w:t>agit pas d</w:t>
      </w:r>
      <w:r w:rsidR="00564B0C" w:rsidRPr="00B63BD5">
        <w:rPr>
          <w:b/>
          <w:color w:val="00B0F0"/>
        </w:rPr>
        <w:t>’</w:t>
      </w:r>
      <w:r w:rsidRPr="00B63BD5">
        <w:rPr>
          <w:b/>
          <w:color w:val="00B0F0"/>
        </w:rPr>
        <w:t>un montant arrondi total, mais de l</w:t>
      </w:r>
      <w:r w:rsidR="00564B0C" w:rsidRPr="00B63BD5">
        <w:rPr>
          <w:b/>
          <w:color w:val="00B0F0"/>
        </w:rPr>
        <w:t>’</w:t>
      </w:r>
      <w:r w:rsidRPr="00B63BD5">
        <w:rPr>
          <w:b/>
          <w:color w:val="00B0F0"/>
        </w:rPr>
        <w:t>équivalent de</w:t>
      </w:r>
      <w:r w:rsidR="00E65DA3" w:rsidRPr="00B63BD5">
        <w:rPr>
          <w:b/>
          <w:color w:val="00B0F0"/>
        </w:rPr>
        <w:t> </w:t>
      </w:r>
      <w:r w:rsidRPr="00B63BD5">
        <w:rPr>
          <w:b/>
          <w:color w:val="00B0F0"/>
        </w:rPr>
        <w:t>la limite en Dollars canadiens selon le taux de change indiqué dans CARM). Le texte de l</w:t>
      </w:r>
      <w:r w:rsidR="00564B0C" w:rsidRPr="00B63BD5">
        <w:rPr>
          <w:b/>
          <w:color w:val="00B0F0"/>
        </w:rPr>
        <w:t>’</w:t>
      </w:r>
      <w:r w:rsidRPr="00B63BD5">
        <w:rPr>
          <w:b/>
          <w:color w:val="00B0F0"/>
        </w:rPr>
        <w:t>alinéa</w:t>
      </w:r>
      <w:r w:rsidR="00AC4107" w:rsidRPr="00B63BD5">
        <w:rPr>
          <w:b/>
          <w:color w:val="00B0F0"/>
        </w:rPr>
        <w:t xml:space="preserve"> </w:t>
      </w:r>
      <w:r w:rsidRPr="00B63BD5">
        <w:rPr>
          <w:b/>
          <w:color w:val="00B0F0"/>
        </w:rPr>
        <w:t>b)</w:t>
      </w:r>
      <w:r w:rsidR="00AC4107" w:rsidRPr="00B63BD5">
        <w:rPr>
          <w:b/>
          <w:color w:val="00B0F0"/>
        </w:rPr>
        <w:t xml:space="preserve"> </w:t>
      </w:r>
      <w:r w:rsidRPr="00B63BD5">
        <w:rPr>
          <w:b/>
          <w:color w:val="00B0F0"/>
        </w:rPr>
        <w:t>ci</w:t>
      </w:r>
      <w:r w:rsidR="00122508" w:rsidRPr="00B63BD5">
        <w:rPr>
          <w:b/>
          <w:color w:val="00B0F0"/>
        </w:rPr>
        <w:noBreakHyphen/>
      </w:r>
      <w:r w:rsidRPr="00B63BD5">
        <w:rPr>
          <w:b/>
          <w:color w:val="00B0F0"/>
        </w:rPr>
        <w:t>dessous en tient compte, car il indique que la limite est l</w:t>
      </w:r>
      <w:r w:rsidR="00564B0C" w:rsidRPr="00B63BD5">
        <w:rPr>
          <w:b/>
          <w:color w:val="00B0F0"/>
        </w:rPr>
        <w:t>’</w:t>
      </w:r>
      <w:r w:rsidRPr="00B63BD5">
        <w:rPr>
          <w:b/>
          <w:color w:val="00B0F0"/>
        </w:rPr>
        <w:t>Équivalent en dollars américains de</w:t>
      </w:r>
      <w:r w:rsidR="00E65DA3" w:rsidRPr="00B63BD5">
        <w:rPr>
          <w:b/>
          <w:color w:val="00B0F0"/>
        </w:rPr>
        <w:t> </w:t>
      </w:r>
      <w:r w:rsidR="009C796D" w:rsidRPr="00B63BD5">
        <w:rPr>
          <w:b/>
          <w:color w:val="00B0F0"/>
        </w:rPr>
        <w:t>●</w:t>
      </w:r>
      <w:r w:rsidR="00E65DA3" w:rsidRPr="00B63BD5">
        <w:rPr>
          <w:b/>
          <w:color w:val="00B0F0"/>
        </w:rPr>
        <w:t> </w:t>
      </w:r>
      <w:r w:rsidRPr="00B63BD5">
        <w:rPr>
          <w:b/>
          <w:color w:val="00B0F0"/>
        </w:rPr>
        <w:t>$</w:t>
      </w:r>
      <w:r w:rsidR="00AC4107" w:rsidRPr="00B63BD5">
        <w:rPr>
          <w:b/>
          <w:color w:val="00B0F0"/>
        </w:rPr>
        <w:t xml:space="preserve"> </w:t>
      </w:r>
      <w:r w:rsidRPr="00B63BD5">
        <w:rPr>
          <w:b/>
          <w:color w:val="00B0F0"/>
        </w:rPr>
        <w:t>CA</w:t>
      </w:r>
      <w:r w:rsidRPr="00B63BD5">
        <w:rPr>
          <w:rStyle w:val="Prompt"/>
          <w:b/>
          <w:color w:val="00B0F0"/>
        </w:rPr>
        <w:t>. Cela permet d</w:t>
      </w:r>
      <w:r w:rsidR="00564B0C" w:rsidRPr="00B63BD5">
        <w:rPr>
          <w:rStyle w:val="Prompt"/>
          <w:b/>
          <w:color w:val="00B0F0"/>
        </w:rPr>
        <w:t>’</w:t>
      </w:r>
      <w:r w:rsidRPr="00B63BD5">
        <w:rPr>
          <w:rStyle w:val="Prompt"/>
          <w:b/>
          <w:color w:val="00B0F0"/>
        </w:rPr>
        <w:t>éviter toute imprécision lors de chaque modification du taux de change. Cependant, si la limite indiquée dans le système CARM est une limite précise en Dollars américains (p. ex., 50</w:t>
      </w:r>
      <w:r w:rsidR="002B6180" w:rsidRPr="00B63BD5">
        <w:rPr>
          <w:rStyle w:val="Prompt"/>
          <w:b/>
          <w:color w:val="00B0F0"/>
        </w:rPr>
        <w:t> </w:t>
      </w:r>
      <w:r w:rsidRPr="00B63BD5">
        <w:rPr>
          <w:rStyle w:val="Prompt"/>
          <w:b/>
          <w:color w:val="00B0F0"/>
        </w:rPr>
        <w:t>000</w:t>
      </w:r>
      <w:r w:rsidR="00B056F9" w:rsidRPr="00B63BD5">
        <w:rPr>
          <w:rStyle w:val="Prompt"/>
          <w:b/>
          <w:color w:val="00B0F0"/>
        </w:rPr>
        <w:t> </w:t>
      </w:r>
      <w:r w:rsidRPr="00B63BD5">
        <w:rPr>
          <w:rStyle w:val="Prompt"/>
          <w:b/>
          <w:color w:val="00B0F0"/>
        </w:rPr>
        <w:t>$</w:t>
      </w:r>
      <w:r w:rsidR="00AC4107" w:rsidRPr="00B63BD5">
        <w:rPr>
          <w:rStyle w:val="Prompt"/>
          <w:b/>
          <w:color w:val="00B0F0"/>
        </w:rPr>
        <w:t xml:space="preserve"> </w:t>
      </w:r>
      <w:r w:rsidRPr="00B63BD5">
        <w:rPr>
          <w:rStyle w:val="Prompt"/>
          <w:b/>
          <w:color w:val="00B0F0"/>
        </w:rPr>
        <w:t>US), vous pouvez plutôt utiliser la phrase suivante</w:t>
      </w:r>
      <w:r w:rsidR="00AC4107" w:rsidRPr="00B63BD5">
        <w:rPr>
          <w:rStyle w:val="Prompt"/>
          <w:b/>
          <w:color w:val="00B0F0"/>
        </w:rPr>
        <w:t xml:space="preserve"> </w:t>
      </w:r>
      <w:r w:rsidRPr="00B63BD5">
        <w:rPr>
          <w:rStyle w:val="Prompt"/>
          <w:b/>
          <w:color w:val="00B0F0"/>
        </w:rPr>
        <w:t>:</w:t>
      </w:r>
      <w:r w:rsidR="00F235C2" w:rsidRPr="00B63BD5">
        <w:rPr>
          <w:rStyle w:val="Prompt"/>
          <w:b/>
          <w:color w:val="00B0F0"/>
        </w:rPr>
        <w:t xml:space="preserve"> </w:t>
      </w:r>
      <w:r w:rsidR="00AF29BF" w:rsidRPr="00B63BD5">
        <w:rPr>
          <w:rStyle w:val="Prompt"/>
          <w:b/>
          <w:color w:val="00B0F0"/>
        </w:rPr>
        <w:t>« </w:t>
      </w:r>
      <w:r w:rsidR="00982DB6" w:rsidRPr="00B63BD5">
        <w:rPr>
          <w:rStyle w:val="Prompt"/>
          <w:b/>
          <w:color w:val="00B0F0"/>
        </w:rPr>
        <w:t>U</w:t>
      </w:r>
      <w:r w:rsidR="00511C1F" w:rsidRPr="00B63BD5">
        <w:rPr>
          <w:rStyle w:val="Prompt"/>
          <w:b/>
          <w:color w:val="00B0F0"/>
        </w:rPr>
        <w:t>n</w:t>
      </w:r>
      <w:r w:rsidR="00982DB6" w:rsidRPr="00B63BD5">
        <w:rPr>
          <w:rStyle w:val="Prompt"/>
          <w:b/>
          <w:color w:val="00B0F0"/>
        </w:rPr>
        <w:t>e protection</w:t>
      </w:r>
      <w:r w:rsidR="00F235C2" w:rsidRPr="00B63BD5">
        <w:rPr>
          <w:rStyle w:val="Prompt"/>
          <w:b/>
          <w:color w:val="00B0F0"/>
        </w:rPr>
        <w:t xml:space="preserve"> </w:t>
      </w:r>
      <w:r w:rsidR="00982DB6" w:rsidRPr="00B63BD5">
        <w:rPr>
          <w:rStyle w:val="Prompt"/>
          <w:b/>
          <w:color w:val="00B0F0"/>
        </w:rPr>
        <w:t>en</w:t>
      </w:r>
      <w:r w:rsidR="00E65DA3" w:rsidRPr="00B63BD5">
        <w:rPr>
          <w:rStyle w:val="Prompt"/>
          <w:b/>
          <w:color w:val="00B0F0"/>
        </w:rPr>
        <w:t> </w:t>
      </w:r>
      <w:r w:rsidR="00982DB6" w:rsidRPr="00B63BD5">
        <w:rPr>
          <w:rStyle w:val="Prompt"/>
          <w:b/>
          <w:color w:val="00B0F0"/>
        </w:rPr>
        <w:t>cas</w:t>
      </w:r>
      <w:r w:rsidR="00E65DA3" w:rsidRPr="00B63BD5">
        <w:rPr>
          <w:rStyle w:val="Prompt"/>
          <w:b/>
          <w:color w:val="00B0F0"/>
        </w:rPr>
        <w:t> </w:t>
      </w:r>
      <w:r w:rsidR="00982DB6" w:rsidRPr="00B63BD5">
        <w:rPr>
          <w:rStyle w:val="Prompt"/>
          <w:b/>
          <w:color w:val="00B0F0"/>
        </w:rPr>
        <w:t>de</w:t>
      </w:r>
      <w:r w:rsidR="00E65DA3" w:rsidRPr="00B63BD5">
        <w:rPr>
          <w:rStyle w:val="Prompt"/>
          <w:b/>
          <w:color w:val="00B0F0"/>
        </w:rPr>
        <w:t> </w:t>
      </w:r>
      <w:r w:rsidR="00511C1F" w:rsidRPr="00B63BD5">
        <w:rPr>
          <w:rStyle w:val="Prompt"/>
          <w:b/>
          <w:color w:val="00B0F0"/>
        </w:rPr>
        <w:t xml:space="preserve">découvert du compte en </w:t>
      </w:r>
      <w:r w:rsidR="00682477" w:rsidRPr="00B63BD5">
        <w:rPr>
          <w:rStyle w:val="Prompt"/>
          <w:b/>
          <w:color w:val="00B0F0"/>
        </w:rPr>
        <w:t>D</w:t>
      </w:r>
      <w:r w:rsidR="00511C1F" w:rsidRPr="00B63BD5">
        <w:rPr>
          <w:rStyle w:val="Prompt"/>
          <w:b/>
          <w:color w:val="00B0F0"/>
        </w:rPr>
        <w:t>ollars</w:t>
      </w:r>
      <w:r w:rsidR="00A42897" w:rsidRPr="00B63BD5">
        <w:rPr>
          <w:rStyle w:val="Prompt"/>
          <w:b/>
          <w:color w:val="00B0F0"/>
        </w:rPr>
        <w:t> </w:t>
      </w:r>
      <w:r w:rsidR="00511C1F" w:rsidRPr="00B63BD5">
        <w:rPr>
          <w:rStyle w:val="Prompt"/>
          <w:b/>
          <w:color w:val="00B0F0"/>
        </w:rPr>
        <w:t>américains d</w:t>
      </w:r>
      <w:r w:rsidR="00564B0C" w:rsidRPr="00B63BD5">
        <w:rPr>
          <w:rStyle w:val="Prompt"/>
          <w:b/>
          <w:color w:val="00B0F0"/>
        </w:rPr>
        <w:t>’</w:t>
      </w:r>
      <w:r w:rsidR="00511C1F" w:rsidRPr="00B63BD5">
        <w:rPr>
          <w:rStyle w:val="Prompt"/>
          <w:b/>
          <w:color w:val="00B0F0"/>
        </w:rPr>
        <w:t xml:space="preserve">un </w:t>
      </w:r>
      <w:r w:rsidR="00982DB6" w:rsidRPr="00B63BD5">
        <w:rPr>
          <w:rStyle w:val="Prompt"/>
          <w:b/>
          <w:color w:val="00B0F0"/>
        </w:rPr>
        <w:t>montant</w:t>
      </w:r>
      <w:r w:rsidR="000E6B1E" w:rsidRPr="00B63BD5">
        <w:rPr>
          <w:rStyle w:val="Prompt"/>
          <w:b/>
          <w:color w:val="00B0F0"/>
        </w:rPr>
        <w:t xml:space="preserve"> en</w:t>
      </w:r>
      <w:r w:rsidR="00982DB6" w:rsidRPr="00B63BD5">
        <w:rPr>
          <w:rStyle w:val="Prompt"/>
          <w:b/>
          <w:color w:val="00B0F0"/>
        </w:rPr>
        <w:t xml:space="preserve"> </w:t>
      </w:r>
      <w:r w:rsidR="00511C1F" w:rsidRPr="00B63BD5">
        <w:rPr>
          <w:rStyle w:val="Prompt"/>
          <w:b/>
          <w:color w:val="00B0F0"/>
        </w:rPr>
        <w:t>capital global</w:t>
      </w:r>
      <w:r w:rsidR="000E6B1E" w:rsidRPr="00B63BD5">
        <w:rPr>
          <w:rStyle w:val="Prompt"/>
          <w:b/>
          <w:color w:val="00B0F0"/>
        </w:rPr>
        <w:t xml:space="preserve"> n</w:t>
      </w:r>
      <w:r w:rsidR="00564B0C" w:rsidRPr="00B63BD5">
        <w:rPr>
          <w:rStyle w:val="Prompt"/>
          <w:b/>
          <w:color w:val="00B0F0"/>
        </w:rPr>
        <w:t>’</w:t>
      </w:r>
      <w:r w:rsidR="000E6B1E" w:rsidRPr="00B63BD5">
        <w:rPr>
          <w:rStyle w:val="Prompt"/>
          <w:b/>
          <w:color w:val="00B0F0"/>
        </w:rPr>
        <w:t>excédant pas</w:t>
      </w:r>
      <w:r w:rsidR="00511C1F" w:rsidRPr="00B63BD5">
        <w:rPr>
          <w:rStyle w:val="Prompt"/>
          <w:b/>
          <w:color w:val="00B0F0"/>
        </w:rPr>
        <w:t xml:space="preserve"> ●</w:t>
      </w:r>
      <w:r w:rsidR="00F72B2D" w:rsidRPr="00B63BD5">
        <w:rPr>
          <w:rStyle w:val="Prompt"/>
          <w:b/>
          <w:color w:val="00B0F0"/>
        </w:rPr>
        <w:t> </w:t>
      </w:r>
      <w:r w:rsidR="00511C1F" w:rsidRPr="00B63BD5">
        <w:rPr>
          <w:rStyle w:val="Prompt"/>
          <w:b/>
          <w:color w:val="00B0F0"/>
        </w:rPr>
        <w:t>$</w:t>
      </w:r>
      <w:r w:rsidR="00AC4107" w:rsidRPr="00B63BD5">
        <w:rPr>
          <w:rStyle w:val="Prompt"/>
          <w:b/>
          <w:color w:val="00B0F0"/>
        </w:rPr>
        <w:t xml:space="preserve"> </w:t>
      </w:r>
      <w:r w:rsidR="00511C1F" w:rsidRPr="00B63BD5">
        <w:rPr>
          <w:rStyle w:val="Prompt"/>
          <w:b/>
          <w:color w:val="00B0F0"/>
        </w:rPr>
        <w:t>US (les</w:t>
      </w:r>
      <w:r w:rsidR="00AC4107" w:rsidRPr="00B63BD5">
        <w:rPr>
          <w:rStyle w:val="Prompt"/>
          <w:b/>
          <w:color w:val="00B0F0"/>
        </w:rPr>
        <w:t xml:space="preserve"> </w:t>
      </w:r>
      <w:r w:rsidR="00511C1F" w:rsidRPr="00B63BD5">
        <w:rPr>
          <w:rStyle w:val="Prompt"/>
          <w:b/>
          <w:color w:val="00B0F0"/>
        </w:rPr>
        <w:t>«</w:t>
      </w:r>
      <w:r w:rsidR="00AC4107" w:rsidRPr="00B63BD5">
        <w:rPr>
          <w:rStyle w:val="Prompt"/>
          <w:color w:val="00B0F0"/>
        </w:rPr>
        <w:t xml:space="preserve"> </w:t>
      </w:r>
      <w:r w:rsidR="000E6B1E" w:rsidRPr="00B63BD5">
        <w:rPr>
          <w:rStyle w:val="Prompt"/>
          <w:color w:val="00B0F0"/>
        </w:rPr>
        <w:t xml:space="preserve">Prêts </w:t>
      </w:r>
      <w:r w:rsidR="000E03DE" w:rsidRPr="00B63BD5">
        <w:rPr>
          <w:rStyle w:val="Prompt"/>
          <w:color w:val="00B0F0"/>
        </w:rPr>
        <w:t xml:space="preserve">pour </w:t>
      </w:r>
      <w:r w:rsidR="00511C1F" w:rsidRPr="00B63BD5">
        <w:rPr>
          <w:rStyle w:val="Prompt"/>
          <w:color w:val="00B0F0"/>
        </w:rPr>
        <w:t>découvert en dollars</w:t>
      </w:r>
      <w:r w:rsidR="00A42897" w:rsidRPr="00B63BD5">
        <w:rPr>
          <w:rStyle w:val="Prompt"/>
          <w:color w:val="00B0F0"/>
        </w:rPr>
        <w:t> </w:t>
      </w:r>
      <w:r w:rsidR="00511C1F" w:rsidRPr="00B63BD5">
        <w:rPr>
          <w:rStyle w:val="Prompt"/>
          <w:color w:val="00B0F0"/>
        </w:rPr>
        <w:t>américains</w:t>
      </w:r>
      <w:r w:rsidR="00AC4107" w:rsidRPr="00B63BD5">
        <w:rPr>
          <w:rStyle w:val="Prompt"/>
          <w:color w:val="00B0F0"/>
        </w:rPr>
        <w:t xml:space="preserve"> </w:t>
      </w:r>
      <w:r w:rsidR="002A5DA6" w:rsidRPr="00B63BD5">
        <w:rPr>
          <w:rStyle w:val="Prompt"/>
          <w:b/>
          <w:color w:val="00B0F0"/>
        </w:rPr>
        <w:t>»</w:t>
      </w:r>
      <w:r w:rsidR="007E5AEE" w:rsidRPr="00B63BD5">
        <w:rPr>
          <w:rStyle w:val="Prompt"/>
          <w:b/>
          <w:color w:val="00B0F0"/>
        </w:rPr>
        <w:t>)</w:t>
      </w:r>
      <w:r w:rsidR="00AF29BF" w:rsidRPr="00B63BD5">
        <w:rPr>
          <w:rStyle w:val="Prompt"/>
          <w:b/>
          <w:color w:val="00B0F0"/>
        </w:rPr>
        <w:t>; ».</w:t>
      </w:r>
      <w:r w:rsidR="007E5AEE" w:rsidRPr="00B63BD5">
        <w:rPr>
          <w:rStyle w:val="Prompt"/>
          <w:b/>
          <w:color w:val="00B0F0"/>
        </w:rPr>
        <w:t> </w:t>
      </w:r>
      <w:r w:rsidR="002A5DA6" w:rsidRPr="00B63BD5">
        <w:rPr>
          <w:rStyle w:val="Prompt"/>
          <w:b/>
          <w:color w:val="00B0F0"/>
        </w:rPr>
        <w:t>]</w:t>
      </w:r>
    </w:p>
    <w:p w14:paraId="31186A9C" w14:textId="60645CA2" w:rsidR="007E357C" w:rsidRPr="00B63BD5" w:rsidRDefault="004A52B9" w:rsidP="000B7739">
      <w:pPr>
        <w:pStyle w:val="04LOLglNew3"/>
        <w:rPr>
          <w:lang w:val="fr-CA"/>
        </w:rPr>
      </w:pPr>
      <w:r w:rsidRPr="00B63BD5">
        <w:rPr>
          <w:lang w:val="fr-CA"/>
        </w:rPr>
        <w:t>u</w:t>
      </w:r>
      <w:r w:rsidR="00FE76D6" w:rsidRPr="00B63BD5">
        <w:rPr>
          <w:lang w:val="fr-CA"/>
        </w:rPr>
        <w:t xml:space="preserve">ne protection en cas de découvert du compte </w:t>
      </w:r>
      <w:r w:rsidR="00AC5A65" w:rsidRPr="00B63BD5">
        <w:rPr>
          <w:lang w:val="fr-CA"/>
        </w:rPr>
        <w:t xml:space="preserve">en </w:t>
      </w:r>
      <w:r w:rsidR="00682477" w:rsidRPr="00B63BD5">
        <w:rPr>
          <w:lang w:val="fr-CA"/>
        </w:rPr>
        <w:t>D</w:t>
      </w:r>
      <w:r w:rsidR="009270D2" w:rsidRPr="00B63BD5">
        <w:rPr>
          <w:lang w:val="fr-CA"/>
        </w:rPr>
        <w:t>ollars américains</w:t>
      </w:r>
      <w:r w:rsidR="005220C8" w:rsidRPr="00B63BD5">
        <w:rPr>
          <w:lang w:val="fr-CA"/>
        </w:rPr>
        <w:t xml:space="preserve"> </w:t>
      </w:r>
      <w:r w:rsidR="00AC5A65" w:rsidRPr="00B63BD5">
        <w:rPr>
          <w:lang w:val="fr-CA"/>
        </w:rPr>
        <w:t>d</w:t>
      </w:r>
      <w:r w:rsidR="00564B0C" w:rsidRPr="00B63BD5">
        <w:rPr>
          <w:lang w:val="fr-CA"/>
        </w:rPr>
        <w:t>’</w:t>
      </w:r>
      <w:r w:rsidR="00AC5A65" w:rsidRPr="00B63BD5">
        <w:rPr>
          <w:lang w:val="fr-CA"/>
        </w:rPr>
        <w:t xml:space="preserve">un </w:t>
      </w:r>
      <w:r w:rsidR="00982DB6" w:rsidRPr="00B63BD5">
        <w:rPr>
          <w:lang w:val="fr-CA"/>
        </w:rPr>
        <w:t>montant</w:t>
      </w:r>
      <w:r w:rsidR="00F265AC" w:rsidRPr="00B63BD5">
        <w:rPr>
          <w:lang w:val="fr-CA"/>
        </w:rPr>
        <w:t xml:space="preserve"> en</w:t>
      </w:r>
      <w:r w:rsidR="00982DB6" w:rsidRPr="00B63BD5">
        <w:rPr>
          <w:lang w:val="fr-CA"/>
        </w:rPr>
        <w:t xml:space="preserve"> </w:t>
      </w:r>
      <w:r w:rsidR="00AC5A65" w:rsidRPr="00B63BD5">
        <w:rPr>
          <w:lang w:val="fr-CA"/>
        </w:rPr>
        <w:t xml:space="preserve">capital global </w:t>
      </w:r>
      <w:r w:rsidR="00F265AC" w:rsidRPr="00B63BD5">
        <w:rPr>
          <w:lang w:val="fr-CA"/>
        </w:rPr>
        <w:t>n</w:t>
      </w:r>
      <w:r w:rsidR="00564B0C" w:rsidRPr="00B63BD5">
        <w:rPr>
          <w:lang w:val="fr-CA"/>
        </w:rPr>
        <w:t>’</w:t>
      </w:r>
      <w:r w:rsidR="00F265AC" w:rsidRPr="00B63BD5">
        <w:rPr>
          <w:lang w:val="fr-CA"/>
        </w:rPr>
        <w:t>excédant pas</w:t>
      </w:r>
      <w:r w:rsidR="00AC5A65" w:rsidRPr="00B63BD5">
        <w:rPr>
          <w:lang w:val="fr-CA"/>
        </w:rPr>
        <w:t xml:space="preserve"> </w:t>
      </w:r>
      <w:r w:rsidR="00927473" w:rsidRPr="00B63BD5">
        <w:rPr>
          <w:lang w:val="fr-CA"/>
        </w:rPr>
        <w:t>l</w:t>
      </w:r>
      <w:r w:rsidR="00564B0C" w:rsidRPr="00B63BD5">
        <w:rPr>
          <w:lang w:val="fr-CA"/>
        </w:rPr>
        <w:t>’</w:t>
      </w:r>
      <w:r w:rsidR="00927473" w:rsidRPr="00B63BD5">
        <w:rPr>
          <w:lang w:val="fr-CA"/>
        </w:rPr>
        <w:t xml:space="preserve">Équivalent en dollars </w:t>
      </w:r>
      <w:r w:rsidR="00AE1695" w:rsidRPr="00B63BD5">
        <w:rPr>
          <w:lang w:val="fr-CA"/>
        </w:rPr>
        <w:t xml:space="preserve">américains </w:t>
      </w:r>
      <w:r w:rsidR="00927473" w:rsidRPr="00B63BD5">
        <w:rPr>
          <w:lang w:val="fr-CA"/>
        </w:rPr>
        <w:t xml:space="preserve">de </w:t>
      </w:r>
      <w:r w:rsidR="00B25FC2" w:rsidRPr="00B63BD5">
        <w:rPr>
          <w:lang w:val="fr-CA"/>
        </w:rPr>
        <w:t>[</w:t>
      </w:r>
      <w:r w:rsidR="009C796D" w:rsidRPr="00B63BD5">
        <w:rPr>
          <w:lang w:val="fr-CA"/>
        </w:rPr>
        <w:t>●</w:t>
      </w:r>
      <w:r w:rsidR="00B25FC2" w:rsidRPr="00B63BD5">
        <w:rPr>
          <w:lang w:val="fr-CA"/>
        </w:rPr>
        <w:t>]</w:t>
      </w:r>
      <w:r w:rsidR="00B056F9" w:rsidRPr="00B63BD5">
        <w:rPr>
          <w:lang w:val="fr-CA"/>
        </w:rPr>
        <w:t> </w:t>
      </w:r>
      <w:r w:rsidR="00AE1695" w:rsidRPr="00B63BD5">
        <w:rPr>
          <w:lang w:val="fr-CA"/>
        </w:rPr>
        <w:t>$</w:t>
      </w:r>
      <w:r w:rsidR="00AC4107" w:rsidRPr="00B63BD5">
        <w:rPr>
          <w:lang w:val="fr-CA"/>
        </w:rPr>
        <w:t xml:space="preserve"> </w:t>
      </w:r>
      <w:r w:rsidR="00AE1695" w:rsidRPr="00B63BD5">
        <w:rPr>
          <w:lang w:val="fr-CA"/>
        </w:rPr>
        <w:t>CA (les «</w:t>
      </w:r>
      <w:r w:rsidR="0094743F" w:rsidRPr="00B63BD5">
        <w:rPr>
          <w:lang w:val="fr-CA"/>
        </w:rPr>
        <w:t> </w:t>
      </w:r>
      <w:r w:rsidR="00AE1695" w:rsidRPr="00B63BD5">
        <w:rPr>
          <w:b/>
          <w:lang w:val="fr-CA"/>
        </w:rPr>
        <w:t>Prêts pour découvert en</w:t>
      </w:r>
      <w:r w:rsidR="00F72B2D" w:rsidRPr="00B63BD5">
        <w:rPr>
          <w:b/>
          <w:lang w:val="fr-CA"/>
        </w:rPr>
        <w:t xml:space="preserve"> </w:t>
      </w:r>
      <w:r w:rsidR="00AE1695" w:rsidRPr="00B63BD5">
        <w:rPr>
          <w:b/>
          <w:lang w:val="fr-CA"/>
        </w:rPr>
        <w:t>dollars</w:t>
      </w:r>
      <w:r w:rsidR="00F72B2D" w:rsidRPr="00B63BD5">
        <w:rPr>
          <w:b/>
          <w:lang w:val="fr-CA"/>
        </w:rPr>
        <w:t xml:space="preserve"> </w:t>
      </w:r>
      <w:r w:rsidR="00AE1695" w:rsidRPr="00B63BD5">
        <w:rPr>
          <w:b/>
          <w:lang w:val="fr-CA"/>
        </w:rPr>
        <w:t>américains</w:t>
      </w:r>
      <w:r w:rsidR="0094743F" w:rsidRPr="00B63BD5">
        <w:rPr>
          <w:lang w:val="fr-CA"/>
        </w:rPr>
        <w:t> </w:t>
      </w:r>
      <w:r w:rsidR="00AE1695" w:rsidRPr="00B63BD5">
        <w:rPr>
          <w:lang w:val="fr-CA"/>
        </w:rPr>
        <w:t>»);</w:t>
      </w:r>
    </w:p>
    <w:p w14:paraId="200E3C9D" w14:textId="198FBB3C" w:rsidR="008F35D4" w:rsidRPr="00C23BC9" w:rsidRDefault="008F35D4" w:rsidP="00C23BC9">
      <w:pPr>
        <w:pStyle w:val="04LOLglNew3"/>
        <w:rPr>
          <w:lang w:val="fr-CA"/>
        </w:rPr>
      </w:pPr>
      <w:r w:rsidRPr="00C23BC9">
        <w:rPr>
          <w:lang w:val="fr-CA"/>
        </w:rPr>
        <w:t xml:space="preserve">des avances en Dollars américains sur le Prêt au taux SOFR </w:t>
      </w:r>
      <w:r w:rsidR="00B6043C" w:rsidRPr="00C23BC9">
        <w:rPr>
          <w:lang w:val="fr-CA"/>
        </w:rPr>
        <w:t xml:space="preserve">à terme </w:t>
      </w:r>
      <w:r w:rsidRPr="00C23BC9">
        <w:rPr>
          <w:lang w:val="fr-CA"/>
        </w:rPr>
        <w:t>jusqu</w:t>
      </w:r>
      <w:r w:rsidR="00564B0C" w:rsidRPr="00C23BC9">
        <w:rPr>
          <w:lang w:val="fr-CA"/>
        </w:rPr>
        <w:t>’</w:t>
      </w:r>
      <w:r w:rsidRPr="00C23BC9">
        <w:rPr>
          <w:lang w:val="fr-CA"/>
        </w:rPr>
        <w:t>à un montant en capital global n</w:t>
      </w:r>
      <w:r w:rsidR="00564B0C" w:rsidRPr="00C23BC9">
        <w:rPr>
          <w:lang w:val="fr-CA"/>
        </w:rPr>
        <w:t>’</w:t>
      </w:r>
      <w:r w:rsidRPr="00C23BC9">
        <w:rPr>
          <w:lang w:val="fr-CA"/>
        </w:rPr>
        <w:t>excédant pas l</w:t>
      </w:r>
      <w:r w:rsidR="00564B0C" w:rsidRPr="00C23BC9">
        <w:rPr>
          <w:lang w:val="fr-CA"/>
        </w:rPr>
        <w:t>’</w:t>
      </w:r>
      <w:r w:rsidRPr="00C23BC9">
        <w:rPr>
          <w:lang w:val="fr-CA"/>
        </w:rPr>
        <w:t>Équivalent en dollars américains de [</w:t>
      </w:r>
      <w:r w:rsidRPr="00C23BC9">
        <w:rPr>
          <w:lang w:val="fr-CA"/>
        </w:rPr>
        <w:sym w:font="Wingdings" w:char="F06C"/>
      </w:r>
      <w:r w:rsidRPr="00C23BC9">
        <w:rPr>
          <w:lang w:val="fr-CA"/>
        </w:rPr>
        <w:t>] $ CA, consenties sur demande moyennant la remise d</w:t>
      </w:r>
      <w:r w:rsidR="00564B0C" w:rsidRPr="00C23BC9">
        <w:rPr>
          <w:lang w:val="fr-CA"/>
        </w:rPr>
        <w:t>’</w:t>
      </w:r>
      <w:r w:rsidRPr="00C23BC9">
        <w:rPr>
          <w:lang w:val="fr-CA"/>
        </w:rPr>
        <w:t xml:space="preserve">un Avis requis, </w:t>
      </w:r>
      <w:r w:rsidR="00AB348F" w:rsidRPr="00C23BC9">
        <w:rPr>
          <w:lang w:val="fr-CA"/>
        </w:rPr>
        <w:t xml:space="preserve">sous réserve de la disponibilité, pendant une Période SOFR et </w:t>
      </w:r>
      <w:r w:rsidRPr="00C23BC9">
        <w:rPr>
          <w:lang w:val="fr-CA"/>
        </w:rPr>
        <w:t>sous réserve d</w:t>
      </w:r>
      <w:r w:rsidR="00564B0C" w:rsidRPr="00C23BC9">
        <w:rPr>
          <w:lang w:val="fr-CA"/>
        </w:rPr>
        <w:t>’</w:t>
      </w:r>
      <w:r w:rsidRPr="00C23BC9">
        <w:rPr>
          <w:lang w:val="fr-CA"/>
        </w:rPr>
        <w:t>une avance d</w:t>
      </w:r>
      <w:r w:rsidR="00564B0C" w:rsidRPr="00C23BC9">
        <w:rPr>
          <w:lang w:val="fr-CA"/>
        </w:rPr>
        <w:t>’</w:t>
      </w:r>
      <w:r w:rsidRPr="00C23BC9">
        <w:rPr>
          <w:lang w:val="fr-CA"/>
        </w:rPr>
        <w:t>un montant minimal de 500</w:t>
      </w:r>
      <w:r w:rsidR="00F72B2D" w:rsidRPr="00C23BC9">
        <w:rPr>
          <w:lang w:val="fr-CA"/>
        </w:rPr>
        <w:t> </w:t>
      </w:r>
      <w:r w:rsidRPr="00C23BC9">
        <w:rPr>
          <w:lang w:val="fr-CA"/>
        </w:rPr>
        <w:t>000 $ US et, par la suite, de multiples de 100</w:t>
      </w:r>
      <w:r w:rsidR="002B6180" w:rsidRPr="00C23BC9">
        <w:rPr>
          <w:lang w:val="fr-CA"/>
        </w:rPr>
        <w:t> </w:t>
      </w:r>
      <w:r w:rsidRPr="00C23BC9">
        <w:rPr>
          <w:lang w:val="fr-CA"/>
        </w:rPr>
        <w:t>000 $ US, sauf stipulation contraire de la Banque;</w:t>
      </w:r>
      <w:r w:rsidR="00564B0C" w:rsidRPr="00C23BC9">
        <w:rPr>
          <w:lang w:val="fr-CA"/>
        </w:rPr>
        <w:t xml:space="preserve"> </w:t>
      </w:r>
    </w:p>
    <w:p w14:paraId="4E358986" w14:textId="443AE8EF" w:rsidR="008F35D4" w:rsidRPr="00C23BC9" w:rsidRDefault="008F35D4" w:rsidP="00C23BC9">
      <w:pPr>
        <w:pStyle w:val="04LOLglNew3"/>
        <w:rPr>
          <w:lang w:val="fr-CA"/>
        </w:rPr>
      </w:pPr>
      <w:r w:rsidRPr="00C23BC9">
        <w:rPr>
          <w:lang w:val="fr-CA"/>
        </w:rPr>
        <w:t xml:space="preserve">des avances en Dollars américains sur le Prêt au taux SOFR </w:t>
      </w:r>
      <w:r w:rsidR="00B6043C" w:rsidRPr="00C23BC9">
        <w:rPr>
          <w:lang w:val="fr-CA"/>
        </w:rPr>
        <w:t xml:space="preserve">simple quotidien </w:t>
      </w:r>
      <w:r w:rsidRPr="00C23BC9">
        <w:rPr>
          <w:lang w:val="fr-CA"/>
        </w:rPr>
        <w:t>jusqu</w:t>
      </w:r>
      <w:r w:rsidR="00564B0C" w:rsidRPr="00C23BC9">
        <w:rPr>
          <w:lang w:val="fr-CA"/>
        </w:rPr>
        <w:t>’</w:t>
      </w:r>
      <w:r w:rsidRPr="00C23BC9">
        <w:rPr>
          <w:lang w:val="fr-CA"/>
        </w:rPr>
        <w:t>à un montant en capital global n</w:t>
      </w:r>
      <w:r w:rsidR="00564B0C" w:rsidRPr="00C23BC9">
        <w:rPr>
          <w:lang w:val="fr-CA"/>
        </w:rPr>
        <w:t>’</w:t>
      </w:r>
      <w:r w:rsidRPr="00C23BC9">
        <w:rPr>
          <w:lang w:val="fr-CA"/>
        </w:rPr>
        <w:t>excédant pas l</w:t>
      </w:r>
      <w:r w:rsidR="00564B0C" w:rsidRPr="00C23BC9">
        <w:rPr>
          <w:lang w:val="fr-CA"/>
        </w:rPr>
        <w:t>’</w:t>
      </w:r>
      <w:r w:rsidRPr="00C23BC9">
        <w:rPr>
          <w:lang w:val="fr-CA"/>
        </w:rPr>
        <w:t>Équivalent en dollars américains de [</w:t>
      </w:r>
      <w:r w:rsidRPr="00C23BC9">
        <w:rPr>
          <w:lang w:val="fr-CA"/>
        </w:rPr>
        <w:sym w:font="Wingdings" w:char="F06C"/>
      </w:r>
      <w:r w:rsidRPr="00C23BC9">
        <w:rPr>
          <w:lang w:val="fr-CA"/>
        </w:rPr>
        <w:t>] $ CA, consenties sur demande moyennant la remise d</w:t>
      </w:r>
      <w:r w:rsidR="00564B0C" w:rsidRPr="00C23BC9">
        <w:rPr>
          <w:lang w:val="fr-CA"/>
        </w:rPr>
        <w:t>’</w:t>
      </w:r>
      <w:r w:rsidRPr="00C23BC9">
        <w:rPr>
          <w:lang w:val="fr-CA"/>
        </w:rPr>
        <w:t>un Avis requis, sous réserve d</w:t>
      </w:r>
      <w:r w:rsidR="00564B0C" w:rsidRPr="00C23BC9">
        <w:rPr>
          <w:lang w:val="fr-CA"/>
        </w:rPr>
        <w:t>’</w:t>
      </w:r>
      <w:r w:rsidRPr="00C23BC9">
        <w:rPr>
          <w:lang w:val="fr-CA"/>
        </w:rPr>
        <w:t>une avance d</w:t>
      </w:r>
      <w:r w:rsidR="00564B0C" w:rsidRPr="00C23BC9">
        <w:rPr>
          <w:lang w:val="fr-CA"/>
        </w:rPr>
        <w:t>’</w:t>
      </w:r>
      <w:r w:rsidRPr="00C23BC9">
        <w:rPr>
          <w:lang w:val="fr-CA"/>
        </w:rPr>
        <w:t>un montant minimal de 500</w:t>
      </w:r>
      <w:r w:rsidR="00F72B2D" w:rsidRPr="00C23BC9">
        <w:rPr>
          <w:lang w:val="fr-CA"/>
        </w:rPr>
        <w:t> </w:t>
      </w:r>
      <w:r w:rsidRPr="00C23BC9">
        <w:rPr>
          <w:lang w:val="fr-CA"/>
        </w:rPr>
        <w:t>000 $ US et, par la suite, de multiples de 100</w:t>
      </w:r>
      <w:r w:rsidR="00F72B2D" w:rsidRPr="00C23BC9">
        <w:rPr>
          <w:lang w:val="fr-CA"/>
        </w:rPr>
        <w:t> </w:t>
      </w:r>
      <w:r w:rsidRPr="00C23BC9">
        <w:rPr>
          <w:lang w:val="fr-CA"/>
        </w:rPr>
        <w:t>000 $ US, sauf stipulation contraire de la Banque;</w:t>
      </w:r>
      <w:r w:rsidR="00564B0C" w:rsidRPr="00C23BC9">
        <w:rPr>
          <w:lang w:val="fr-CA"/>
        </w:rPr>
        <w:t xml:space="preserve"> </w:t>
      </w:r>
    </w:p>
    <w:p w14:paraId="0C7D0B5A" w14:textId="242801DE" w:rsidR="00A5695E" w:rsidRPr="00B63BD5" w:rsidRDefault="00B25FC2" w:rsidP="00C23BC9">
      <w:pPr>
        <w:pStyle w:val="04LOLglNew3"/>
        <w:rPr>
          <w:lang w:val="fr-CA"/>
        </w:rPr>
      </w:pPr>
      <w:r w:rsidRPr="00B63BD5">
        <w:rPr>
          <w:lang w:val="fr-CA"/>
        </w:rPr>
        <w:t xml:space="preserve">des avances en </w:t>
      </w:r>
      <w:r w:rsidR="00B03B77" w:rsidRPr="00B63BD5">
        <w:rPr>
          <w:lang w:val="fr-CA"/>
        </w:rPr>
        <w:t>Livres sterling</w:t>
      </w:r>
      <w:r w:rsidRPr="00B63BD5">
        <w:rPr>
          <w:lang w:val="fr-CA"/>
        </w:rPr>
        <w:t xml:space="preserve"> sur le Prêt au taux </w:t>
      </w:r>
      <w:r w:rsidR="00B03B77" w:rsidRPr="00B63BD5">
        <w:rPr>
          <w:lang w:val="fr-CA"/>
        </w:rPr>
        <w:t xml:space="preserve">SONIA </w:t>
      </w:r>
      <w:r w:rsidRPr="00B63BD5">
        <w:rPr>
          <w:lang w:val="fr-CA"/>
        </w:rPr>
        <w:t>jusqu</w:t>
      </w:r>
      <w:r w:rsidR="00564B0C" w:rsidRPr="00B63BD5">
        <w:rPr>
          <w:lang w:val="fr-CA"/>
        </w:rPr>
        <w:t>’</w:t>
      </w:r>
      <w:r w:rsidRPr="00B63BD5">
        <w:rPr>
          <w:lang w:val="fr-CA"/>
        </w:rPr>
        <w:t>à un montant en capital global n</w:t>
      </w:r>
      <w:r w:rsidR="00564B0C" w:rsidRPr="00B63BD5">
        <w:rPr>
          <w:lang w:val="fr-CA"/>
        </w:rPr>
        <w:t>’</w:t>
      </w:r>
      <w:r w:rsidRPr="00B63BD5">
        <w:rPr>
          <w:lang w:val="fr-CA"/>
        </w:rPr>
        <w:t>excédant pas [</w:t>
      </w:r>
      <w:r w:rsidR="009C796D" w:rsidRPr="00B63BD5">
        <w:rPr>
          <w:lang w:val="fr-CA"/>
        </w:rPr>
        <w:t>●</w:t>
      </w:r>
      <w:r w:rsidRPr="00B63BD5">
        <w:rPr>
          <w:lang w:val="fr-CA"/>
        </w:rPr>
        <w:t>]</w:t>
      </w:r>
      <w:r w:rsidR="00F72B2D" w:rsidRPr="00B63BD5">
        <w:rPr>
          <w:lang w:val="fr-CA"/>
        </w:rPr>
        <w:t> </w:t>
      </w:r>
      <w:r w:rsidR="00B03B77" w:rsidRPr="00B63BD5">
        <w:rPr>
          <w:lang w:val="fr-CA"/>
        </w:rPr>
        <w:t xml:space="preserve">£ </w:t>
      </w:r>
      <w:r w:rsidR="007E5AEE" w:rsidRPr="00AE7CCA">
        <w:rPr>
          <w:lang w:val="fr-FR"/>
        </w:rPr>
        <w:t>OU</w:t>
      </w:r>
      <w:r w:rsidR="007E5AEE" w:rsidRPr="00B63BD5">
        <w:rPr>
          <w:lang w:val="fr-CA"/>
        </w:rPr>
        <w:t xml:space="preserve"> l’Équivalent</w:t>
      </w:r>
      <w:r w:rsidR="007E5AEE" w:rsidRPr="00C23BC9">
        <w:rPr>
          <w:lang w:val="fr-CA"/>
        </w:rPr>
        <w:t xml:space="preserve"> en </w:t>
      </w:r>
      <w:r w:rsidR="007E5AEE" w:rsidRPr="00B63BD5">
        <w:rPr>
          <w:lang w:val="fr-CA"/>
        </w:rPr>
        <w:t>livres sterling</w:t>
      </w:r>
      <w:r w:rsidR="007E5AEE" w:rsidRPr="00C23BC9">
        <w:rPr>
          <w:lang w:val="fr-CA"/>
        </w:rPr>
        <w:t xml:space="preserve"> de [</w:t>
      </w:r>
      <w:r w:rsidR="007E5AEE" w:rsidRPr="00B63BD5">
        <w:rPr>
          <w:lang w:val="fr-CA"/>
        </w:rPr>
        <w:t>●</w:t>
      </w:r>
      <w:r w:rsidR="007E5AEE" w:rsidRPr="00AE7CCA">
        <w:rPr>
          <w:lang w:val="fr-FR"/>
        </w:rPr>
        <w:t>]</w:t>
      </w:r>
      <w:r w:rsidR="007E5AEE" w:rsidRPr="00C23BC9">
        <w:rPr>
          <w:lang w:val="fr-CA"/>
        </w:rPr>
        <w:t> </w:t>
      </w:r>
      <w:r w:rsidR="007E5AEE" w:rsidRPr="00B63BD5">
        <w:rPr>
          <w:lang w:val="fr-CA"/>
        </w:rPr>
        <w:t>$ CA,</w:t>
      </w:r>
      <w:r w:rsidR="007E5AEE" w:rsidRPr="00C23BC9">
        <w:rPr>
          <w:lang w:val="fr-CA"/>
        </w:rPr>
        <w:t xml:space="preserve"> </w:t>
      </w:r>
      <w:r w:rsidRPr="00B63BD5">
        <w:rPr>
          <w:lang w:val="fr-CA"/>
        </w:rPr>
        <w:t>consenties sur demande moyennant la remise d</w:t>
      </w:r>
      <w:r w:rsidR="00564B0C" w:rsidRPr="00B63BD5">
        <w:rPr>
          <w:lang w:val="fr-CA"/>
        </w:rPr>
        <w:t>’</w:t>
      </w:r>
      <w:r w:rsidRPr="00B63BD5">
        <w:rPr>
          <w:lang w:val="fr-CA"/>
        </w:rPr>
        <w:t>un Avis requis, sous réserve d</w:t>
      </w:r>
      <w:r w:rsidR="00564B0C" w:rsidRPr="00B63BD5">
        <w:rPr>
          <w:lang w:val="fr-CA"/>
        </w:rPr>
        <w:t>’</w:t>
      </w:r>
      <w:r w:rsidRPr="00B63BD5">
        <w:rPr>
          <w:lang w:val="fr-CA"/>
        </w:rPr>
        <w:t>une avance d</w:t>
      </w:r>
      <w:r w:rsidR="00564B0C" w:rsidRPr="00B63BD5">
        <w:rPr>
          <w:lang w:val="fr-CA"/>
        </w:rPr>
        <w:t>’</w:t>
      </w:r>
      <w:r w:rsidRPr="00B63BD5">
        <w:rPr>
          <w:lang w:val="fr-CA"/>
        </w:rPr>
        <w:t>un montant minimal de</w:t>
      </w:r>
      <w:r w:rsidR="00F72B2D" w:rsidRPr="00B63BD5">
        <w:rPr>
          <w:lang w:val="fr-CA"/>
        </w:rPr>
        <w:t xml:space="preserve"> </w:t>
      </w:r>
      <w:r w:rsidRPr="00B63BD5">
        <w:rPr>
          <w:lang w:val="fr-CA"/>
        </w:rPr>
        <w:t>500</w:t>
      </w:r>
      <w:r w:rsidR="00B056F9" w:rsidRPr="00B63BD5">
        <w:rPr>
          <w:lang w:val="fr-CA"/>
        </w:rPr>
        <w:t> </w:t>
      </w:r>
      <w:r w:rsidRPr="00B63BD5">
        <w:rPr>
          <w:lang w:val="fr-CA"/>
        </w:rPr>
        <w:t>000</w:t>
      </w:r>
      <w:r w:rsidR="00B056F9" w:rsidRPr="00B63BD5">
        <w:rPr>
          <w:lang w:val="fr-CA"/>
        </w:rPr>
        <w:t> </w:t>
      </w:r>
      <w:r w:rsidR="00B03B77" w:rsidRPr="00B63BD5">
        <w:rPr>
          <w:lang w:val="fr-CA"/>
        </w:rPr>
        <w:t xml:space="preserve">£ </w:t>
      </w:r>
      <w:r w:rsidRPr="00B63BD5">
        <w:rPr>
          <w:lang w:val="fr-CA"/>
        </w:rPr>
        <w:t>et, par la suite, de multiples de 100</w:t>
      </w:r>
      <w:r w:rsidR="00B056F9" w:rsidRPr="00B63BD5">
        <w:rPr>
          <w:lang w:val="fr-CA"/>
        </w:rPr>
        <w:t> </w:t>
      </w:r>
      <w:r w:rsidRPr="00B63BD5">
        <w:rPr>
          <w:lang w:val="fr-CA"/>
        </w:rPr>
        <w:t>000</w:t>
      </w:r>
      <w:r w:rsidR="00B056F9" w:rsidRPr="00B63BD5">
        <w:rPr>
          <w:lang w:val="fr-CA"/>
        </w:rPr>
        <w:t> </w:t>
      </w:r>
      <w:r w:rsidR="00B03B77" w:rsidRPr="00B63BD5">
        <w:rPr>
          <w:lang w:val="fr-CA"/>
        </w:rPr>
        <w:t>£</w:t>
      </w:r>
      <w:r w:rsidRPr="00B63BD5">
        <w:rPr>
          <w:lang w:val="fr-CA"/>
        </w:rPr>
        <w:t>, sauf stipul</w:t>
      </w:r>
      <w:r w:rsidR="004A52B9" w:rsidRPr="00B63BD5">
        <w:rPr>
          <w:lang w:val="fr-CA"/>
        </w:rPr>
        <w:t>ation contraire de la Banque;</w:t>
      </w:r>
    </w:p>
    <w:p w14:paraId="07338766" w14:textId="1C986E87" w:rsidR="00C26994" w:rsidRPr="00B63BD5" w:rsidRDefault="006238AC" w:rsidP="000B7739">
      <w:pPr>
        <w:pStyle w:val="04LOLglNew3"/>
        <w:rPr>
          <w:lang w:val="fr-CA"/>
        </w:rPr>
      </w:pPr>
      <w:r>
        <w:rPr>
          <w:lang w:val="fr-CA"/>
        </w:rPr>
        <w:t>j</w:t>
      </w:r>
      <w:r w:rsidRPr="006238AC">
        <w:rPr>
          <w:lang w:val="fr-CA"/>
        </w:rPr>
        <w:t>usqu’au 30 juin 2024 ou toute autre date stipulée par la Banque</w:t>
      </w:r>
      <w:r>
        <w:rPr>
          <w:lang w:val="fr-CA"/>
        </w:rPr>
        <w:t xml:space="preserve">, </w:t>
      </w:r>
      <w:r w:rsidR="007A6BF0" w:rsidRPr="00B63BD5">
        <w:rPr>
          <w:lang w:val="fr-CA"/>
        </w:rPr>
        <w:t xml:space="preserve">des </w:t>
      </w:r>
      <w:r w:rsidR="00A56966" w:rsidRPr="00B63BD5">
        <w:rPr>
          <w:lang w:val="fr-CA"/>
        </w:rPr>
        <w:t>Acceptations bancaires</w:t>
      </w:r>
      <w:r w:rsidR="002E294C" w:rsidRPr="00B63BD5">
        <w:rPr>
          <w:lang w:val="fr-CA"/>
        </w:rPr>
        <w:t xml:space="preserve"> </w:t>
      </w:r>
      <w:r w:rsidR="00146BDF" w:rsidRPr="00B63BD5">
        <w:rPr>
          <w:lang w:val="fr-CA"/>
        </w:rPr>
        <w:t>[</w:t>
      </w:r>
      <w:r w:rsidR="002E294C" w:rsidRPr="00B63BD5">
        <w:rPr>
          <w:lang w:val="fr-CA"/>
        </w:rPr>
        <w:t xml:space="preserve">en </w:t>
      </w:r>
      <w:r w:rsidR="00682477" w:rsidRPr="00B63BD5">
        <w:rPr>
          <w:lang w:val="fr-CA"/>
        </w:rPr>
        <w:t>D</w:t>
      </w:r>
      <w:r w:rsidR="007A6BF0" w:rsidRPr="00B63BD5">
        <w:rPr>
          <w:lang w:val="fr-CA"/>
        </w:rPr>
        <w:t xml:space="preserve">ollars américains ou en </w:t>
      </w:r>
      <w:r w:rsidR="00682477" w:rsidRPr="00B63BD5">
        <w:rPr>
          <w:lang w:val="fr-CA"/>
        </w:rPr>
        <w:t>D</w:t>
      </w:r>
      <w:r w:rsidR="007A6BF0" w:rsidRPr="00B63BD5">
        <w:rPr>
          <w:lang w:val="fr-CA"/>
        </w:rPr>
        <w:t>ollars canadiens</w:t>
      </w:r>
      <w:r w:rsidR="00146BDF" w:rsidRPr="00B63BD5">
        <w:rPr>
          <w:lang w:val="fr-CA"/>
        </w:rPr>
        <w:t>]</w:t>
      </w:r>
      <w:r w:rsidR="007A6BF0" w:rsidRPr="00B63BD5">
        <w:rPr>
          <w:lang w:val="fr-CA"/>
        </w:rPr>
        <w:t xml:space="preserve"> d</w:t>
      </w:r>
      <w:r w:rsidR="00564B0C" w:rsidRPr="00B63BD5">
        <w:rPr>
          <w:lang w:val="fr-CA"/>
        </w:rPr>
        <w:t>’</w:t>
      </w:r>
      <w:r w:rsidR="007A6BF0" w:rsidRPr="00B63BD5">
        <w:rPr>
          <w:lang w:val="fr-CA"/>
        </w:rPr>
        <w:t xml:space="preserve">un </w:t>
      </w:r>
      <w:r w:rsidR="00D20768" w:rsidRPr="00B63BD5">
        <w:rPr>
          <w:lang w:val="fr-CA"/>
        </w:rPr>
        <w:t>montant</w:t>
      </w:r>
      <w:r w:rsidR="00F265AC" w:rsidRPr="00B63BD5">
        <w:rPr>
          <w:lang w:val="fr-CA"/>
        </w:rPr>
        <w:t xml:space="preserve"> en</w:t>
      </w:r>
      <w:r w:rsidR="00E65DA3" w:rsidRPr="00B63BD5">
        <w:rPr>
          <w:lang w:val="fr-CA"/>
        </w:rPr>
        <w:t> </w:t>
      </w:r>
      <w:r w:rsidR="00A56966" w:rsidRPr="00B63BD5">
        <w:rPr>
          <w:lang w:val="fr-CA"/>
        </w:rPr>
        <w:t xml:space="preserve">capital </w:t>
      </w:r>
      <w:r w:rsidR="007A6BF0" w:rsidRPr="00B63BD5">
        <w:rPr>
          <w:lang w:val="fr-CA"/>
        </w:rPr>
        <w:t>global</w:t>
      </w:r>
      <w:r w:rsidR="00F265AC" w:rsidRPr="00B63BD5">
        <w:rPr>
          <w:lang w:val="fr-CA"/>
        </w:rPr>
        <w:t xml:space="preserve"> n</w:t>
      </w:r>
      <w:r w:rsidR="00564B0C" w:rsidRPr="00B63BD5">
        <w:rPr>
          <w:lang w:val="fr-CA"/>
        </w:rPr>
        <w:t>’</w:t>
      </w:r>
      <w:r w:rsidR="00F265AC" w:rsidRPr="00B63BD5">
        <w:rPr>
          <w:lang w:val="fr-CA"/>
        </w:rPr>
        <w:t>excédant pas</w:t>
      </w:r>
      <w:r w:rsidR="00A56966" w:rsidRPr="00B63BD5">
        <w:rPr>
          <w:lang w:val="fr-CA"/>
        </w:rPr>
        <w:t xml:space="preserve"> </w:t>
      </w:r>
      <w:r w:rsidR="002E294C" w:rsidRPr="00B63BD5">
        <w:rPr>
          <w:lang w:val="fr-CA"/>
        </w:rPr>
        <w:t>[</w:t>
      </w:r>
      <w:r w:rsidR="007A6BF0" w:rsidRPr="00B63BD5">
        <w:rPr>
          <w:lang w:val="fr-CA"/>
        </w:rPr>
        <w:t>●</w:t>
      </w:r>
      <w:r w:rsidR="00B056F9" w:rsidRPr="00B63BD5">
        <w:rPr>
          <w:lang w:val="fr-CA"/>
        </w:rPr>
        <w:t> </w:t>
      </w:r>
      <w:r w:rsidR="007A6BF0" w:rsidRPr="00B63BD5">
        <w:rPr>
          <w:lang w:val="fr-CA"/>
        </w:rPr>
        <w:t>$</w:t>
      </w:r>
      <w:r w:rsidR="00AC4107" w:rsidRPr="00B63BD5">
        <w:rPr>
          <w:lang w:val="fr-CA"/>
        </w:rPr>
        <w:t xml:space="preserve"> </w:t>
      </w:r>
      <w:r w:rsidR="007A6BF0" w:rsidRPr="00B63BD5">
        <w:rPr>
          <w:lang w:val="fr-CA"/>
        </w:rPr>
        <w:t>CA (ou l</w:t>
      </w:r>
      <w:r w:rsidR="00564B0C" w:rsidRPr="00B63BD5">
        <w:rPr>
          <w:lang w:val="fr-CA"/>
        </w:rPr>
        <w:t>’</w:t>
      </w:r>
      <w:r w:rsidR="007A6BF0" w:rsidRPr="00B63BD5">
        <w:rPr>
          <w:lang w:val="fr-CA"/>
        </w:rPr>
        <w:t>Équivalent en dollars américains)</w:t>
      </w:r>
      <w:r w:rsidR="009270D2" w:rsidRPr="00B63BD5">
        <w:rPr>
          <w:lang w:val="fr-CA"/>
        </w:rPr>
        <w:t xml:space="preserve"> </w:t>
      </w:r>
      <w:r w:rsidR="00AD26E3" w:rsidRPr="00B63BD5">
        <w:rPr>
          <w:rStyle w:val="Prompt"/>
          <w:b/>
          <w:color w:val="00B0F0"/>
          <w:szCs w:val="20"/>
          <w:highlight w:val="yellow"/>
          <w:lang w:val="fr-CA"/>
        </w:rPr>
        <w:t>OU</w:t>
      </w:r>
      <w:r w:rsidR="00AD26E3" w:rsidRPr="00B63BD5">
        <w:rPr>
          <w:lang w:val="fr-CA"/>
        </w:rPr>
        <w:t xml:space="preserve"> </w:t>
      </w:r>
      <w:r w:rsidR="008957DA" w:rsidRPr="00B63BD5">
        <w:rPr>
          <w:lang w:val="fr-CA"/>
        </w:rPr>
        <w:t>[</w:t>
      </w:r>
      <w:r w:rsidR="002E294C" w:rsidRPr="00B63BD5">
        <w:rPr>
          <w:lang w:val="fr-CA"/>
        </w:rPr>
        <w:t>●</w:t>
      </w:r>
      <w:r w:rsidR="008957DA" w:rsidRPr="00B63BD5">
        <w:rPr>
          <w:lang w:val="fr-CA"/>
        </w:rPr>
        <w:t>]</w:t>
      </w:r>
      <w:r w:rsidR="00B056F9" w:rsidRPr="00B63BD5">
        <w:rPr>
          <w:lang w:val="fr-CA"/>
        </w:rPr>
        <w:t> </w:t>
      </w:r>
      <w:r w:rsidR="002E294C" w:rsidRPr="00B63BD5">
        <w:rPr>
          <w:lang w:val="fr-CA"/>
        </w:rPr>
        <w:t>$</w:t>
      </w:r>
      <w:r w:rsidR="00AC4107" w:rsidRPr="00B63BD5">
        <w:rPr>
          <w:lang w:val="fr-CA"/>
        </w:rPr>
        <w:t xml:space="preserve"> </w:t>
      </w:r>
      <w:r w:rsidR="002E294C" w:rsidRPr="00B63BD5">
        <w:rPr>
          <w:lang w:val="fr-CA"/>
        </w:rPr>
        <w:t>US (ou</w:t>
      </w:r>
      <w:r w:rsidR="00F72B2D" w:rsidRPr="00B63BD5">
        <w:rPr>
          <w:lang w:val="fr-CA"/>
        </w:rPr>
        <w:t xml:space="preserve"> </w:t>
      </w:r>
      <w:r w:rsidR="002E294C" w:rsidRPr="00B63BD5">
        <w:rPr>
          <w:lang w:val="fr-CA"/>
        </w:rPr>
        <w:t>l</w:t>
      </w:r>
      <w:r w:rsidR="00564B0C" w:rsidRPr="00B63BD5">
        <w:rPr>
          <w:lang w:val="fr-CA"/>
        </w:rPr>
        <w:t>’</w:t>
      </w:r>
      <w:r w:rsidR="002E294C" w:rsidRPr="00B63BD5">
        <w:rPr>
          <w:lang w:val="fr-CA"/>
        </w:rPr>
        <w:t xml:space="preserve">Équivalent en dollars </w:t>
      </w:r>
      <w:r w:rsidR="001A2C08" w:rsidRPr="00B63BD5">
        <w:rPr>
          <w:lang w:val="fr-CA"/>
        </w:rPr>
        <w:t>canadiens</w:t>
      </w:r>
      <w:r w:rsidR="002E294C" w:rsidRPr="00B63BD5">
        <w:rPr>
          <w:lang w:val="fr-CA"/>
        </w:rPr>
        <w:t xml:space="preserve">)] </w:t>
      </w:r>
      <w:r w:rsidR="00A56966" w:rsidRPr="00B63BD5">
        <w:rPr>
          <w:lang w:val="fr-CA"/>
        </w:rPr>
        <w:t xml:space="preserve">consenties </w:t>
      </w:r>
      <w:r w:rsidR="007A6BF0" w:rsidRPr="00B63BD5">
        <w:rPr>
          <w:lang w:val="fr-CA"/>
        </w:rPr>
        <w:t>sur demande moyen</w:t>
      </w:r>
      <w:r w:rsidR="00A56966" w:rsidRPr="00B63BD5">
        <w:rPr>
          <w:lang w:val="fr-CA"/>
        </w:rPr>
        <w:t>nant</w:t>
      </w:r>
      <w:r w:rsidR="007A6BF0" w:rsidRPr="00B63BD5">
        <w:rPr>
          <w:lang w:val="fr-CA"/>
        </w:rPr>
        <w:t xml:space="preserve"> </w:t>
      </w:r>
      <w:r w:rsidR="00F265AC" w:rsidRPr="00B63BD5">
        <w:rPr>
          <w:lang w:val="fr-CA"/>
        </w:rPr>
        <w:t>la remise d</w:t>
      </w:r>
      <w:r w:rsidR="00564B0C" w:rsidRPr="00B63BD5">
        <w:rPr>
          <w:lang w:val="fr-CA"/>
        </w:rPr>
        <w:t>’</w:t>
      </w:r>
      <w:r w:rsidR="007A6BF0" w:rsidRPr="00B63BD5">
        <w:rPr>
          <w:lang w:val="fr-CA"/>
        </w:rPr>
        <w:t>un Avis requis, sous réserve de la disponibilité</w:t>
      </w:r>
      <w:r w:rsidR="00A56966" w:rsidRPr="00B63BD5">
        <w:rPr>
          <w:lang w:val="fr-CA"/>
        </w:rPr>
        <w:t>,</w:t>
      </w:r>
      <w:r w:rsidR="007A6BF0" w:rsidRPr="00B63BD5">
        <w:rPr>
          <w:lang w:val="fr-CA"/>
        </w:rPr>
        <w:t xml:space="preserve"> </w:t>
      </w:r>
      <w:r w:rsidR="00783F3F" w:rsidRPr="00B63BD5">
        <w:rPr>
          <w:lang w:val="fr-CA"/>
        </w:rPr>
        <w:t xml:space="preserve">pendant </w:t>
      </w:r>
      <w:r w:rsidR="007A6BF0" w:rsidRPr="00B63BD5">
        <w:rPr>
          <w:lang w:val="fr-CA"/>
        </w:rPr>
        <w:t xml:space="preserve">une </w:t>
      </w:r>
      <w:r w:rsidR="00A56966" w:rsidRPr="00B63BD5">
        <w:rPr>
          <w:lang w:val="fr-CA"/>
        </w:rPr>
        <w:t xml:space="preserve">durée </w:t>
      </w:r>
      <w:r w:rsidR="007A6BF0" w:rsidRPr="00B63BD5">
        <w:rPr>
          <w:lang w:val="fr-CA"/>
        </w:rPr>
        <w:t>d</w:t>
      </w:r>
      <w:r w:rsidR="00564B0C" w:rsidRPr="00B63BD5">
        <w:rPr>
          <w:lang w:val="fr-CA"/>
        </w:rPr>
        <w:t>’</w:t>
      </w:r>
      <w:r w:rsidR="007A6BF0" w:rsidRPr="00B63BD5">
        <w:rPr>
          <w:lang w:val="fr-CA"/>
        </w:rPr>
        <w:t xml:space="preserve">au moins </w:t>
      </w:r>
      <w:r w:rsidR="008957DA" w:rsidRPr="00B63BD5">
        <w:rPr>
          <w:lang w:val="fr-CA"/>
        </w:rPr>
        <w:t>[</w:t>
      </w:r>
      <w:r w:rsidR="007A6BF0" w:rsidRPr="00B63BD5">
        <w:rPr>
          <w:lang w:val="fr-CA"/>
        </w:rPr>
        <w:t>●</w:t>
      </w:r>
      <w:r w:rsidR="008957DA" w:rsidRPr="00B63BD5">
        <w:rPr>
          <w:lang w:val="fr-CA"/>
        </w:rPr>
        <w:t>]</w:t>
      </w:r>
      <w:r w:rsidR="00B056F9" w:rsidRPr="00B63BD5">
        <w:rPr>
          <w:lang w:val="fr-CA"/>
        </w:rPr>
        <w:t> </w:t>
      </w:r>
      <w:r w:rsidR="007A6BF0" w:rsidRPr="00B63BD5">
        <w:rPr>
          <w:lang w:val="fr-CA"/>
        </w:rPr>
        <w:t>jours et d</w:t>
      </w:r>
      <w:r w:rsidR="00564B0C" w:rsidRPr="00B63BD5">
        <w:rPr>
          <w:lang w:val="fr-CA"/>
        </w:rPr>
        <w:t>’</w:t>
      </w:r>
      <w:r w:rsidR="007A6BF0" w:rsidRPr="00B63BD5">
        <w:rPr>
          <w:lang w:val="fr-CA"/>
        </w:rPr>
        <w:t xml:space="preserve">au plus </w:t>
      </w:r>
      <w:r w:rsidR="008957DA" w:rsidRPr="00B63BD5">
        <w:rPr>
          <w:lang w:val="fr-CA"/>
        </w:rPr>
        <w:t>[</w:t>
      </w:r>
      <w:r w:rsidR="007A6BF0" w:rsidRPr="00B63BD5">
        <w:rPr>
          <w:lang w:val="fr-CA"/>
        </w:rPr>
        <w:t>●</w:t>
      </w:r>
      <w:r w:rsidR="008957DA" w:rsidRPr="00B63BD5">
        <w:rPr>
          <w:lang w:val="fr-CA"/>
        </w:rPr>
        <w:t>]</w:t>
      </w:r>
      <w:r w:rsidR="00B056F9" w:rsidRPr="00B63BD5">
        <w:rPr>
          <w:lang w:val="fr-CA"/>
        </w:rPr>
        <w:t> </w:t>
      </w:r>
      <w:r w:rsidR="007A6BF0" w:rsidRPr="00B63BD5">
        <w:rPr>
          <w:lang w:val="fr-CA"/>
        </w:rPr>
        <w:t>jours, y</w:t>
      </w:r>
      <w:r w:rsidR="00AC4107" w:rsidRPr="00B63BD5">
        <w:rPr>
          <w:lang w:val="fr-CA"/>
        </w:rPr>
        <w:t xml:space="preserve"> </w:t>
      </w:r>
      <w:r w:rsidR="007A6BF0" w:rsidRPr="00B63BD5">
        <w:rPr>
          <w:lang w:val="fr-CA"/>
        </w:rPr>
        <w:t xml:space="preserve">compris </w:t>
      </w:r>
      <w:r w:rsidR="00A56966" w:rsidRPr="00B63BD5">
        <w:rPr>
          <w:lang w:val="fr-CA"/>
        </w:rPr>
        <w:t>l</w:t>
      </w:r>
      <w:r w:rsidR="007A6BF0" w:rsidRPr="00B63BD5">
        <w:rPr>
          <w:lang w:val="fr-CA"/>
        </w:rPr>
        <w:t>es jours de grâce</w:t>
      </w:r>
      <w:r w:rsidR="00A56966" w:rsidRPr="00B63BD5">
        <w:rPr>
          <w:lang w:val="fr-CA"/>
        </w:rPr>
        <w:t>,</w:t>
      </w:r>
      <w:r w:rsidR="007A6BF0" w:rsidRPr="00B63BD5">
        <w:rPr>
          <w:lang w:val="fr-CA"/>
        </w:rPr>
        <w:t xml:space="preserve"> et sous réserve </w:t>
      </w:r>
      <w:r w:rsidR="00F265AC" w:rsidRPr="00B63BD5">
        <w:rPr>
          <w:lang w:val="fr-CA"/>
        </w:rPr>
        <w:t>d</w:t>
      </w:r>
      <w:r w:rsidR="00564B0C" w:rsidRPr="00B63BD5">
        <w:rPr>
          <w:lang w:val="fr-CA"/>
        </w:rPr>
        <w:t>’</w:t>
      </w:r>
      <w:r w:rsidR="00F265AC" w:rsidRPr="00B63BD5">
        <w:rPr>
          <w:lang w:val="fr-CA"/>
        </w:rPr>
        <w:t xml:space="preserve">une avance </w:t>
      </w:r>
      <w:r w:rsidR="007A6BF0" w:rsidRPr="00B63BD5">
        <w:rPr>
          <w:lang w:val="fr-CA"/>
        </w:rPr>
        <w:t>d</w:t>
      </w:r>
      <w:r w:rsidR="00564B0C" w:rsidRPr="00B63BD5">
        <w:rPr>
          <w:lang w:val="fr-CA"/>
        </w:rPr>
        <w:t>’</w:t>
      </w:r>
      <w:r w:rsidR="007A6BF0" w:rsidRPr="00B63BD5">
        <w:rPr>
          <w:lang w:val="fr-CA"/>
        </w:rPr>
        <w:t>un</w:t>
      </w:r>
      <w:r w:rsidR="0096299F" w:rsidRPr="00B63BD5">
        <w:rPr>
          <w:lang w:val="fr-CA"/>
        </w:rPr>
        <w:t xml:space="preserve">e valeur </w:t>
      </w:r>
      <w:r w:rsidR="00B40402" w:rsidRPr="00B63BD5">
        <w:rPr>
          <w:lang w:val="fr-CA"/>
        </w:rPr>
        <w:t xml:space="preserve">nominale </w:t>
      </w:r>
      <w:r w:rsidR="002F145B" w:rsidRPr="00B63BD5">
        <w:rPr>
          <w:lang w:val="fr-CA"/>
        </w:rPr>
        <w:t>minimale</w:t>
      </w:r>
      <w:r w:rsidR="007A6BF0" w:rsidRPr="00B63BD5">
        <w:rPr>
          <w:lang w:val="fr-CA"/>
        </w:rPr>
        <w:t xml:space="preserve"> </w:t>
      </w:r>
      <w:r w:rsidR="00052CB0" w:rsidRPr="00B63BD5">
        <w:rPr>
          <w:lang w:val="fr-CA"/>
        </w:rPr>
        <w:t>de 500</w:t>
      </w:r>
      <w:r w:rsidR="002B6180" w:rsidRPr="00B63BD5">
        <w:rPr>
          <w:lang w:val="fr-CA"/>
        </w:rPr>
        <w:t> </w:t>
      </w:r>
      <w:r w:rsidR="00052CB0" w:rsidRPr="00B63BD5">
        <w:rPr>
          <w:lang w:val="fr-CA"/>
        </w:rPr>
        <w:t>000</w:t>
      </w:r>
      <w:r w:rsidR="00B056F9" w:rsidRPr="00B63BD5">
        <w:rPr>
          <w:lang w:val="fr-CA"/>
        </w:rPr>
        <w:t> </w:t>
      </w:r>
      <w:r w:rsidR="00052CB0" w:rsidRPr="00B63BD5">
        <w:rPr>
          <w:lang w:val="fr-CA"/>
        </w:rPr>
        <w:t xml:space="preserve">$ </w:t>
      </w:r>
      <w:r w:rsidR="007A6BF0" w:rsidRPr="00B63BD5">
        <w:rPr>
          <w:lang w:val="fr-CA"/>
        </w:rPr>
        <w:t xml:space="preserve">par </w:t>
      </w:r>
      <w:r w:rsidR="008E0EE8" w:rsidRPr="00B63BD5">
        <w:rPr>
          <w:lang w:val="fr-CA"/>
        </w:rPr>
        <w:t>A</w:t>
      </w:r>
      <w:r w:rsidR="007A6BF0" w:rsidRPr="00B63BD5">
        <w:rPr>
          <w:lang w:val="fr-CA"/>
        </w:rPr>
        <w:t>cceptation bancaire et</w:t>
      </w:r>
      <w:r w:rsidR="003E16D5" w:rsidRPr="00B63BD5">
        <w:rPr>
          <w:lang w:val="fr-CA"/>
        </w:rPr>
        <w:t>,</w:t>
      </w:r>
      <w:r w:rsidR="007A6BF0" w:rsidRPr="00B63BD5">
        <w:rPr>
          <w:lang w:val="fr-CA"/>
        </w:rPr>
        <w:t xml:space="preserve"> </w:t>
      </w:r>
      <w:r w:rsidR="00783F3F" w:rsidRPr="00B63BD5">
        <w:rPr>
          <w:lang w:val="fr-CA"/>
        </w:rPr>
        <w:t>par la suite</w:t>
      </w:r>
      <w:r w:rsidR="003E16D5" w:rsidRPr="00B63BD5">
        <w:rPr>
          <w:lang w:val="fr-CA"/>
        </w:rPr>
        <w:t>,</w:t>
      </w:r>
      <w:r w:rsidR="00783F3F" w:rsidRPr="00B63BD5">
        <w:rPr>
          <w:lang w:val="fr-CA"/>
        </w:rPr>
        <w:t xml:space="preserve"> </w:t>
      </w:r>
      <w:r w:rsidR="007A6BF0" w:rsidRPr="00B63BD5">
        <w:rPr>
          <w:lang w:val="fr-CA"/>
        </w:rPr>
        <w:t>de multiples de 100</w:t>
      </w:r>
      <w:r w:rsidR="00F72B2D" w:rsidRPr="00B63BD5">
        <w:rPr>
          <w:lang w:val="fr-CA"/>
        </w:rPr>
        <w:t> </w:t>
      </w:r>
      <w:r w:rsidR="007A6BF0" w:rsidRPr="00B63BD5">
        <w:rPr>
          <w:lang w:val="fr-CA"/>
        </w:rPr>
        <w:t>000</w:t>
      </w:r>
      <w:r w:rsidR="00B056F9" w:rsidRPr="00B63BD5">
        <w:rPr>
          <w:lang w:val="fr-CA"/>
        </w:rPr>
        <w:t> </w:t>
      </w:r>
      <w:r w:rsidR="007A6BF0" w:rsidRPr="00B63BD5">
        <w:rPr>
          <w:lang w:val="fr-CA"/>
        </w:rPr>
        <w:t>$ dans la</w:t>
      </w:r>
      <w:r w:rsidR="00A56966" w:rsidRPr="00B63BD5">
        <w:rPr>
          <w:lang w:val="fr-CA"/>
        </w:rPr>
        <w:t xml:space="preserve"> monnaie</w:t>
      </w:r>
      <w:r w:rsidR="007A6BF0" w:rsidRPr="00B63BD5">
        <w:rPr>
          <w:lang w:val="fr-CA"/>
        </w:rPr>
        <w:t xml:space="preserve"> pertinente</w:t>
      </w:r>
      <w:r w:rsidR="001A2C08" w:rsidRPr="00B63BD5">
        <w:rPr>
          <w:lang w:val="fr-CA"/>
        </w:rPr>
        <w:t>, que la Banque peu</w:t>
      </w:r>
      <w:r w:rsidR="00587AD3" w:rsidRPr="00B63BD5">
        <w:rPr>
          <w:lang w:val="fr-CA"/>
        </w:rPr>
        <w:t>t acheter au Prix d</w:t>
      </w:r>
      <w:r w:rsidR="00564B0C" w:rsidRPr="00B63BD5">
        <w:rPr>
          <w:lang w:val="fr-CA"/>
        </w:rPr>
        <w:t>’</w:t>
      </w:r>
      <w:r w:rsidR="00587AD3" w:rsidRPr="00B63BD5">
        <w:rPr>
          <w:lang w:val="fr-CA"/>
        </w:rPr>
        <w:t>achat de l</w:t>
      </w:r>
      <w:r w:rsidR="00564B0C" w:rsidRPr="00B63BD5">
        <w:rPr>
          <w:lang w:val="fr-CA"/>
        </w:rPr>
        <w:t>’</w:t>
      </w:r>
      <w:r w:rsidR="00B22DEC" w:rsidRPr="00B63BD5">
        <w:rPr>
          <w:lang w:val="fr-CA"/>
        </w:rPr>
        <w:t>a</w:t>
      </w:r>
      <w:r w:rsidR="001A2C08" w:rsidRPr="00B63BD5">
        <w:rPr>
          <w:lang w:val="fr-CA"/>
        </w:rPr>
        <w:t>cceptation bancaire, à sa discrétion</w:t>
      </w:r>
      <w:r>
        <w:rPr>
          <w:lang w:val="fr-CA"/>
        </w:rPr>
        <w:t>. L</w:t>
      </w:r>
      <w:r w:rsidRPr="006238AC">
        <w:rPr>
          <w:lang w:val="fr-CA"/>
        </w:rPr>
        <w:t>orsque les Acceptations bancaires cesseront d’être offertes, la Banque pourrait offrir à titre de remplacement un autre type de facilité faisant référence à un taux d’intérêt ou de référence (notamment un taux accepté par les marchés financiers du Canada)</w:t>
      </w:r>
      <w:r w:rsidR="007A6BF0" w:rsidRPr="00B63BD5">
        <w:rPr>
          <w:lang w:val="fr-CA"/>
        </w:rPr>
        <w:t>;</w:t>
      </w:r>
    </w:p>
    <w:p w14:paraId="5EDE044F" w14:textId="275F090F" w:rsidR="00D05DC6" w:rsidRPr="00B63BD5" w:rsidRDefault="00D05DC6" w:rsidP="00632863">
      <w:pPr>
        <w:keepNext/>
        <w:spacing w:after="240"/>
        <w:jc w:val="both"/>
        <w:rPr>
          <w:b/>
          <w:color w:val="00B0F0"/>
          <w:lang w:val="fr-CA"/>
        </w:rPr>
      </w:pPr>
      <w:r w:rsidRPr="00B63BD5">
        <w:rPr>
          <w:b/>
          <w:color w:val="00B0F0"/>
          <w:lang w:val="fr-CA"/>
        </w:rPr>
        <w:t>[</w:t>
      </w:r>
      <w:r w:rsidR="00EC3CB5" w:rsidRPr="00B63BD5">
        <w:rPr>
          <w:b/>
          <w:color w:val="00B0F0"/>
          <w:lang w:val="fr-CA"/>
        </w:rPr>
        <w:t>N.B. :</w:t>
      </w:r>
      <w:r w:rsidRPr="00B63BD5">
        <w:rPr>
          <w:b/>
          <w:color w:val="00B0F0"/>
          <w:lang w:val="fr-CA"/>
        </w:rPr>
        <w:t xml:space="preserve"> </w:t>
      </w:r>
      <w:r w:rsidR="001A2C08" w:rsidRPr="00B63BD5">
        <w:rPr>
          <w:b/>
          <w:color w:val="00B0F0"/>
          <w:lang w:val="fr-CA"/>
        </w:rPr>
        <w:t>Si les</w:t>
      </w:r>
      <w:r w:rsidR="00205531" w:rsidRPr="00B63BD5">
        <w:rPr>
          <w:b/>
          <w:color w:val="00B0F0"/>
          <w:lang w:val="fr-CA"/>
        </w:rPr>
        <w:t xml:space="preserve"> lettres de crédit</w:t>
      </w:r>
      <w:r w:rsidR="00814006" w:rsidRPr="00B63BD5">
        <w:rPr>
          <w:b/>
          <w:color w:val="00B0F0"/>
          <w:lang w:val="fr-CA"/>
        </w:rPr>
        <w:t xml:space="preserve">, </w:t>
      </w:r>
      <w:r w:rsidR="001A2C08" w:rsidRPr="00B63BD5">
        <w:rPr>
          <w:b/>
          <w:color w:val="00B0F0"/>
          <w:lang w:val="fr-CA"/>
        </w:rPr>
        <w:t>l</w:t>
      </w:r>
      <w:r w:rsidR="00814006" w:rsidRPr="00B63BD5">
        <w:rPr>
          <w:b/>
          <w:color w:val="00B0F0"/>
          <w:lang w:val="fr-CA"/>
        </w:rPr>
        <w:t xml:space="preserve">es Crédits documentaires ou </w:t>
      </w:r>
      <w:r w:rsidR="001A2C08" w:rsidRPr="00B63BD5">
        <w:rPr>
          <w:b/>
          <w:color w:val="00B0F0"/>
          <w:lang w:val="fr-CA"/>
        </w:rPr>
        <w:t>l</w:t>
      </w:r>
      <w:r w:rsidR="00814006" w:rsidRPr="00B63BD5">
        <w:rPr>
          <w:b/>
          <w:color w:val="00B0F0"/>
          <w:lang w:val="fr-CA"/>
        </w:rPr>
        <w:t>es Lettres de garantie</w:t>
      </w:r>
      <w:r w:rsidR="007A6BF0" w:rsidRPr="00B63BD5">
        <w:rPr>
          <w:b/>
          <w:color w:val="00B0F0"/>
          <w:lang w:val="fr-CA"/>
        </w:rPr>
        <w:t xml:space="preserve"> </w:t>
      </w:r>
      <w:r w:rsidR="001A2C08" w:rsidRPr="00B63BD5">
        <w:rPr>
          <w:b/>
          <w:color w:val="00B0F0"/>
          <w:lang w:val="fr-CA"/>
        </w:rPr>
        <w:t>constituent une</w:t>
      </w:r>
      <w:r w:rsidR="00E65DA3" w:rsidRPr="00B63BD5">
        <w:rPr>
          <w:b/>
          <w:color w:val="00B0F0"/>
          <w:lang w:val="fr-CA"/>
        </w:rPr>
        <w:t> </w:t>
      </w:r>
      <w:r w:rsidR="001A2C08" w:rsidRPr="00B63BD5">
        <w:rPr>
          <w:b/>
          <w:color w:val="00B0F0"/>
          <w:lang w:val="fr-CA"/>
        </w:rPr>
        <w:t>sous</w:t>
      </w:r>
      <w:r w:rsidR="001A2C08" w:rsidRPr="00B63BD5">
        <w:rPr>
          <w:b/>
          <w:color w:val="00B0F0"/>
          <w:lang w:val="fr-CA"/>
        </w:rPr>
        <w:noBreakHyphen/>
        <w:t xml:space="preserve">limite </w:t>
      </w:r>
      <w:r w:rsidR="0096299F" w:rsidRPr="00B63BD5">
        <w:rPr>
          <w:b/>
          <w:color w:val="00B0F0"/>
          <w:lang w:val="fr-CA"/>
        </w:rPr>
        <w:t>de la limite de contrôle, ils doi</w:t>
      </w:r>
      <w:r w:rsidR="001A2C08" w:rsidRPr="00B63BD5">
        <w:rPr>
          <w:b/>
          <w:color w:val="00B0F0"/>
          <w:lang w:val="fr-CA"/>
        </w:rPr>
        <w:t xml:space="preserve">vent être pris en considération </w:t>
      </w:r>
      <w:r w:rsidR="00B40402" w:rsidRPr="00B63BD5">
        <w:rPr>
          <w:b/>
          <w:color w:val="00B0F0"/>
          <w:lang w:val="fr-CA"/>
        </w:rPr>
        <w:t xml:space="preserve">ici </w:t>
      </w:r>
      <w:r w:rsidR="001A2C08" w:rsidRPr="00B63BD5">
        <w:rPr>
          <w:b/>
          <w:color w:val="00B0F0"/>
          <w:lang w:val="fr-CA"/>
        </w:rPr>
        <w:t xml:space="preserve">dans la somme </w:t>
      </w:r>
      <w:r w:rsidR="00B22DEC" w:rsidRPr="00B63BD5">
        <w:rPr>
          <w:b/>
          <w:color w:val="00B0F0"/>
          <w:lang w:val="fr-CA"/>
        </w:rPr>
        <w:t>globale mise à la disposition de l</w:t>
      </w:r>
      <w:r w:rsidR="00564B0C" w:rsidRPr="00B63BD5">
        <w:rPr>
          <w:b/>
          <w:color w:val="00B0F0"/>
          <w:lang w:val="fr-CA"/>
        </w:rPr>
        <w:t>’</w:t>
      </w:r>
      <w:r w:rsidR="00B22DEC" w:rsidRPr="00B63BD5">
        <w:rPr>
          <w:b/>
          <w:color w:val="00B0F0"/>
          <w:lang w:val="fr-CA"/>
        </w:rPr>
        <w:t>Emprunteur</w:t>
      </w:r>
      <w:r w:rsidR="001A2C08" w:rsidRPr="00B63BD5">
        <w:rPr>
          <w:b/>
          <w:color w:val="00B0F0"/>
          <w:lang w:val="fr-CA"/>
        </w:rPr>
        <w:t xml:space="preserve"> </w:t>
      </w:r>
      <w:r w:rsidR="007A6BF0" w:rsidRPr="00B63BD5">
        <w:rPr>
          <w:b/>
          <w:color w:val="00B0F0"/>
          <w:lang w:val="fr-CA"/>
        </w:rPr>
        <w:t xml:space="preserve">dans le cadre de la </w:t>
      </w:r>
      <w:r w:rsidR="00814006" w:rsidRPr="00B63BD5">
        <w:rPr>
          <w:b/>
          <w:color w:val="00B0F0"/>
          <w:lang w:val="fr-CA"/>
        </w:rPr>
        <w:t>F</w:t>
      </w:r>
      <w:r w:rsidR="007A6BF0" w:rsidRPr="00B63BD5">
        <w:rPr>
          <w:b/>
          <w:color w:val="00B0F0"/>
          <w:lang w:val="fr-CA"/>
        </w:rPr>
        <w:t xml:space="preserve">acilité de </w:t>
      </w:r>
      <w:r w:rsidR="00561311" w:rsidRPr="00B63BD5">
        <w:rPr>
          <w:b/>
          <w:color w:val="00B0F0"/>
          <w:lang w:val="fr-CA"/>
        </w:rPr>
        <w:t>crédit</w:t>
      </w:r>
      <w:r w:rsidR="00783F3F" w:rsidRPr="00B63BD5">
        <w:rPr>
          <w:b/>
          <w:color w:val="00B0F0"/>
          <w:lang w:val="fr-CA"/>
        </w:rPr>
        <w:t xml:space="preserve"> </w:t>
      </w:r>
      <w:r w:rsidR="00814006" w:rsidRPr="00B63BD5">
        <w:rPr>
          <w:b/>
          <w:color w:val="00B0F0"/>
          <w:lang w:val="fr-CA"/>
        </w:rPr>
        <w:t>à l</w:t>
      </w:r>
      <w:r w:rsidR="00564B0C" w:rsidRPr="00B63BD5">
        <w:rPr>
          <w:b/>
          <w:color w:val="00B0F0"/>
          <w:lang w:val="fr-CA"/>
        </w:rPr>
        <w:t>’</w:t>
      </w:r>
      <w:r w:rsidR="007A6BF0" w:rsidRPr="00B63BD5">
        <w:rPr>
          <w:b/>
          <w:color w:val="00B0F0"/>
          <w:lang w:val="fr-CA"/>
        </w:rPr>
        <w:t>exploitation</w:t>
      </w:r>
      <w:r w:rsidR="001A2C08" w:rsidRPr="00B63BD5">
        <w:rPr>
          <w:b/>
          <w:color w:val="00B0F0"/>
          <w:lang w:val="fr-CA"/>
        </w:rPr>
        <w:t>. S</w:t>
      </w:r>
      <w:r w:rsidR="00564B0C" w:rsidRPr="00B63BD5">
        <w:rPr>
          <w:b/>
          <w:color w:val="00B0F0"/>
          <w:lang w:val="fr-CA"/>
        </w:rPr>
        <w:t>’</w:t>
      </w:r>
      <w:r w:rsidR="001A2C08" w:rsidRPr="00B63BD5">
        <w:rPr>
          <w:b/>
          <w:color w:val="00B0F0"/>
          <w:lang w:val="fr-CA"/>
        </w:rPr>
        <w:t>ils</w:t>
      </w:r>
      <w:r w:rsidR="00AC4107" w:rsidRPr="00B63BD5">
        <w:rPr>
          <w:b/>
          <w:color w:val="00B0F0"/>
          <w:lang w:val="fr-CA"/>
        </w:rPr>
        <w:t xml:space="preserve"> </w:t>
      </w:r>
      <w:r w:rsidR="001A2C08" w:rsidRPr="00B63BD5">
        <w:rPr>
          <w:b/>
          <w:color w:val="00B0F0"/>
          <w:lang w:val="fr-CA"/>
        </w:rPr>
        <w:t>constituent une</w:t>
      </w:r>
      <w:r w:rsidR="004A719E" w:rsidRPr="00B63BD5">
        <w:rPr>
          <w:b/>
          <w:color w:val="00B0F0"/>
          <w:lang w:val="fr-CA"/>
        </w:rPr>
        <w:t xml:space="preserve"> limite</w:t>
      </w:r>
      <w:r w:rsidR="001A2C08" w:rsidRPr="00B63BD5">
        <w:rPr>
          <w:b/>
          <w:color w:val="00B0F0"/>
          <w:lang w:val="fr-CA"/>
        </w:rPr>
        <w:t xml:space="preserve"> </w:t>
      </w:r>
      <w:r w:rsidR="00B40402" w:rsidRPr="00B63BD5">
        <w:rPr>
          <w:b/>
          <w:color w:val="00B0F0"/>
          <w:lang w:val="fr-CA"/>
        </w:rPr>
        <w:t>autonome</w:t>
      </w:r>
      <w:r w:rsidR="001A2C08" w:rsidRPr="00B63BD5">
        <w:rPr>
          <w:b/>
          <w:color w:val="00B0F0"/>
          <w:lang w:val="fr-CA"/>
        </w:rPr>
        <w:t xml:space="preserve"> ou </w:t>
      </w:r>
      <w:r w:rsidR="00B40402" w:rsidRPr="00B63BD5">
        <w:rPr>
          <w:b/>
          <w:color w:val="00B0F0"/>
          <w:lang w:val="fr-CA"/>
        </w:rPr>
        <w:t>si cela n</w:t>
      </w:r>
      <w:r w:rsidR="00564B0C" w:rsidRPr="00B63BD5">
        <w:rPr>
          <w:b/>
          <w:color w:val="00B0F0"/>
          <w:lang w:val="fr-CA"/>
        </w:rPr>
        <w:t>’</w:t>
      </w:r>
      <w:r w:rsidR="00B40402" w:rsidRPr="00B63BD5">
        <w:rPr>
          <w:b/>
          <w:color w:val="00B0F0"/>
          <w:lang w:val="fr-CA"/>
        </w:rPr>
        <w:t>est pas pertinent</w:t>
      </w:r>
      <w:r w:rsidR="001A2C08" w:rsidRPr="00B63BD5">
        <w:rPr>
          <w:b/>
          <w:color w:val="00B0F0"/>
          <w:lang w:val="fr-CA"/>
        </w:rPr>
        <w:t>,</w:t>
      </w:r>
      <w:r w:rsidR="007A6BF0" w:rsidRPr="00B63BD5">
        <w:rPr>
          <w:b/>
          <w:color w:val="00B0F0"/>
          <w:lang w:val="fr-CA"/>
        </w:rPr>
        <w:t xml:space="preserve"> supprimer</w:t>
      </w:r>
      <w:r w:rsidR="00814006" w:rsidRPr="00B63BD5">
        <w:rPr>
          <w:b/>
          <w:color w:val="00B0F0"/>
          <w:lang w:val="fr-CA"/>
        </w:rPr>
        <w:t xml:space="preserve"> les </w:t>
      </w:r>
      <w:r w:rsidR="00783F3F" w:rsidRPr="00B63BD5">
        <w:rPr>
          <w:b/>
          <w:color w:val="00B0F0"/>
          <w:lang w:val="fr-CA"/>
        </w:rPr>
        <w:t>alinéas</w:t>
      </w:r>
      <w:r w:rsidR="00AC4107" w:rsidRPr="00B63BD5">
        <w:rPr>
          <w:b/>
          <w:color w:val="00B0F0"/>
          <w:lang w:val="fr-CA"/>
        </w:rPr>
        <w:t xml:space="preserve"> </w:t>
      </w:r>
      <w:r w:rsidR="001B5B82" w:rsidRPr="00B63BD5">
        <w:rPr>
          <w:b/>
          <w:color w:val="00B0F0"/>
          <w:lang w:val="fr-CA"/>
        </w:rPr>
        <w:t>g</w:t>
      </w:r>
      <w:r w:rsidR="007A6BF0" w:rsidRPr="00B63BD5">
        <w:rPr>
          <w:b/>
          <w:color w:val="00B0F0"/>
          <w:lang w:val="fr-CA"/>
        </w:rPr>
        <w:t xml:space="preserve">) et </w:t>
      </w:r>
      <w:r w:rsidR="001B5B82" w:rsidRPr="00B63BD5">
        <w:rPr>
          <w:b/>
          <w:color w:val="00B0F0"/>
          <w:lang w:val="fr-CA"/>
        </w:rPr>
        <w:t>h</w:t>
      </w:r>
      <w:r w:rsidR="007A6BF0" w:rsidRPr="00B63BD5">
        <w:rPr>
          <w:b/>
          <w:color w:val="00B0F0"/>
          <w:lang w:val="fr-CA"/>
        </w:rPr>
        <w:t>) et établir une facilité</w:t>
      </w:r>
      <w:r w:rsidR="00814006" w:rsidRPr="00B63BD5">
        <w:rPr>
          <w:b/>
          <w:color w:val="00B0F0"/>
          <w:lang w:val="fr-CA"/>
        </w:rPr>
        <w:t xml:space="preserve"> distincte sous forme de</w:t>
      </w:r>
      <w:r w:rsidR="00205531" w:rsidRPr="00B63BD5">
        <w:rPr>
          <w:b/>
          <w:color w:val="00B0F0"/>
          <w:lang w:val="fr-CA"/>
        </w:rPr>
        <w:t xml:space="preserve"> lettre de crédit</w:t>
      </w:r>
      <w:r w:rsidR="00814006" w:rsidRPr="00B63BD5">
        <w:rPr>
          <w:b/>
          <w:color w:val="00B0F0"/>
          <w:lang w:val="fr-CA"/>
        </w:rPr>
        <w:t xml:space="preserve">, de Crédit documentaire ou de </w:t>
      </w:r>
      <w:r w:rsidR="00506C04" w:rsidRPr="00B63BD5">
        <w:rPr>
          <w:b/>
          <w:color w:val="00B0F0"/>
          <w:lang w:val="fr-CA"/>
        </w:rPr>
        <w:t>Facilité sous forme de l</w:t>
      </w:r>
      <w:r w:rsidR="00814006" w:rsidRPr="00B63BD5">
        <w:rPr>
          <w:b/>
          <w:color w:val="00B0F0"/>
          <w:lang w:val="fr-CA"/>
        </w:rPr>
        <w:t xml:space="preserve">ettre de garantie en utilisant </w:t>
      </w:r>
      <w:r w:rsidR="007A6BF0" w:rsidRPr="00B63BD5">
        <w:rPr>
          <w:b/>
          <w:color w:val="00B0F0"/>
          <w:lang w:val="fr-CA"/>
        </w:rPr>
        <w:t>l</w:t>
      </w:r>
      <w:r w:rsidR="00564B0C" w:rsidRPr="00B63BD5">
        <w:rPr>
          <w:b/>
          <w:color w:val="00B0F0"/>
          <w:lang w:val="fr-CA"/>
        </w:rPr>
        <w:t>’</w:t>
      </w:r>
      <w:r w:rsidR="007A6BF0" w:rsidRPr="00B63BD5">
        <w:rPr>
          <w:b/>
          <w:color w:val="00B0F0"/>
          <w:lang w:val="fr-CA"/>
        </w:rPr>
        <w:t>article</w:t>
      </w:r>
      <w:r w:rsidR="00B056F9" w:rsidRPr="00B63BD5">
        <w:rPr>
          <w:b/>
          <w:color w:val="00B0F0"/>
          <w:lang w:val="fr-CA"/>
        </w:rPr>
        <w:t> </w:t>
      </w:r>
      <w:r w:rsidR="007A6BF0" w:rsidRPr="00B63BD5">
        <w:rPr>
          <w:b/>
          <w:color w:val="00B0F0"/>
          <w:lang w:val="fr-CA"/>
        </w:rPr>
        <w:t xml:space="preserve">3 ou </w:t>
      </w:r>
      <w:r w:rsidR="00F265AC" w:rsidRPr="00B63BD5">
        <w:rPr>
          <w:b/>
          <w:color w:val="00B0F0"/>
          <w:lang w:val="fr-CA"/>
        </w:rPr>
        <w:t>l</w:t>
      </w:r>
      <w:r w:rsidR="00564B0C" w:rsidRPr="00B63BD5">
        <w:rPr>
          <w:b/>
          <w:color w:val="00B0F0"/>
          <w:lang w:val="fr-CA"/>
        </w:rPr>
        <w:t>’</w:t>
      </w:r>
      <w:r w:rsidR="00F265AC" w:rsidRPr="00B63BD5">
        <w:rPr>
          <w:b/>
          <w:color w:val="00B0F0"/>
          <w:lang w:val="fr-CA"/>
        </w:rPr>
        <w:t>article</w:t>
      </w:r>
      <w:r w:rsidR="00B056F9" w:rsidRPr="00B63BD5">
        <w:rPr>
          <w:b/>
          <w:color w:val="00B0F0"/>
          <w:lang w:val="fr-CA"/>
        </w:rPr>
        <w:t> </w:t>
      </w:r>
      <w:r w:rsidR="007A6BF0" w:rsidRPr="00B63BD5">
        <w:rPr>
          <w:b/>
          <w:color w:val="00B0F0"/>
          <w:lang w:val="fr-CA"/>
        </w:rPr>
        <w:t xml:space="preserve">4 </w:t>
      </w:r>
      <w:r w:rsidR="00C316F9" w:rsidRPr="00B63BD5">
        <w:rPr>
          <w:b/>
          <w:color w:val="00B0F0"/>
          <w:lang w:val="fr-CA"/>
        </w:rPr>
        <w:t xml:space="preserve">relativement </w:t>
      </w:r>
      <w:r w:rsidR="004A719E" w:rsidRPr="00B63BD5">
        <w:rPr>
          <w:b/>
          <w:color w:val="00B0F0"/>
          <w:lang w:val="fr-CA"/>
        </w:rPr>
        <w:t xml:space="preserve">aux facilités </w:t>
      </w:r>
      <w:r w:rsidR="00F6120F" w:rsidRPr="00B63BD5">
        <w:rPr>
          <w:b/>
          <w:color w:val="00B0F0"/>
          <w:lang w:val="fr-CA"/>
        </w:rPr>
        <w:t>de</w:t>
      </w:r>
      <w:r w:rsidR="00E65DA3" w:rsidRPr="00B63BD5">
        <w:rPr>
          <w:b/>
          <w:color w:val="00B0F0"/>
          <w:lang w:val="fr-CA"/>
        </w:rPr>
        <w:t> </w:t>
      </w:r>
      <w:r w:rsidR="00F6120F" w:rsidRPr="00B63BD5">
        <w:rPr>
          <w:b/>
          <w:color w:val="00B0F0"/>
          <w:lang w:val="fr-CA"/>
        </w:rPr>
        <w:t>Commerce international et financement des comptes clients</w:t>
      </w:r>
      <w:r w:rsidR="00E54526" w:rsidRPr="00B63BD5">
        <w:rPr>
          <w:b/>
          <w:color w:val="00B0F0"/>
          <w:lang w:val="fr-CA"/>
        </w:rPr>
        <w:t>.</w:t>
      </w:r>
      <w:r w:rsidRPr="00B63BD5">
        <w:rPr>
          <w:b/>
          <w:color w:val="00B0F0"/>
          <w:lang w:val="fr-CA"/>
        </w:rPr>
        <w:t>]</w:t>
      </w:r>
    </w:p>
    <w:p w14:paraId="440000DF" w14:textId="60226384" w:rsidR="00A5695E" w:rsidRPr="00B63BD5" w:rsidRDefault="00075E85" w:rsidP="000B7739">
      <w:pPr>
        <w:pStyle w:val="04LOLglNew3"/>
        <w:rPr>
          <w:rStyle w:val="Prompt"/>
          <w:color w:val="auto"/>
          <w:szCs w:val="20"/>
          <w:lang w:val="fr-CA"/>
        </w:rPr>
      </w:pPr>
      <w:r w:rsidRPr="00B63BD5">
        <w:rPr>
          <w:lang w:val="fr-CA"/>
        </w:rPr>
        <w:t xml:space="preserve">des </w:t>
      </w:r>
      <w:r w:rsidR="002E294C" w:rsidRPr="00B63BD5">
        <w:rPr>
          <w:lang w:val="fr-CA"/>
        </w:rPr>
        <w:t xml:space="preserve">Lettres </w:t>
      </w:r>
      <w:r w:rsidRPr="00B63BD5">
        <w:rPr>
          <w:lang w:val="fr-CA"/>
        </w:rPr>
        <w:t>de crédit ou des crédits documentaires (les</w:t>
      </w:r>
      <w:r w:rsidR="00AC4107" w:rsidRPr="00B63BD5">
        <w:rPr>
          <w:lang w:val="fr-CA"/>
        </w:rPr>
        <w:t xml:space="preserve"> </w:t>
      </w:r>
      <w:r w:rsidRPr="00B63BD5">
        <w:rPr>
          <w:lang w:val="fr-CA"/>
        </w:rPr>
        <w:t>«</w:t>
      </w:r>
      <w:r w:rsidR="0094743F" w:rsidRPr="00B63BD5">
        <w:rPr>
          <w:lang w:val="fr-CA"/>
        </w:rPr>
        <w:t> </w:t>
      </w:r>
      <w:r w:rsidRPr="00B63BD5">
        <w:rPr>
          <w:b/>
          <w:lang w:val="fr-CA"/>
        </w:rPr>
        <w:t>Crédits documentaires</w:t>
      </w:r>
      <w:r w:rsidR="0094743F" w:rsidRPr="00B63BD5">
        <w:rPr>
          <w:lang w:val="fr-CA"/>
        </w:rPr>
        <w:t> </w:t>
      </w:r>
      <w:r w:rsidRPr="00B63BD5">
        <w:rPr>
          <w:lang w:val="fr-CA"/>
        </w:rPr>
        <w:t xml:space="preserve">») </w:t>
      </w:r>
      <w:r w:rsidR="00450CD9" w:rsidRPr="00B63BD5">
        <w:rPr>
          <w:lang w:val="fr-CA"/>
        </w:rPr>
        <w:t>d</w:t>
      </w:r>
      <w:r w:rsidR="00564B0C" w:rsidRPr="00B63BD5">
        <w:rPr>
          <w:lang w:val="fr-CA"/>
        </w:rPr>
        <w:t>’</w:t>
      </w:r>
      <w:r w:rsidR="00450CD9" w:rsidRPr="00B63BD5">
        <w:rPr>
          <w:lang w:val="fr-CA"/>
        </w:rPr>
        <w:t>un montant global</w:t>
      </w:r>
      <w:r w:rsidR="00F265AC" w:rsidRPr="00B63BD5">
        <w:rPr>
          <w:lang w:val="fr-CA"/>
        </w:rPr>
        <w:t xml:space="preserve"> n</w:t>
      </w:r>
      <w:r w:rsidR="00564B0C" w:rsidRPr="00B63BD5">
        <w:rPr>
          <w:lang w:val="fr-CA"/>
        </w:rPr>
        <w:t>’</w:t>
      </w:r>
      <w:r w:rsidR="00F265AC" w:rsidRPr="00B63BD5">
        <w:rPr>
          <w:lang w:val="fr-CA"/>
        </w:rPr>
        <w:t>excédant pas</w:t>
      </w:r>
      <w:r w:rsidR="00450CD9" w:rsidRPr="00B63BD5">
        <w:rPr>
          <w:lang w:val="fr-CA"/>
        </w:rPr>
        <w:t xml:space="preserve"> </w:t>
      </w:r>
      <w:r w:rsidR="0088394C" w:rsidRPr="00B63BD5">
        <w:rPr>
          <w:lang w:val="fr-CA"/>
        </w:rPr>
        <w:t>[</w:t>
      </w:r>
      <w:r w:rsidRPr="00B63BD5">
        <w:rPr>
          <w:lang w:val="fr-CA"/>
        </w:rPr>
        <w:t>●</w:t>
      </w:r>
      <w:r w:rsidR="00B056F9" w:rsidRPr="00B63BD5">
        <w:rPr>
          <w:lang w:val="fr-CA"/>
        </w:rPr>
        <w:t> </w:t>
      </w:r>
      <w:r w:rsidRPr="00B63BD5">
        <w:rPr>
          <w:lang w:val="fr-CA"/>
        </w:rPr>
        <w:t>$</w:t>
      </w:r>
      <w:r w:rsidR="00AC4107" w:rsidRPr="00B63BD5">
        <w:rPr>
          <w:lang w:val="fr-CA"/>
        </w:rPr>
        <w:t xml:space="preserve"> </w:t>
      </w:r>
      <w:r w:rsidRPr="00B63BD5">
        <w:rPr>
          <w:lang w:val="fr-CA"/>
        </w:rPr>
        <w:t xml:space="preserve">CA </w:t>
      </w:r>
      <w:r w:rsidR="001934B0" w:rsidRPr="00B63BD5">
        <w:rPr>
          <w:rStyle w:val="Prompt"/>
          <w:b/>
          <w:color w:val="00B0F0"/>
          <w:szCs w:val="20"/>
          <w:highlight w:val="yellow"/>
          <w:lang w:val="fr-CA"/>
        </w:rPr>
        <w:t>OU</w:t>
      </w:r>
      <w:r w:rsidR="009270D2" w:rsidRPr="00B63BD5">
        <w:rPr>
          <w:lang w:val="fr-CA"/>
        </w:rPr>
        <w:t xml:space="preserve"> </w:t>
      </w:r>
      <w:r w:rsidRPr="00B63BD5">
        <w:rPr>
          <w:lang w:val="fr-CA"/>
        </w:rPr>
        <w:t>●</w:t>
      </w:r>
      <w:r w:rsidR="00AC4107" w:rsidRPr="00B63BD5">
        <w:rPr>
          <w:lang w:val="fr-CA"/>
        </w:rPr>
        <w:t xml:space="preserve"> </w:t>
      </w:r>
      <w:r w:rsidRPr="00B63BD5">
        <w:rPr>
          <w:lang w:val="fr-CA"/>
        </w:rPr>
        <w:t>$</w:t>
      </w:r>
      <w:r w:rsidR="00AC4107" w:rsidRPr="00B63BD5">
        <w:rPr>
          <w:lang w:val="fr-CA"/>
        </w:rPr>
        <w:t xml:space="preserve"> </w:t>
      </w:r>
      <w:r w:rsidRPr="00B63BD5">
        <w:rPr>
          <w:lang w:val="fr-CA"/>
        </w:rPr>
        <w:t>US</w:t>
      </w:r>
      <w:r w:rsidR="002E294C" w:rsidRPr="00B63BD5">
        <w:rPr>
          <w:lang w:val="fr-CA"/>
        </w:rPr>
        <w:t>]</w:t>
      </w:r>
      <w:r w:rsidRPr="00B63BD5">
        <w:rPr>
          <w:lang w:val="fr-CA"/>
        </w:rPr>
        <w:t xml:space="preserve">, dans chaque cas </w:t>
      </w:r>
      <w:r w:rsidR="00783F3F" w:rsidRPr="00B63BD5">
        <w:rPr>
          <w:lang w:val="fr-CA"/>
        </w:rPr>
        <w:t xml:space="preserve">pendant </w:t>
      </w:r>
      <w:r w:rsidR="002E294C" w:rsidRPr="00B63BD5">
        <w:rPr>
          <w:lang w:val="fr-CA"/>
        </w:rPr>
        <w:t xml:space="preserve">la </w:t>
      </w:r>
      <w:r w:rsidRPr="00B63BD5">
        <w:rPr>
          <w:lang w:val="fr-CA"/>
        </w:rPr>
        <w:t xml:space="preserve">période </w:t>
      </w:r>
      <w:r w:rsidR="00AC3D72" w:rsidRPr="00B63BD5">
        <w:rPr>
          <w:lang w:val="fr-CA"/>
        </w:rPr>
        <w:t xml:space="preserve">ou pour </w:t>
      </w:r>
      <w:r w:rsidR="002E294C" w:rsidRPr="00B63BD5">
        <w:rPr>
          <w:lang w:val="fr-CA"/>
        </w:rPr>
        <w:t xml:space="preserve">la </w:t>
      </w:r>
      <w:r w:rsidR="00783F3F" w:rsidRPr="00B63BD5">
        <w:rPr>
          <w:lang w:val="fr-CA"/>
        </w:rPr>
        <w:t xml:space="preserve">durée </w:t>
      </w:r>
      <w:r w:rsidR="009A0F33" w:rsidRPr="00B63BD5">
        <w:rPr>
          <w:lang w:val="fr-CA"/>
        </w:rPr>
        <w:t xml:space="preserve">que </w:t>
      </w:r>
      <w:r w:rsidR="002E294C" w:rsidRPr="00B63BD5">
        <w:rPr>
          <w:lang w:val="fr-CA"/>
        </w:rPr>
        <w:t>la Banque</w:t>
      </w:r>
      <w:r w:rsidR="009A0F33" w:rsidRPr="00B63BD5">
        <w:rPr>
          <w:lang w:val="fr-CA"/>
        </w:rPr>
        <w:t xml:space="preserve"> juge acceptable, </w:t>
      </w:r>
      <w:r w:rsidR="00E20EAA" w:rsidRPr="00B63BD5">
        <w:rPr>
          <w:lang w:val="fr-CA"/>
        </w:rPr>
        <w:t>destiné</w:t>
      </w:r>
      <w:r w:rsidR="00783F3F" w:rsidRPr="00B63BD5">
        <w:rPr>
          <w:lang w:val="fr-CA"/>
        </w:rPr>
        <w:t xml:space="preserve">s </w:t>
      </w:r>
      <w:r w:rsidR="00450CD9" w:rsidRPr="00B63BD5">
        <w:rPr>
          <w:lang w:val="fr-CA"/>
        </w:rPr>
        <w:t>a</w:t>
      </w:r>
      <w:r w:rsidRPr="00B63BD5">
        <w:rPr>
          <w:lang w:val="fr-CA"/>
        </w:rPr>
        <w:t xml:space="preserve">u financement des </w:t>
      </w:r>
      <w:r w:rsidR="00450CD9" w:rsidRPr="00B63BD5">
        <w:rPr>
          <w:lang w:val="fr-CA"/>
        </w:rPr>
        <w:t xml:space="preserve">activités </w:t>
      </w:r>
      <w:r w:rsidRPr="00B63BD5">
        <w:rPr>
          <w:lang w:val="fr-CA"/>
        </w:rPr>
        <w:t>commercia</w:t>
      </w:r>
      <w:r w:rsidR="00450CD9" w:rsidRPr="00B63BD5">
        <w:rPr>
          <w:lang w:val="fr-CA"/>
        </w:rPr>
        <w:t>les</w:t>
      </w:r>
      <w:r w:rsidR="00830777" w:rsidRPr="00B63BD5">
        <w:rPr>
          <w:lang w:val="fr-CA"/>
        </w:rPr>
        <w:t xml:space="preserve"> et</w:t>
      </w:r>
      <w:r w:rsidRPr="00B63BD5">
        <w:rPr>
          <w:lang w:val="fr-CA"/>
        </w:rPr>
        <w:t xml:space="preserve"> </w:t>
      </w:r>
      <w:r w:rsidR="00C14BD9" w:rsidRPr="00B63BD5">
        <w:rPr>
          <w:lang w:val="fr-CA"/>
        </w:rPr>
        <w:t xml:space="preserve">établis </w:t>
      </w:r>
      <w:r w:rsidRPr="00B63BD5">
        <w:rPr>
          <w:lang w:val="fr-CA"/>
        </w:rPr>
        <w:t xml:space="preserve">selon </w:t>
      </w:r>
      <w:r w:rsidR="00AC3D72" w:rsidRPr="00B63BD5">
        <w:rPr>
          <w:lang w:val="fr-CA"/>
        </w:rPr>
        <w:t>un</w:t>
      </w:r>
      <w:r w:rsidRPr="00B63BD5">
        <w:rPr>
          <w:lang w:val="fr-CA"/>
        </w:rPr>
        <w:t xml:space="preserve"> modèle que la Banque juge satisfaisant</w:t>
      </w:r>
      <w:r w:rsidR="002E294C" w:rsidRPr="00B63BD5">
        <w:rPr>
          <w:lang w:val="fr-CA"/>
        </w:rPr>
        <w:t>, sous réserve des modalités énoncées dans</w:t>
      </w:r>
      <w:r w:rsidR="00F72B2D" w:rsidRPr="00B63BD5">
        <w:rPr>
          <w:lang w:val="fr-CA"/>
        </w:rPr>
        <w:t xml:space="preserve"> </w:t>
      </w:r>
      <w:r w:rsidR="002E294C" w:rsidRPr="00B63BD5">
        <w:rPr>
          <w:lang w:val="fr-CA"/>
        </w:rPr>
        <w:t>la</w:t>
      </w:r>
      <w:r w:rsidR="00F72B2D" w:rsidRPr="00B63BD5">
        <w:rPr>
          <w:lang w:val="fr-CA"/>
        </w:rPr>
        <w:t xml:space="preserve"> </w:t>
      </w:r>
      <w:r w:rsidR="002E294C" w:rsidRPr="00B63BD5">
        <w:rPr>
          <w:lang w:val="fr-CA"/>
        </w:rPr>
        <w:t>présente Lettre relative aux facilités, y</w:t>
      </w:r>
      <w:r w:rsidR="00AC4107" w:rsidRPr="00B63BD5">
        <w:rPr>
          <w:lang w:val="fr-CA"/>
        </w:rPr>
        <w:t xml:space="preserve"> </w:t>
      </w:r>
      <w:r w:rsidR="002E294C" w:rsidRPr="00B63BD5">
        <w:rPr>
          <w:lang w:val="fr-CA"/>
        </w:rPr>
        <w:t>compris</w:t>
      </w:r>
      <w:r w:rsidR="0091562C" w:rsidRPr="00B63BD5">
        <w:rPr>
          <w:lang w:val="fr-CA"/>
        </w:rPr>
        <w:t xml:space="preserve"> les a</w:t>
      </w:r>
      <w:r w:rsidR="002E294C" w:rsidRPr="00B63BD5">
        <w:rPr>
          <w:lang w:val="fr-CA"/>
        </w:rPr>
        <w:t>nnexes applicables, et</w:t>
      </w:r>
      <w:r w:rsidR="00E65DA3" w:rsidRPr="00B63BD5">
        <w:rPr>
          <w:lang w:val="fr-CA"/>
        </w:rPr>
        <w:t> </w:t>
      </w:r>
      <w:r w:rsidR="002E294C" w:rsidRPr="00B63BD5">
        <w:rPr>
          <w:lang w:val="fr-CA"/>
        </w:rPr>
        <w:t>dans</w:t>
      </w:r>
      <w:r w:rsidR="00E65DA3" w:rsidRPr="00B63BD5">
        <w:rPr>
          <w:lang w:val="fr-CA"/>
        </w:rPr>
        <w:t> </w:t>
      </w:r>
      <w:r w:rsidR="002E294C" w:rsidRPr="00B63BD5">
        <w:rPr>
          <w:lang w:val="fr-CA"/>
        </w:rPr>
        <w:t>les</w:t>
      </w:r>
      <w:r w:rsidR="00E65DA3" w:rsidRPr="00B63BD5">
        <w:rPr>
          <w:lang w:val="fr-CA"/>
        </w:rPr>
        <w:t> </w:t>
      </w:r>
      <w:r w:rsidR="002E294C" w:rsidRPr="00B63BD5">
        <w:rPr>
          <w:lang w:val="fr-CA"/>
        </w:rPr>
        <w:t>autres</w:t>
      </w:r>
      <w:r w:rsidR="00E65DA3" w:rsidRPr="00B63BD5">
        <w:rPr>
          <w:lang w:val="fr-CA"/>
        </w:rPr>
        <w:t> </w:t>
      </w:r>
      <w:r w:rsidR="002E294C" w:rsidRPr="00B63BD5">
        <w:rPr>
          <w:lang w:val="fr-CA"/>
        </w:rPr>
        <w:t xml:space="preserve">documents </w:t>
      </w:r>
      <w:r w:rsidR="009A0F33" w:rsidRPr="00B63BD5">
        <w:rPr>
          <w:lang w:val="fr-CA"/>
        </w:rPr>
        <w:t xml:space="preserve">que </w:t>
      </w:r>
      <w:r w:rsidR="002E294C" w:rsidRPr="00B63BD5">
        <w:rPr>
          <w:lang w:val="fr-CA"/>
        </w:rPr>
        <w:t>la Banque</w:t>
      </w:r>
      <w:r w:rsidR="009A0F33" w:rsidRPr="00B63BD5">
        <w:rPr>
          <w:lang w:val="fr-CA"/>
        </w:rPr>
        <w:t xml:space="preserve"> </w:t>
      </w:r>
      <w:r w:rsidR="009A0F33" w:rsidRPr="00B63BD5">
        <w:rPr>
          <w:lang w:val="fr-CA"/>
        </w:rPr>
        <w:lastRenderedPageBreak/>
        <w:t>juge acceptables</w:t>
      </w:r>
      <w:r w:rsidRPr="00B63BD5">
        <w:rPr>
          <w:lang w:val="fr-CA"/>
        </w:rPr>
        <w:t xml:space="preserve">. Les Crédits documentaires peuvent être </w:t>
      </w:r>
      <w:r w:rsidR="00783F3F" w:rsidRPr="00B63BD5">
        <w:rPr>
          <w:lang w:val="fr-CA"/>
        </w:rPr>
        <w:t xml:space="preserve">versés </w:t>
      </w:r>
      <w:r w:rsidRPr="00B63BD5">
        <w:rPr>
          <w:lang w:val="fr-CA"/>
        </w:rPr>
        <w:t xml:space="preserve">dans les </w:t>
      </w:r>
      <w:r w:rsidR="00450CD9" w:rsidRPr="00B63BD5">
        <w:rPr>
          <w:lang w:val="fr-CA"/>
        </w:rPr>
        <w:t>monnaies</w:t>
      </w:r>
      <w:r w:rsidRPr="00B63BD5">
        <w:rPr>
          <w:lang w:val="fr-CA"/>
        </w:rPr>
        <w:t xml:space="preserve"> principales, sous réserve de la disponibilité</w:t>
      </w:r>
      <w:r w:rsidR="001355C4" w:rsidRPr="00B63BD5">
        <w:rPr>
          <w:rStyle w:val="Prompt"/>
          <w:color w:val="auto"/>
          <w:szCs w:val="20"/>
          <w:lang w:val="fr-CA"/>
        </w:rPr>
        <w:t>;</w:t>
      </w:r>
    </w:p>
    <w:p w14:paraId="7E5C155A" w14:textId="010C92D7" w:rsidR="0054647B" w:rsidRPr="00B63BD5" w:rsidRDefault="00075E85" w:rsidP="000B7739">
      <w:pPr>
        <w:pStyle w:val="04LOLglNew3"/>
        <w:rPr>
          <w:lang w:val="fr-CA"/>
        </w:rPr>
      </w:pPr>
      <w:r w:rsidRPr="00B63BD5">
        <w:rPr>
          <w:lang w:val="fr-CA"/>
        </w:rPr>
        <w:t xml:space="preserve">des </w:t>
      </w:r>
      <w:r w:rsidR="002E294C" w:rsidRPr="00B63BD5">
        <w:rPr>
          <w:lang w:val="fr-CA"/>
        </w:rPr>
        <w:t xml:space="preserve">Lettres </w:t>
      </w:r>
      <w:r w:rsidRPr="00B63BD5">
        <w:rPr>
          <w:lang w:val="fr-CA"/>
        </w:rPr>
        <w:t>de garantie d</w:t>
      </w:r>
      <w:r w:rsidR="00564B0C" w:rsidRPr="00B63BD5">
        <w:rPr>
          <w:lang w:val="fr-CA"/>
        </w:rPr>
        <w:t>’</w:t>
      </w:r>
      <w:r w:rsidRPr="00B63BD5">
        <w:rPr>
          <w:lang w:val="fr-CA"/>
        </w:rPr>
        <w:t>un montant global</w:t>
      </w:r>
      <w:r w:rsidR="00AD3910" w:rsidRPr="00B63BD5">
        <w:rPr>
          <w:lang w:val="fr-CA"/>
        </w:rPr>
        <w:t xml:space="preserve"> n</w:t>
      </w:r>
      <w:r w:rsidR="00564B0C" w:rsidRPr="00B63BD5">
        <w:rPr>
          <w:lang w:val="fr-CA"/>
        </w:rPr>
        <w:t>’</w:t>
      </w:r>
      <w:r w:rsidR="00AD3910" w:rsidRPr="00B63BD5">
        <w:rPr>
          <w:lang w:val="fr-CA"/>
        </w:rPr>
        <w:t>excédant pas</w:t>
      </w:r>
      <w:r w:rsidRPr="00B63BD5">
        <w:rPr>
          <w:lang w:val="fr-CA"/>
        </w:rPr>
        <w:t xml:space="preserve"> </w:t>
      </w:r>
      <w:r w:rsidR="009270D2" w:rsidRPr="00B63BD5">
        <w:rPr>
          <w:lang w:val="fr-CA"/>
        </w:rPr>
        <w:t>[</w:t>
      </w:r>
      <w:r w:rsidRPr="00B63BD5">
        <w:rPr>
          <w:lang w:val="fr-CA"/>
        </w:rPr>
        <w:t>●</w:t>
      </w:r>
      <w:r w:rsidR="00B056F9" w:rsidRPr="00B63BD5">
        <w:rPr>
          <w:lang w:val="fr-CA"/>
        </w:rPr>
        <w:t> </w:t>
      </w:r>
      <w:r w:rsidRPr="00B63BD5">
        <w:rPr>
          <w:lang w:val="fr-CA"/>
        </w:rPr>
        <w:t>$</w:t>
      </w:r>
      <w:r w:rsidR="00AC4107" w:rsidRPr="00B63BD5">
        <w:rPr>
          <w:lang w:val="fr-CA"/>
        </w:rPr>
        <w:t xml:space="preserve"> </w:t>
      </w:r>
      <w:r w:rsidRPr="00B63BD5">
        <w:rPr>
          <w:lang w:val="fr-CA"/>
        </w:rPr>
        <w:t xml:space="preserve">CA </w:t>
      </w:r>
      <w:r w:rsidR="001934B0" w:rsidRPr="00B63BD5">
        <w:rPr>
          <w:rStyle w:val="Prompt"/>
          <w:b/>
          <w:color w:val="00B0F0"/>
          <w:szCs w:val="20"/>
          <w:highlight w:val="yellow"/>
          <w:lang w:val="fr-CA"/>
        </w:rPr>
        <w:t>OU</w:t>
      </w:r>
      <w:r w:rsidR="009270D2" w:rsidRPr="00B63BD5">
        <w:rPr>
          <w:lang w:val="fr-CA"/>
        </w:rPr>
        <w:t xml:space="preserve"> </w:t>
      </w:r>
      <w:r w:rsidRPr="00B63BD5">
        <w:rPr>
          <w:lang w:val="fr-CA"/>
        </w:rPr>
        <w:t>●</w:t>
      </w:r>
      <w:r w:rsidR="00AC4107" w:rsidRPr="00B63BD5">
        <w:rPr>
          <w:lang w:val="fr-CA"/>
        </w:rPr>
        <w:t xml:space="preserve"> </w:t>
      </w:r>
      <w:r w:rsidRPr="00B63BD5">
        <w:rPr>
          <w:lang w:val="fr-CA"/>
        </w:rPr>
        <w:t>$</w:t>
      </w:r>
      <w:r w:rsidR="00AC4107" w:rsidRPr="00B63BD5">
        <w:rPr>
          <w:lang w:val="fr-CA"/>
        </w:rPr>
        <w:t xml:space="preserve"> </w:t>
      </w:r>
      <w:r w:rsidRPr="00B63BD5">
        <w:rPr>
          <w:lang w:val="fr-CA"/>
        </w:rPr>
        <w:t>US</w:t>
      </w:r>
      <w:r w:rsidR="002E294C" w:rsidRPr="00B63BD5">
        <w:rPr>
          <w:lang w:val="fr-CA"/>
        </w:rPr>
        <w:t>]</w:t>
      </w:r>
      <w:r w:rsidRPr="00B63BD5">
        <w:rPr>
          <w:lang w:val="fr-CA"/>
        </w:rPr>
        <w:t xml:space="preserve"> (la</w:t>
      </w:r>
      <w:r w:rsidR="004152B4" w:rsidRPr="00B63BD5">
        <w:rPr>
          <w:lang w:val="fr-CA"/>
        </w:rPr>
        <w:t> </w:t>
      </w:r>
      <w:r w:rsidRPr="00B63BD5">
        <w:rPr>
          <w:lang w:val="fr-CA"/>
        </w:rPr>
        <w:t>«</w:t>
      </w:r>
      <w:r w:rsidR="0094743F" w:rsidRPr="00B63BD5">
        <w:rPr>
          <w:lang w:val="fr-CA"/>
        </w:rPr>
        <w:t> </w:t>
      </w:r>
      <w:r w:rsidRPr="00B63BD5">
        <w:rPr>
          <w:b/>
          <w:lang w:val="fr-CA"/>
        </w:rPr>
        <w:t>Limite</w:t>
      </w:r>
      <w:r w:rsidR="00B056F9" w:rsidRPr="00B63BD5">
        <w:rPr>
          <w:b/>
          <w:lang w:val="fr-CA"/>
        </w:rPr>
        <w:t xml:space="preserve"> </w:t>
      </w:r>
      <w:r w:rsidRPr="00B63BD5">
        <w:rPr>
          <w:b/>
          <w:lang w:val="fr-CA"/>
        </w:rPr>
        <w:t>de</w:t>
      </w:r>
      <w:r w:rsidR="00B056F9" w:rsidRPr="00B63BD5">
        <w:rPr>
          <w:b/>
          <w:lang w:val="fr-CA"/>
        </w:rPr>
        <w:t xml:space="preserve"> </w:t>
      </w:r>
      <w:r w:rsidRPr="00B63BD5">
        <w:rPr>
          <w:b/>
          <w:lang w:val="fr-CA"/>
        </w:rPr>
        <w:t>la</w:t>
      </w:r>
      <w:r w:rsidR="00B056F9" w:rsidRPr="00B63BD5">
        <w:rPr>
          <w:b/>
          <w:lang w:val="fr-CA"/>
        </w:rPr>
        <w:t xml:space="preserve"> l</w:t>
      </w:r>
      <w:r w:rsidRPr="00B63BD5">
        <w:rPr>
          <w:b/>
          <w:lang w:val="fr-CA"/>
        </w:rPr>
        <w:t>ettre de garantie</w:t>
      </w:r>
      <w:r w:rsidR="0094743F" w:rsidRPr="00B63BD5">
        <w:rPr>
          <w:lang w:val="fr-CA"/>
        </w:rPr>
        <w:t> </w:t>
      </w:r>
      <w:r w:rsidRPr="00B63BD5">
        <w:rPr>
          <w:lang w:val="fr-CA"/>
        </w:rPr>
        <w:t>»)</w:t>
      </w:r>
      <w:r w:rsidR="00450CD9" w:rsidRPr="00B63BD5">
        <w:rPr>
          <w:lang w:val="fr-CA"/>
        </w:rPr>
        <w:t>,</w:t>
      </w:r>
      <w:r w:rsidRPr="00B63BD5">
        <w:rPr>
          <w:lang w:val="fr-CA"/>
        </w:rPr>
        <w:t xml:space="preserve"> dans chaque cas </w:t>
      </w:r>
      <w:r w:rsidR="00783F3F" w:rsidRPr="00B63BD5">
        <w:rPr>
          <w:lang w:val="fr-CA"/>
        </w:rPr>
        <w:t xml:space="preserve">pendant </w:t>
      </w:r>
      <w:r w:rsidRPr="00B63BD5">
        <w:rPr>
          <w:lang w:val="fr-CA"/>
        </w:rPr>
        <w:t>une durée maximale de</w:t>
      </w:r>
      <w:r w:rsidR="00AC4107" w:rsidRPr="00B63BD5">
        <w:rPr>
          <w:lang w:val="fr-CA"/>
        </w:rPr>
        <w:t xml:space="preserve"> </w:t>
      </w:r>
      <w:r w:rsidRPr="00B63BD5">
        <w:rPr>
          <w:lang w:val="fr-CA"/>
        </w:rPr>
        <w:t>un</w:t>
      </w:r>
      <w:r w:rsidR="00AC4107" w:rsidRPr="00B63BD5">
        <w:rPr>
          <w:lang w:val="fr-CA"/>
        </w:rPr>
        <w:t xml:space="preserve"> </w:t>
      </w:r>
      <w:r w:rsidRPr="00B63BD5">
        <w:rPr>
          <w:lang w:val="fr-CA"/>
        </w:rPr>
        <w:t>an</w:t>
      </w:r>
      <w:r w:rsidR="00450CD9" w:rsidRPr="00B63BD5">
        <w:rPr>
          <w:lang w:val="fr-CA"/>
        </w:rPr>
        <w:t>,</w:t>
      </w:r>
      <w:r w:rsidRPr="00B63BD5">
        <w:rPr>
          <w:lang w:val="fr-CA"/>
        </w:rPr>
        <w:t xml:space="preserve"> </w:t>
      </w:r>
      <w:r w:rsidR="00783F3F" w:rsidRPr="00B63BD5">
        <w:rPr>
          <w:lang w:val="fr-CA"/>
        </w:rPr>
        <w:t xml:space="preserve">destinées </w:t>
      </w:r>
      <w:r w:rsidR="00450CD9" w:rsidRPr="00B63BD5">
        <w:rPr>
          <w:lang w:val="fr-CA"/>
        </w:rPr>
        <w:t xml:space="preserve">au </w:t>
      </w:r>
      <w:r w:rsidRPr="00B63BD5">
        <w:rPr>
          <w:lang w:val="fr-CA"/>
        </w:rPr>
        <w:t>finance</w:t>
      </w:r>
      <w:r w:rsidR="00450CD9" w:rsidRPr="00B63BD5">
        <w:rPr>
          <w:lang w:val="fr-CA"/>
        </w:rPr>
        <w:t>ment d</w:t>
      </w:r>
      <w:r w:rsidRPr="00B63BD5">
        <w:rPr>
          <w:lang w:val="fr-CA"/>
        </w:rPr>
        <w:t>e</w:t>
      </w:r>
      <w:r w:rsidR="00DC499D" w:rsidRPr="00B63BD5">
        <w:rPr>
          <w:lang w:val="fr-CA"/>
        </w:rPr>
        <w:t xml:space="preserve">s activités </w:t>
      </w:r>
      <w:r w:rsidR="00783F3F" w:rsidRPr="00B63BD5">
        <w:rPr>
          <w:lang w:val="fr-CA"/>
        </w:rPr>
        <w:t>courante</w:t>
      </w:r>
      <w:r w:rsidR="00DC499D" w:rsidRPr="00B63BD5">
        <w:rPr>
          <w:lang w:val="fr-CA"/>
        </w:rPr>
        <w:t>s</w:t>
      </w:r>
      <w:r w:rsidR="00783F3F" w:rsidRPr="00B63BD5">
        <w:rPr>
          <w:lang w:val="fr-CA"/>
        </w:rPr>
        <w:t xml:space="preserve"> </w:t>
      </w:r>
      <w:r w:rsidRPr="00B63BD5">
        <w:rPr>
          <w:lang w:val="fr-CA"/>
        </w:rPr>
        <w:t>de l</w:t>
      </w:r>
      <w:r w:rsidR="00564B0C" w:rsidRPr="00B63BD5">
        <w:rPr>
          <w:lang w:val="fr-CA"/>
        </w:rPr>
        <w:t>’</w:t>
      </w:r>
      <w:r w:rsidRPr="00B63BD5">
        <w:rPr>
          <w:lang w:val="fr-CA"/>
        </w:rPr>
        <w:t>Emprunteur</w:t>
      </w:r>
      <w:r w:rsidR="00450CD9" w:rsidRPr="00B63BD5">
        <w:rPr>
          <w:lang w:val="fr-CA"/>
        </w:rPr>
        <w:t>,</w:t>
      </w:r>
      <w:r w:rsidRPr="00B63BD5">
        <w:rPr>
          <w:lang w:val="fr-CA"/>
        </w:rPr>
        <w:t xml:space="preserve"> au moyen de l</w:t>
      </w:r>
      <w:r w:rsidR="00564B0C" w:rsidRPr="00B63BD5">
        <w:rPr>
          <w:lang w:val="fr-CA"/>
        </w:rPr>
        <w:t>’</w:t>
      </w:r>
      <w:r w:rsidRPr="00B63BD5">
        <w:rPr>
          <w:lang w:val="fr-CA"/>
        </w:rPr>
        <w:t>émission, par</w:t>
      </w:r>
      <w:r w:rsidR="00F72B2D" w:rsidRPr="00B63BD5">
        <w:rPr>
          <w:lang w:val="fr-CA"/>
        </w:rPr>
        <w:t xml:space="preserve"> </w:t>
      </w:r>
      <w:r w:rsidRPr="00B63BD5">
        <w:rPr>
          <w:lang w:val="fr-CA"/>
        </w:rPr>
        <w:t>la</w:t>
      </w:r>
      <w:r w:rsidR="00F72B2D" w:rsidRPr="00B63BD5">
        <w:rPr>
          <w:lang w:val="fr-CA"/>
        </w:rPr>
        <w:t xml:space="preserve"> </w:t>
      </w:r>
      <w:r w:rsidRPr="00B63BD5">
        <w:rPr>
          <w:lang w:val="fr-CA"/>
        </w:rPr>
        <w:t>Banque,</w:t>
      </w:r>
      <w:r w:rsidR="00BB0995" w:rsidRPr="00B63BD5">
        <w:rPr>
          <w:lang w:val="fr-CA"/>
        </w:rPr>
        <w:t xml:space="preserve"> </w:t>
      </w:r>
      <w:r w:rsidRPr="00B63BD5">
        <w:rPr>
          <w:lang w:val="fr-CA"/>
        </w:rPr>
        <w:t>de lettres de garantie, de l</w:t>
      </w:r>
      <w:r w:rsidRPr="00B63BD5">
        <w:rPr>
          <w:spacing w:val="-2"/>
          <w:lang w:val="fr-CA"/>
        </w:rPr>
        <w:t xml:space="preserve">ettres de crédit de soutien, de </w:t>
      </w:r>
      <w:r w:rsidR="00B210C5" w:rsidRPr="00B63BD5">
        <w:rPr>
          <w:spacing w:val="-2"/>
          <w:lang w:val="fr-CA"/>
        </w:rPr>
        <w:t>cautionnements de bonne exécution</w:t>
      </w:r>
      <w:r w:rsidRPr="00B63BD5">
        <w:rPr>
          <w:spacing w:val="-2"/>
          <w:lang w:val="fr-CA"/>
        </w:rPr>
        <w:t>, de contre</w:t>
      </w:r>
      <w:r w:rsidRPr="00B63BD5">
        <w:rPr>
          <w:spacing w:val="-2"/>
          <w:lang w:val="fr-CA"/>
        </w:rPr>
        <w:noBreakHyphen/>
        <w:t>garanties, de contre</w:t>
      </w:r>
      <w:r w:rsidRPr="00B63BD5">
        <w:rPr>
          <w:spacing w:val="-2"/>
          <w:lang w:val="fr-CA"/>
        </w:rPr>
        <w:noBreakHyphen/>
        <w:t>lettres</w:t>
      </w:r>
      <w:r w:rsidRPr="00B63BD5">
        <w:rPr>
          <w:lang w:val="fr-CA"/>
        </w:rPr>
        <w:t xml:space="preserve"> de crédit de soutien ou de crédit</w:t>
      </w:r>
      <w:r w:rsidR="00450CD9" w:rsidRPr="00B63BD5">
        <w:rPr>
          <w:lang w:val="fr-CA"/>
        </w:rPr>
        <w:t>s</w:t>
      </w:r>
      <w:r w:rsidRPr="00B63BD5">
        <w:rPr>
          <w:lang w:val="fr-CA"/>
        </w:rPr>
        <w:t xml:space="preserve"> similaires (dans</w:t>
      </w:r>
      <w:r w:rsidR="00F72B2D" w:rsidRPr="00B63BD5">
        <w:rPr>
          <w:lang w:val="fr-CA"/>
        </w:rPr>
        <w:t xml:space="preserve"> </w:t>
      </w:r>
      <w:r w:rsidRPr="00B63BD5">
        <w:rPr>
          <w:lang w:val="fr-CA"/>
        </w:rPr>
        <w:t>chaque cas, une «</w:t>
      </w:r>
      <w:r w:rsidR="0094743F" w:rsidRPr="00B63BD5">
        <w:rPr>
          <w:lang w:val="fr-CA"/>
        </w:rPr>
        <w:t> </w:t>
      </w:r>
      <w:r w:rsidRPr="00B63BD5">
        <w:rPr>
          <w:b/>
          <w:lang w:val="fr-CA"/>
        </w:rPr>
        <w:t>Lettre</w:t>
      </w:r>
      <w:r w:rsidR="00B056F9" w:rsidRPr="00B63BD5">
        <w:rPr>
          <w:b/>
          <w:lang w:val="fr-CA"/>
        </w:rPr>
        <w:t xml:space="preserve"> </w:t>
      </w:r>
      <w:r w:rsidRPr="00B63BD5">
        <w:rPr>
          <w:b/>
          <w:lang w:val="fr-CA"/>
        </w:rPr>
        <w:t>de garantie</w:t>
      </w:r>
      <w:r w:rsidR="0094743F" w:rsidRPr="00B63BD5">
        <w:rPr>
          <w:lang w:val="fr-CA"/>
        </w:rPr>
        <w:t> </w:t>
      </w:r>
      <w:r w:rsidRPr="00B63BD5">
        <w:rPr>
          <w:lang w:val="fr-CA"/>
        </w:rPr>
        <w:t>»</w:t>
      </w:r>
      <w:r w:rsidR="00450CD9" w:rsidRPr="00B63BD5">
        <w:rPr>
          <w:lang w:val="fr-CA"/>
        </w:rPr>
        <w:t>)</w:t>
      </w:r>
      <w:r w:rsidRPr="00B63BD5">
        <w:rPr>
          <w:lang w:val="fr-CA"/>
        </w:rPr>
        <w:t xml:space="preserve"> </w:t>
      </w:r>
      <w:r w:rsidR="00C1659B" w:rsidRPr="00B63BD5">
        <w:rPr>
          <w:lang w:val="fr-CA"/>
        </w:rPr>
        <w:t xml:space="preserve">conformément aux directives </w:t>
      </w:r>
      <w:r w:rsidRPr="00B63BD5">
        <w:rPr>
          <w:lang w:val="fr-CA"/>
        </w:rPr>
        <w:t>de l</w:t>
      </w:r>
      <w:r w:rsidR="00564B0C" w:rsidRPr="00B63BD5">
        <w:rPr>
          <w:lang w:val="fr-CA"/>
        </w:rPr>
        <w:t>’</w:t>
      </w:r>
      <w:r w:rsidRPr="00B63BD5">
        <w:rPr>
          <w:lang w:val="fr-CA"/>
        </w:rPr>
        <w:t xml:space="preserve">Emprunteur, chacune de ces </w:t>
      </w:r>
      <w:r w:rsidR="00450CD9" w:rsidRPr="00B63BD5">
        <w:rPr>
          <w:lang w:val="fr-CA"/>
        </w:rPr>
        <w:t>L</w:t>
      </w:r>
      <w:r w:rsidRPr="00B63BD5">
        <w:rPr>
          <w:lang w:val="fr-CA"/>
        </w:rPr>
        <w:t xml:space="preserve">ettres de garantie </w:t>
      </w:r>
      <w:r w:rsidR="00450CD9" w:rsidRPr="00B63BD5">
        <w:rPr>
          <w:lang w:val="fr-CA"/>
        </w:rPr>
        <w:t xml:space="preserve">devant être </w:t>
      </w:r>
      <w:r w:rsidRPr="00B63BD5">
        <w:rPr>
          <w:lang w:val="fr-CA"/>
        </w:rPr>
        <w:t xml:space="preserve">établie selon </w:t>
      </w:r>
      <w:r w:rsidR="00AC3D72" w:rsidRPr="00B63BD5">
        <w:rPr>
          <w:lang w:val="fr-CA"/>
        </w:rPr>
        <w:t>un</w:t>
      </w:r>
      <w:r w:rsidRPr="00B63BD5">
        <w:rPr>
          <w:lang w:val="fr-CA"/>
        </w:rPr>
        <w:t xml:space="preserve"> modèle que la Banque juge satisfaisant. </w:t>
      </w:r>
      <w:r w:rsidR="006238AC" w:rsidRPr="006238AC">
        <w:rPr>
          <w:lang w:val="fr-CA"/>
        </w:rPr>
        <w:t>Les Lettres de garantie peuvent être émises dans les monnaies principales indiquées et approuvées par la Banque de temps à autre, sous réserve de leur disponibilité.</w:t>
      </w:r>
      <w:r w:rsidR="006238AC">
        <w:rPr>
          <w:lang w:val="fr-CA"/>
        </w:rPr>
        <w:t xml:space="preserve"> </w:t>
      </w:r>
      <w:r w:rsidRPr="00B63BD5">
        <w:rPr>
          <w:lang w:val="fr-CA"/>
        </w:rPr>
        <w:t>La</w:t>
      </w:r>
      <w:r w:rsidR="00450CD9" w:rsidRPr="00B63BD5">
        <w:rPr>
          <w:lang w:val="fr-CA"/>
        </w:rPr>
        <w:t xml:space="preserve"> disponibilité de chaque Lettre de garantie est à</w:t>
      </w:r>
      <w:r w:rsidR="00A42897" w:rsidRPr="00B63BD5">
        <w:rPr>
          <w:lang w:val="fr-CA"/>
        </w:rPr>
        <w:t> </w:t>
      </w:r>
      <w:r w:rsidR="00450CD9" w:rsidRPr="00B63BD5">
        <w:rPr>
          <w:lang w:val="fr-CA"/>
        </w:rPr>
        <w:t>l</w:t>
      </w:r>
      <w:r w:rsidR="00564B0C" w:rsidRPr="00B63BD5">
        <w:rPr>
          <w:lang w:val="fr-CA"/>
        </w:rPr>
        <w:t>’</w:t>
      </w:r>
      <w:r w:rsidR="00450CD9" w:rsidRPr="00B63BD5">
        <w:rPr>
          <w:lang w:val="fr-CA"/>
        </w:rPr>
        <w:t>entière discrétion de la</w:t>
      </w:r>
      <w:r w:rsidRPr="00B63BD5">
        <w:rPr>
          <w:lang w:val="fr-CA"/>
        </w:rPr>
        <w:t xml:space="preserve"> Banque et</w:t>
      </w:r>
      <w:r w:rsidR="00F72B2D" w:rsidRPr="00B63BD5">
        <w:rPr>
          <w:lang w:val="fr-CA"/>
        </w:rPr>
        <w:t xml:space="preserve"> </w:t>
      </w:r>
      <w:r w:rsidR="002E5C0B" w:rsidRPr="00B63BD5">
        <w:rPr>
          <w:lang w:val="fr-CA"/>
        </w:rPr>
        <w:t xml:space="preserve">est </w:t>
      </w:r>
      <w:r w:rsidR="00450CD9" w:rsidRPr="00B63BD5">
        <w:rPr>
          <w:lang w:val="fr-CA"/>
        </w:rPr>
        <w:t>assujettie aux</w:t>
      </w:r>
      <w:r w:rsidRPr="00B63BD5">
        <w:rPr>
          <w:lang w:val="fr-CA"/>
        </w:rPr>
        <w:t xml:space="preserve"> Conditions préalables. </w:t>
      </w:r>
      <w:r w:rsidR="00450CD9" w:rsidRPr="00B63BD5">
        <w:rPr>
          <w:lang w:val="fr-CA"/>
        </w:rPr>
        <w:t>L</w:t>
      </w:r>
      <w:r w:rsidR="00564B0C" w:rsidRPr="00B63BD5">
        <w:rPr>
          <w:lang w:val="fr-CA"/>
        </w:rPr>
        <w:t>’</w:t>
      </w:r>
      <w:r w:rsidR="00450CD9" w:rsidRPr="00B63BD5">
        <w:rPr>
          <w:lang w:val="fr-CA"/>
        </w:rPr>
        <w:t>émission d</w:t>
      </w:r>
      <w:r w:rsidR="00564B0C" w:rsidRPr="00B63BD5">
        <w:rPr>
          <w:lang w:val="fr-CA"/>
        </w:rPr>
        <w:t>’</w:t>
      </w:r>
      <w:r w:rsidR="00450CD9" w:rsidRPr="00B63BD5">
        <w:rPr>
          <w:lang w:val="fr-CA"/>
        </w:rPr>
        <w:t xml:space="preserve">une </w:t>
      </w:r>
      <w:r w:rsidR="007943D2" w:rsidRPr="00B63BD5">
        <w:rPr>
          <w:lang w:val="fr-CA"/>
        </w:rPr>
        <w:t>L</w:t>
      </w:r>
      <w:r w:rsidRPr="00B63BD5">
        <w:rPr>
          <w:lang w:val="fr-CA"/>
        </w:rPr>
        <w:t>ettre de garantie constitue une</w:t>
      </w:r>
      <w:r w:rsidR="00F72B2D" w:rsidRPr="00B63BD5">
        <w:rPr>
          <w:lang w:val="fr-CA"/>
        </w:rPr>
        <w:t xml:space="preserve"> </w:t>
      </w:r>
      <w:r w:rsidRPr="00B63BD5">
        <w:rPr>
          <w:lang w:val="fr-CA"/>
        </w:rPr>
        <w:t>avance de crédit (pour le compte de l</w:t>
      </w:r>
      <w:r w:rsidR="00564B0C" w:rsidRPr="00B63BD5">
        <w:rPr>
          <w:lang w:val="fr-CA"/>
        </w:rPr>
        <w:t>’</w:t>
      </w:r>
      <w:r w:rsidRPr="00B63BD5">
        <w:rPr>
          <w:lang w:val="fr-CA"/>
        </w:rPr>
        <w:t xml:space="preserve">Emprunteur) </w:t>
      </w:r>
      <w:r w:rsidR="00BB2D54" w:rsidRPr="00B63BD5">
        <w:rPr>
          <w:lang w:val="fr-CA"/>
        </w:rPr>
        <w:t>qui est assujettie à</w:t>
      </w:r>
      <w:r w:rsidR="00A42897" w:rsidRPr="00B63BD5">
        <w:rPr>
          <w:lang w:val="fr-CA"/>
        </w:rPr>
        <w:t> </w:t>
      </w:r>
      <w:r w:rsidRPr="00B63BD5">
        <w:rPr>
          <w:lang w:val="fr-CA"/>
        </w:rPr>
        <w:t>la Limite de la lettre de</w:t>
      </w:r>
      <w:r w:rsidR="00F72B2D" w:rsidRPr="00B63BD5">
        <w:rPr>
          <w:lang w:val="fr-CA"/>
        </w:rPr>
        <w:t xml:space="preserve"> </w:t>
      </w:r>
      <w:r w:rsidRPr="00B63BD5">
        <w:rPr>
          <w:lang w:val="fr-CA"/>
        </w:rPr>
        <w:t>garantie.</w:t>
      </w:r>
      <w:r w:rsidR="007C69DE" w:rsidRPr="00B63BD5">
        <w:rPr>
          <w:lang w:val="fr-CA"/>
        </w:rPr>
        <w:t xml:space="preserve"> </w:t>
      </w:r>
      <w:r w:rsidR="004E20E9" w:rsidRPr="00B63BD5">
        <w:rPr>
          <w:lang w:val="fr-CA"/>
        </w:rPr>
        <w:t>L</w:t>
      </w:r>
      <w:r w:rsidR="00564B0C" w:rsidRPr="00B63BD5">
        <w:rPr>
          <w:lang w:val="fr-CA"/>
        </w:rPr>
        <w:t>’</w:t>
      </w:r>
      <w:r w:rsidR="004E20E9" w:rsidRPr="00B63BD5">
        <w:rPr>
          <w:lang w:val="fr-CA"/>
        </w:rPr>
        <w:t xml:space="preserve">Emprunteur doit rembourser </w:t>
      </w:r>
      <w:r w:rsidR="00AE5708" w:rsidRPr="00B63BD5">
        <w:rPr>
          <w:lang w:val="fr-CA"/>
        </w:rPr>
        <w:t>à la Banque</w:t>
      </w:r>
      <w:r w:rsidR="004E20E9" w:rsidRPr="00B63BD5">
        <w:rPr>
          <w:lang w:val="fr-CA"/>
        </w:rPr>
        <w:t xml:space="preserve"> </w:t>
      </w:r>
      <w:r w:rsidR="00783F3F" w:rsidRPr="00B63BD5">
        <w:rPr>
          <w:lang w:val="fr-CA"/>
        </w:rPr>
        <w:t>immédiatement</w:t>
      </w:r>
      <w:r w:rsidR="00AD3910" w:rsidRPr="00B63BD5">
        <w:rPr>
          <w:lang w:val="fr-CA"/>
        </w:rPr>
        <w:t xml:space="preserve"> tout paiement effectué</w:t>
      </w:r>
      <w:r w:rsidR="004E20E9" w:rsidRPr="00B63BD5">
        <w:rPr>
          <w:lang w:val="fr-CA"/>
        </w:rPr>
        <w:t xml:space="preserve"> sur</w:t>
      </w:r>
      <w:r w:rsidR="00F72B2D" w:rsidRPr="00B63BD5">
        <w:rPr>
          <w:lang w:val="fr-CA"/>
        </w:rPr>
        <w:t xml:space="preserve"> </w:t>
      </w:r>
      <w:r w:rsidR="004E20E9" w:rsidRPr="00B63BD5">
        <w:rPr>
          <w:lang w:val="fr-CA"/>
        </w:rPr>
        <w:t>une Lettre de garantie. L</w:t>
      </w:r>
      <w:r w:rsidR="00564B0C" w:rsidRPr="00B63BD5">
        <w:rPr>
          <w:lang w:val="fr-CA"/>
        </w:rPr>
        <w:t>’</w:t>
      </w:r>
      <w:r w:rsidR="00AE5708" w:rsidRPr="00B63BD5">
        <w:rPr>
          <w:lang w:val="fr-CA"/>
        </w:rPr>
        <w:t>intérêt sur l</w:t>
      </w:r>
      <w:r w:rsidR="004E20E9" w:rsidRPr="00B63BD5">
        <w:rPr>
          <w:lang w:val="fr-CA"/>
        </w:rPr>
        <w:t>es sommes</w:t>
      </w:r>
      <w:r w:rsidR="00AD3910" w:rsidRPr="00B63BD5">
        <w:rPr>
          <w:lang w:val="fr-CA"/>
        </w:rPr>
        <w:t xml:space="preserve"> payées</w:t>
      </w:r>
      <w:r w:rsidR="004E20E9" w:rsidRPr="00B63BD5">
        <w:rPr>
          <w:lang w:val="fr-CA"/>
        </w:rPr>
        <w:t xml:space="preserve"> </w:t>
      </w:r>
      <w:r w:rsidR="00682477" w:rsidRPr="00B63BD5">
        <w:rPr>
          <w:lang w:val="fr-CA"/>
        </w:rPr>
        <w:t xml:space="preserve">sur une Lettre de garantie </w:t>
      </w:r>
      <w:r w:rsidR="004E20E9" w:rsidRPr="00B63BD5">
        <w:rPr>
          <w:lang w:val="fr-CA"/>
        </w:rPr>
        <w:t>et</w:t>
      </w:r>
      <w:r w:rsidR="00F72B2D" w:rsidRPr="00B63BD5">
        <w:rPr>
          <w:lang w:val="fr-CA"/>
        </w:rPr>
        <w:t xml:space="preserve"> </w:t>
      </w:r>
      <w:r w:rsidR="00AD3910" w:rsidRPr="00B63BD5">
        <w:rPr>
          <w:lang w:val="fr-CA"/>
        </w:rPr>
        <w:t>qui</w:t>
      </w:r>
      <w:r w:rsidR="00F72B2D" w:rsidRPr="00B63BD5">
        <w:rPr>
          <w:lang w:val="fr-CA"/>
        </w:rPr>
        <w:t xml:space="preserve"> </w:t>
      </w:r>
      <w:r w:rsidR="00AD3910" w:rsidRPr="00B63BD5">
        <w:rPr>
          <w:lang w:val="fr-CA"/>
        </w:rPr>
        <w:t>n</w:t>
      </w:r>
      <w:r w:rsidR="00564B0C" w:rsidRPr="00B63BD5">
        <w:rPr>
          <w:lang w:val="fr-CA"/>
        </w:rPr>
        <w:t>’</w:t>
      </w:r>
      <w:r w:rsidR="00AD3910" w:rsidRPr="00B63BD5">
        <w:rPr>
          <w:lang w:val="fr-CA"/>
        </w:rPr>
        <w:t>ont</w:t>
      </w:r>
      <w:r w:rsidR="00F72B2D" w:rsidRPr="00B63BD5">
        <w:rPr>
          <w:lang w:val="fr-CA"/>
        </w:rPr>
        <w:t xml:space="preserve"> </w:t>
      </w:r>
      <w:r w:rsidR="00AD3910" w:rsidRPr="00B63BD5">
        <w:rPr>
          <w:lang w:val="fr-CA"/>
        </w:rPr>
        <w:t>pas été</w:t>
      </w:r>
      <w:r w:rsidR="004E20E9" w:rsidRPr="00B63BD5">
        <w:rPr>
          <w:lang w:val="fr-CA"/>
        </w:rPr>
        <w:t xml:space="preserve"> remboursé</w:t>
      </w:r>
      <w:r w:rsidR="00EA52CC" w:rsidRPr="00B63BD5">
        <w:rPr>
          <w:lang w:val="fr-CA"/>
        </w:rPr>
        <w:t>es</w:t>
      </w:r>
      <w:r w:rsidR="00AD3910" w:rsidRPr="00B63BD5">
        <w:rPr>
          <w:lang w:val="fr-CA"/>
        </w:rPr>
        <w:t xml:space="preserve"> par l</w:t>
      </w:r>
      <w:r w:rsidR="00564B0C" w:rsidRPr="00B63BD5">
        <w:rPr>
          <w:lang w:val="fr-CA"/>
        </w:rPr>
        <w:t>’</w:t>
      </w:r>
      <w:r w:rsidR="00AD3910" w:rsidRPr="00B63BD5">
        <w:rPr>
          <w:lang w:val="fr-CA"/>
        </w:rPr>
        <w:t>Emprunteur</w:t>
      </w:r>
      <w:r w:rsidR="004E20E9" w:rsidRPr="00B63BD5">
        <w:rPr>
          <w:lang w:val="fr-CA"/>
        </w:rPr>
        <w:t xml:space="preserve"> à la Banque </w:t>
      </w:r>
      <w:r w:rsidR="00783F3F" w:rsidRPr="00B63BD5">
        <w:rPr>
          <w:lang w:val="fr-CA"/>
        </w:rPr>
        <w:t xml:space="preserve">immédiatement </w:t>
      </w:r>
      <w:r w:rsidR="00AE5708" w:rsidRPr="00B63BD5">
        <w:rPr>
          <w:lang w:val="fr-CA"/>
        </w:rPr>
        <w:t xml:space="preserve">court quotidiennement </w:t>
      </w:r>
      <w:r w:rsidR="004E20E9" w:rsidRPr="00B63BD5">
        <w:rPr>
          <w:lang w:val="fr-CA"/>
        </w:rPr>
        <w:t xml:space="preserve">et est calculé mensuellement à terme échu au </w:t>
      </w:r>
      <w:r w:rsidR="004A719E" w:rsidRPr="00B63BD5">
        <w:rPr>
          <w:lang w:val="fr-CA"/>
        </w:rPr>
        <w:t>taux de 21</w:t>
      </w:r>
      <w:r w:rsidR="00B056F9" w:rsidRPr="00B63BD5">
        <w:rPr>
          <w:lang w:val="fr-CA"/>
        </w:rPr>
        <w:t> </w:t>
      </w:r>
      <w:r w:rsidR="004A719E" w:rsidRPr="00B63BD5">
        <w:rPr>
          <w:lang w:val="fr-CA"/>
        </w:rPr>
        <w:t>% par année ou</w:t>
      </w:r>
      <w:r w:rsidR="00F72B2D" w:rsidRPr="00B63BD5">
        <w:rPr>
          <w:lang w:val="fr-CA"/>
        </w:rPr>
        <w:t xml:space="preserve"> </w:t>
      </w:r>
      <w:r w:rsidR="004A719E" w:rsidRPr="00B63BD5">
        <w:rPr>
          <w:lang w:val="fr-CA"/>
        </w:rPr>
        <w:t>à</w:t>
      </w:r>
      <w:r w:rsidR="00F72B2D" w:rsidRPr="00B63BD5">
        <w:rPr>
          <w:lang w:val="fr-CA"/>
        </w:rPr>
        <w:t xml:space="preserve"> </w:t>
      </w:r>
      <w:r w:rsidR="00BB2D54" w:rsidRPr="00B63BD5">
        <w:rPr>
          <w:lang w:val="fr-CA"/>
        </w:rPr>
        <w:t>un</w:t>
      </w:r>
      <w:r w:rsidR="00F72B2D" w:rsidRPr="00B63BD5">
        <w:rPr>
          <w:lang w:val="fr-CA"/>
        </w:rPr>
        <w:t xml:space="preserve"> </w:t>
      </w:r>
      <w:r w:rsidR="004A719E" w:rsidRPr="00B63BD5">
        <w:rPr>
          <w:lang w:val="fr-CA"/>
        </w:rPr>
        <w:t>autre taux stipulé par la</w:t>
      </w:r>
      <w:r w:rsidR="00F72B2D" w:rsidRPr="00B63BD5">
        <w:rPr>
          <w:lang w:val="fr-CA"/>
        </w:rPr>
        <w:t xml:space="preserve"> </w:t>
      </w:r>
      <w:r w:rsidR="004A719E" w:rsidRPr="00B63BD5">
        <w:rPr>
          <w:lang w:val="fr-CA"/>
        </w:rPr>
        <w:t>Banque</w:t>
      </w:r>
      <w:r w:rsidR="004E20E9" w:rsidRPr="00B63BD5">
        <w:rPr>
          <w:lang w:val="fr-CA"/>
        </w:rPr>
        <w:t>.</w:t>
      </w:r>
    </w:p>
    <w:p w14:paraId="2DAC288A" w14:textId="7E171804" w:rsidR="002E294C" w:rsidRPr="00B63BD5" w:rsidRDefault="002E294C" w:rsidP="00632863">
      <w:pPr>
        <w:pStyle w:val="Heading4"/>
        <w:jc w:val="both"/>
      </w:pPr>
      <w:r w:rsidRPr="00B63BD5">
        <w:rPr>
          <w:b/>
          <w:color w:val="00B0F0"/>
        </w:rPr>
        <w:t>[S</w:t>
      </w:r>
      <w:r w:rsidR="00564B0C" w:rsidRPr="00B63BD5">
        <w:rPr>
          <w:b/>
          <w:color w:val="00B0F0"/>
        </w:rPr>
        <w:t>’</w:t>
      </w:r>
      <w:r w:rsidRPr="00B63BD5">
        <w:rPr>
          <w:b/>
          <w:color w:val="00B0F0"/>
        </w:rPr>
        <w:t>il n</w:t>
      </w:r>
      <w:r w:rsidR="00564B0C" w:rsidRPr="00B63BD5">
        <w:rPr>
          <w:b/>
          <w:color w:val="00B0F0"/>
        </w:rPr>
        <w:t>’</w:t>
      </w:r>
      <w:r w:rsidRPr="00B63BD5">
        <w:rPr>
          <w:b/>
          <w:color w:val="00B0F0"/>
        </w:rPr>
        <w:t>y a qu</w:t>
      </w:r>
      <w:r w:rsidR="00564B0C" w:rsidRPr="00B63BD5">
        <w:rPr>
          <w:b/>
          <w:color w:val="00B0F0"/>
        </w:rPr>
        <w:t>’</w:t>
      </w:r>
      <w:r w:rsidRPr="00B63BD5">
        <w:rPr>
          <w:b/>
          <w:color w:val="00B0F0"/>
        </w:rPr>
        <w:t>un seul Emprunteur</w:t>
      </w:r>
      <w:r w:rsidR="00AC4107" w:rsidRPr="00B63BD5">
        <w:rPr>
          <w:b/>
          <w:color w:val="00B0F0"/>
        </w:rPr>
        <w:t xml:space="preserve"> </w:t>
      </w:r>
      <w:r w:rsidRPr="00B63BD5">
        <w:rPr>
          <w:b/>
          <w:color w:val="00B0F0"/>
        </w:rPr>
        <w:t>:</w:t>
      </w:r>
      <w:r w:rsidR="009A0F33" w:rsidRPr="00B63BD5">
        <w:rPr>
          <w:b/>
          <w:color w:val="00B0F0"/>
        </w:rPr>
        <w:t>]</w:t>
      </w:r>
      <w:r w:rsidRPr="00B63BD5">
        <w:rPr>
          <w:b/>
          <w:color w:val="00B0F0"/>
        </w:rPr>
        <w:t xml:space="preserve"> </w:t>
      </w:r>
      <w:r w:rsidR="007943D2" w:rsidRPr="00B63BD5">
        <w:t>L</w:t>
      </w:r>
      <w:r w:rsidR="00564B0C" w:rsidRPr="00B63BD5">
        <w:t>’</w:t>
      </w:r>
      <w:r w:rsidR="007943D2" w:rsidRPr="00B63BD5">
        <w:t xml:space="preserve">Emprunteur </w:t>
      </w:r>
      <w:r w:rsidR="00194AF1" w:rsidRPr="00B63BD5">
        <w:t>doit s</w:t>
      </w:r>
      <w:r w:rsidR="00564B0C" w:rsidRPr="00B63BD5">
        <w:t>’</w:t>
      </w:r>
      <w:r w:rsidR="00194AF1" w:rsidRPr="00B63BD5">
        <w:t>assurer que</w:t>
      </w:r>
      <w:r w:rsidR="00830777" w:rsidRPr="00B63BD5">
        <w:t xml:space="preserve"> le montant global de</w:t>
      </w:r>
      <w:r w:rsidR="00194AF1" w:rsidRPr="00B63BD5">
        <w:t xml:space="preserve"> </w:t>
      </w:r>
      <w:r w:rsidR="000805AE" w:rsidRPr="00B63BD5">
        <w:t>[</w:t>
      </w:r>
      <w:r w:rsidRPr="00B63BD5">
        <w:t>l</w:t>
      </w:r>
      <w:r w:rsidR="00564B0C" w:rsidRPr="00B63BD5">
        <w:t>’</w:t>
      </w:r>
      <w:r w:rsidRPr="00B63BD5">
        <w:t xml:space="preserve">Équivalent en dollars canadiens </w:t>
      </w:r>
      <w:r w:rsidR="001934B0" w:rsidRPr="00B63BD5">
        <w:rPr>
          <w:rStyle w:val="Prompt"/>
          <w:b/>
          <w:color w:val="00B0F0"/>
          <w:highlight w:val="yellow"/>
        </w:rPr>
        <w:t>OU</w:t>
      </w:r>
      <w:r w:rsidR="009270D2" w:rsidRPr="00B63BD5">
        <w:rPr>
          <w:b/>
        </w:rPr>
        <w:t xml:space="preserve"> </w:t>
      </w:r>
      <w:r w:rsidRPr="00B63BD5">
        <w:t>l</w:t>
      </w:r>
      <w:r w:rsidR="00564B0C" w:rsidRPr="00B63BD5">
        <w:t>’</w:t>
      </w:r>
      <w:r w:rsidRPr="00B63BD5">
        <w:t>Équivalent en dollars américains]</w:t>
      </w:r>
      <w:r w:rsidRPr="00B63BD5">
        <w:rPr>
          <w:b/>
        </w:rPr>
        <w:t xml:space="preserve"> </w:t>
      </w:r>
      <w:r w:rsidRPr="00B63BD5">
        <w:t>de</w:t>
      </w:r>
      <w:r w:rsidR="001F7623" w:rsidRPr="00B63BD5">
        <w:t xml:space="preserve"> toutes les</w:t>
      </w:r>
      <w:r w:rsidR="00BF6223" w:rsidRPr="00B63BD5">
        <w:t xml:space="preserve"> sommes</w:t>
      </w:r>
      <w:r w:rsidR="001F7623" w:rsidRPr="00B63BD5">
        <w:t xml:space="preserve"> </w:t>
      </w:r>
      <w:r w:rsidR="00194AF1" w:rsidRPr="00B63BD5">
        <w:t>avancées et</w:t>
      </w:r>
      <w:r w:rsidR="00B056F9" w:rsidRPr="00B63BD5">
        <w:t xml:space="preserve"> </w:t>
      </w:r>
      <w:r w:rsidR="001F7623" w:rsidRPr="00B63BD5">
        <w:t>de</w:t>
      </w:r>
      <w:r w:rsidR="00B056F9" w:rsidRPr="00B63BD5">
        <w:t xml:space="preserve"> </w:t>
      </w:r>
      <w:r w:rsidR="001F7623" w:rsidRPr="00B63BD5">
        <w:t>tous</w:t>
      </w:r>
      <w:r w:rsidR="00B056F9" w:rsidRPr="00B63BD5">
        <w:t xml:space="preserve"> </w:t>
      </w:r>
      <w:r w:rsidR="001F7623" w:rsidRPr="00B63BD5">
        <w:t>les</w:t>
      </w:r>
      <w:r w:rsidR="00B056F9" w:rsidRPr="00B63BD5">
        <w:t xml:space="preserve"> </w:t>
      </w:r>
      <w:r w:rsidRPr="00B63BD5">
        <w:t xml:space="preserve">crédits </w:t>
      </w:r>
      <w:r w:rsidR="001F7623" w:rsidRPr="00B63BD5">
        <w:t xml:space="preserve">impayés </w:t>
      </w:r>
      <w:r w:rsidR="00194AF1" w:rsidRPr="00B63BD5">
        <w:t>(y</w:t>
      </w:r>
      <w:r w:rsidR="00AC4107" w:rsidRPr="00B63BD5">
        <w:t xml:space="preserve"> </w:t>
      </w:r>
      <w:r w:rsidR="00194AF1" w:rsidRPr="00B63BD5">
        <w:t xml:space="preserve">compris </w:t>
      </w:r>
      <w:r w:rsidRPr="00B63BD5">
        <w:t>la valeur nominale des Acceptations bancaires, des</w:t>
      </w:r>
      <w:r w:rsidR="00F72B2D" w:rsidRPr="00B63BD5">
        <w:t xml:space="preserve"> </w:t>
      </w:r>
      <w:r w:rsidR="00194AF1" w:rsidRPr="00B63BD5">
        <w:t>Crédits</w:t>
      </w:r>
      <w:r w:rsidR="00F72B2D" w:rsidRPr="00B63BD5">
        <w:t xml:space="preserve"> </w:t>
      </w:r>
      <w:r w:rsidR="00194AF1" w:rsidRPr="00B63BD5">
        <w:t>documentaires et de</w:t>
      </w:r>
      <w:r w:rsidRPr="00B63BD5">
        <w:t>s</w:t>
      </w:r>
      <w:r w:rsidR="00194AF1" w:rsidRPr="00B63BD5">
        <w:t xml:space="preserve"> Lettre</w:t>
      </w:r>
      <w:r w:rsidR="00CD69E6" w:rsidRPr="00B63BD5">
        <w:t>s</w:t>
      </w:r>
      <w:r w:rsidR="00194AF1" w:rsidRPr="00B63BD5">
        <w:t xml:space="preserve"> de garantie</w:t>
      </w:r>
      <w:r w:rsidRPr="00B63BD5">
        <w:t xml:space="preserve"> </w:t>
      </w:r>
      <w:r w:rsidR="001F7623" w:rsidRPr="00B63BD5">
        <w:t>émis et impayés</w:t>
      </w:r>
      <w:r w:rsidR="00194AF1" w:rsidRPr="00B63BD5">
        <w:t xml:space="preserve">) </w:t>
      </w:r>
      <w:r w:rsidR="004D64AF" w:rsidRPr="00B63BD5">
        <w:t xml:space="preserve">sur </w:t>
      </w:r>
      <w:r w:rsidR="00194AF1" w:rsidRPr="00B63BD5">
        <w:t xml:space="preserve">la Facilité de </w:t>
      </w:r>
      <w:r w:rsidR="00CD69E6" w:rsidRPr="00B63BD5">
        <w:t>crédit à</w:t>
      </w:r>
      <w:r w:rsidR="00F72B2D" w:rsidRPr="00B63BD5">
        <w:t xml:space="preserve"> </w:t>
      </w:r>
      <w:r w:rsidR="00CD69E6" w:rsidRPr="00B63BD5">
        <w:t>l</w:t>
      </w:r>
      <w:r w:rsidR="00564B0C" w:rsidRPr="00B63BD5">
        <w:t>’</w:t>
      </w:r>
      <w:r w:rsidR="00194AF1" w:rsidRPr="00B63BD5">
        <w:t xml:space="preserve">exploitation </w:t>
      </w:r>
      <w:r w:rsidR="001F7623" w:rsidRPr="00B63BD5">
        <w:t>n</w:t>
      </w:r>
      <w:r w:rsidR="00564B0C" w:rsidRPr="00B63BD5">
        <w:t>’</w:t>
      </w:r>
      <w:r w:rsidR="001F7623" w:rsidRPr="00B63BD5">
        <w:t xml:space="preserve">excède </w:t>
      </w:r>
      <w:r w:rsidR="00194AF1" w:rsidRPr="00B63BD5">
        <w:t>à aucun moment</w:t>
      </w:r>
      <w:r w:rsidRPr="00B63BD5">
        <w:t xml:space="preserve"> </w:t>
      </w:r>
      <w:r w:rsidR="0096746D" w:rsidRPr="00B63BD5">
        <w:t>le montant établi au paragraphe [1</w:t>
      </w:r>
      <w:r w:rsidR="007976D1" w:rsidRPr="00B63BD5">
        <w:t>.</w:t>
      </w:r>
      <w:r w:rsidR="0096746D" w:rsidRPr="00B63BD5">
        <w:t>1] ci-dessus</w:t>
      </w:r>
      <w:r w:rsidRPr="00B63BD5">
        <w:t>.</w:t>
      </w:r>
    </w:p>
    <w:p w14:paraId="409BFFF0" w14:textId="2B0BAEFF" w:rsidR="009926E7" w:rsidRPr="00B63BD5" w:rsidRDefault="00764488" w:rsidP="00632863">
      <w:pPr>
        <w:spacing w:after="240"/>
        <w:jc w:val="both"/>
        <w:rPr>
          <w:lang w:val="fr-CA"/>
        </w:rPr>
      </w:pPr>
      <w:r w:rsidRPr="00B63BD5">
        <w:rPr>
          <w:b/>
          <w:color w:val="00B0F0"/>
          <w:lang w:val="fr-CA"/>
        </w:rPr>
        <w:t>[</w:t>
      </w:r>
      <w:r w:rsidR="002E294C" w:rsidRPr="00B63BD5">
        <w:rPr>
          <w:b/>
          <w:color w:val="00B0F0"/>
          <w:lang w:val="fr-CA"/>
        </w:rPr>
        <w:t>S</w:t>
      </w:r>
      <w:r w:rsidR="00564B0C" w:rsidRPr="00B63BD5">
        <w:rPr>
          <w:b/>
          <w:color w:val="00B0F0"/>
          <w:lang w:val="fr-CA"/>
        </w:rPr>
        <w:t>’</w:t>
      </w:r>
      <w:r w:rsidR="002E294C" w:rsidRPr="00B63BD5">
        <w:rPr>
          <w:b/>
          <w:color w:val="00B0F0"/>
          <w:lang w:val="fr-CA"/>
        </w:rPr>
        <w:t>il y a plusieurs Emprunteurs</w:t>
      </w:r>
      <w:r w:rsidR="00AC4107" w:rsidRPr="00B63BD5">
        <w:rPr>
          <w:b/>
          <w:color w:val="00B0F0"/>
          <w:lang w:val="fr-CA"/>
        </w:rPr>
        <w:t xml:space="preserve"> </w:t>
      </w:r>
      <w:r w:rsidR="002E294C" w:rsidRPr="00B63BD5">
        <w:rPr>
          <w:b/>
          <w:color w:val="00B0F0"/>
          <w:lang w:val="fr-CA"/>
        </w:rPr>
        <w:t>:</w:t>
      </w:r>
      <w:r w:rsidR="00802709" w:rsidRPr="00B63BD5">
        <w:rPr>
          <w:b/>
          <w:color w:val="00B0F0"/>
          <w:lang w:val="fr-CA"/>
        </w:rPr>
        <w:t>]</w:t>
      </w:r>
      <w:r w:rsidR="002E294C" w:rsidRPr="00B63BD5">
        <w:rPr>
          <w:b/>
          <w:lang w:val="fr-CA"/>
        </w:rPr>
        <w:t xml:space="preserve"> </w:t>
      </w:r>
      <w:r w:rsidR="002E294C" w:rsidRPr="00B63BD5">
        <w:rPr>
          <w:lang w:val="fr-CA"/>
        </w:rPr>
        <w:t>Les Emprunteurs doivent s</w:t>
      </w:r>
      <w:r w:rsidR="00564B0C" w:rsidRPr="00B63BD5">
        <w:rPr>
          <w:lang w:val="fr-CA"/>
        </w:rPr>
        <w:t>’</w:t>
      </w:r>
      <w:r w:rsidR="002E294C" w:rsidRPr="00B63BD5">
        <w:rPr>
          <w:lang w:val="fr-CA"/>
        </w:rPr>
        <w:t xml:space="preserve">assurer que </w:t>
      </w:r>
      <w:r w:rsidR="000805AE" w:rsidRPr="00B63BD5">
        <w:rPr>
          <w:lang w:val="fr-CA"/>
        </w:rPr>
        <w:t>[</w:t>
      </w:r>
      <w:r w:rsidR="002E294C" w:rsidRPr="00B63BD5">
        <w:rPr>
          <w:lang w:val="fr-CA"/>
        </w:rPr>
        <w:t>l</w:t>
      </w:r>
      <w:r w:rsidR="00564B0C" w:rsidRPr="00B63BD5">
        <w:rPr>
          <w:lang w:val="fr-CA"/>
        </w:rPr>
        <w:t>’</w:t>
      </w:r>
      <w:r w:rsidR="002E294C" w:rsidRPr="00B63BD5">
        <w:rPr>
          <w:lang w:val="fr-CA"/>
        </w:rPr>
        <w:t xml:space="preserve">Équivalent en dollars canadiens </w:t>
      </w:r>
      <w:r w:rsidR="001934B0" w:rsidRPr="00B63BD5">
        <w:rPr>
          <w:rStyle w:val="Prompt"/>
          <w:b/>
          <w:color w:val="00B0F0"/>
          <w:highlight w:val="yellow"/>
          <w:lang w:val="fr-CA"/>
        </w:rPr>
        <w:t>OU</w:t>
      </w:r>
      <w:r w:rsidR="000805AE" w:rsidRPr="00B63BD5">
        <w:rPr>
          <w:lang w:val="fr-CA"/>
        </w:rPr>
        <w:t xml:space="preserve"> </w:t>
      </w:r>
      <w:r w:rsidR="002E294C" w:rsidRPr="00B63BD5">
        <w:rPr>
          <w:lang w:val="fr-CA"/>
        </w:rPr>
        <w:t>l</w:t>
      </w:r>
      <w:r w:rsidR="00564B0C" w:rsidRPr="00B63BD5">
        <w:rPr>
          <w:lang w:val="fr-CA"/>
        </w:rPr>
        <w:t>’</w:t>
      </w:r>
      <w:r w:rsidR="002E294C" w:rsidRPr="00B63BD5">
        <w:rPr>
          <w:lang w:val="fr-CA"/>
        </w:rPr>
        <w:t>Équivalent en dollars américains]</w:t>
      </w:r>
      <w:r w:rsidR="002E294C" w:rsidRPr="00B63BD5">
        <w:rPr>
          <w:b/>
          <w:lang w:val="fr-CA"/>
        </w:rPr>
        <w:t xml:space="preserve"> </w:t>
      </w:r>
      <w:r w:rsidR="002E294C" w:rsidRPr="00B63BD5">
        <w:rPr>
          <w:lang w:val="fr-CA"/>
        </w:rPr>
        <w:t>de</w:t>
      </w:r>
      <w:r w:rsidR="001F7623" w:rsidRPr="00B63BD5">
        <w:rPr>
          <w:lang w:val="fr-CA"/>
        </w:rPr>
        <w:t xml:space="preserve"> toutes les </w:t>
      </w:r>
      <w:r w:rsidR="00BF6223" w:rsidRPr="00B63BD5">
        <w:rPr>
          <w:lang w:val="fr-CA"/>
        </w:rPr>
        <w:t xml:space="preserve">sommes </w:t>
      </w:r>
      <w:r w:rsidR="002E294C" w:rsidRPr="00B63BD5">
        <w:rPr>
          <w:lang w:val="fr-CA"/>
        </w:rPr>
        <w:t>avancées et de</w:t>
      </w:r>
      <w:r w:rsidR="001F7623" w:rsidRPr="00B63BD5">
        <w:rPr>
          <w:lang w:val="fr-CA"/>
        </w:rPr>
        <w:t xml:space="preserve"> tous les </w:t>
      </w:r>
      <w:r w:rsidR="002E294C" w:rsidRPr="00B63BD5">
        <w:rPr>
          <w:lang w:val="fr-CA"/>
        </w:rPr>
        <w:t xml:space="preserve">crédits </w:t>
      </w:r>
      <w:r w:rsidR="001F7623" w:rsidRPr="00B63BD5">
        <w:rPr>
          <w:lang w:val="fr-CA"/>
        </w:rPr>
        <w:t xml:space="preserve">impayés </w:t>
      </w:r>
      <w:r w:rsidR="002E294C" w:rsidRPr="00B63BD5">
        <w:rPr>
          <w:lang w:val="fr-CA"/>
        </w:rPr>
        <w:t>(y</w:t>
      </w:r>
      <w:r w:rsidR="00B056F9" w:rsidRPr="00B63BD5">
        <w:rPr>
          <w:lang w:val="fr-CA"/>
        </w:rPr>
        <w:t xml:space="preserve"> </w:t>
      </w:r>
      <w:r w:rsidR="002E294C" w:rsidRPr="00B63BD5">
        <w:rPr>
          <w:lang w:val="fr-CA"/>
        </w:rPr>
        <w:t>compris la valeur nominale des Acceptations bancaires, des Crédits documentaires et</w:t>
      </w:r>
      <w:r w:rsidR="00B056F9" w:rsidRPr="00B63BD5">
        <w:rPr>
          <w:lang w:val="fr-CA"/>
        </w:rPr>
        <w:t xml:space="preserve"> </w:t>
      </w:r>
      <w:r w:rsidR="002E294C" w:rsidRPr="00B63BD5">
        <w:rPr>
          <w:lang w:val="fr-CA"/>
        </w:rPr>
        <w:t>des</w:t>
      </w:r>
      <w:r w:rsidR="00B056F9" w:rsidRPr="00B63BD5">
        <w:rPr>
          <w:lang w:val="fr-CA"/>
        </w:rPr>
        <w:t xml:space="preserve"> </w:t>
      </w:r>
      <w:r w:rsidR="002E294C" w:rsidRPr="00B63BD5">
        <w:rPr>
          <w:lang w:val="fr-CA"/>
        </w:rPr>
        <w:t xml:space="preserve">Lettres de garantie </w:t>
      </w:r>
      <w:r w:rsidR="001F7623" w:rsidRPr="00B63BD5">
        <w:rPr>
          <w:lang w:val="fr-CA"/>
        </w:rPr>
        <w:t>émis et impayés</w:t>
      </w:r>
      <w:r w:rsidR="002E294C" w:rsidRPr="00B63BD5">
        <w:rPr>
          <w:lang w:val="fr-CA"/>
        </w:rPr>
        <w:t>) sur la Facilité de crédit à l</w:t>
      </w:r>
      <w:r w:rsidR="00564B0C" w:rsidRPr="00B63BD5">
        <w:rPr>
          <w:lang w:val="fr-CA"/>
        </w:rPr>
        <w:t>’</w:t>
      </w:r>
      <w:r w:rsidR="002E294C" w:rsidRPr="00B63BD5">
        <w:rPr>
          <w:lang w:val="fr-CA"/>
        </w:rPr>
        <w:t xml:space="preserve">exploitation </w:t>
      </w:r>
      <w:r w:rsidR="001F7623" w:rsidRPr="00B63BD5">
        <w:rPr>
          <w:lang w:val="fr-CA"/>
        </w:rPr>
        <w:t>n</w:t>
      </w:r>
      <w:r w:rsidR="00564B0C" w:rsidRPr="00B63BD5">
        <w:rPr>
          <w:lang w:val="fr-CA"/>
        </w:rPr>
        <w:t>’</w:t>
      </w:r>
      <w:r w:rsidR="001F7623" w:rsidRPr="00B63BD5">
        <w:rPr>
          <w:lang w:val="fr-CA"/>
        </w:rPr>
        <w:t xml:space="preserve">excède </w:t>
      </w:r>
      <w:r w:rsidR="002E294C" w:rsidRPr="00B63BD5">
        <w:rPr>
          <w:lang w:val="fr-CA"/>
        </w:rPr>
        <w:t>à</w:t>
      </w:r>
      <w:r w:rsidR="00AB0594" w:rsidRPr="00B63BD5">
        <w:rPr>
          <w:lang w:val="fr-CA"/>
        </w:rPr>
        <w:t xml:space="preserve"> </w:t>
      </w:r>
      <w:r w:rsidR="002E294C" w:rsidRPr="00B63BD5">
        <w:rPr>
          <w:lang w:val="fr-CA"/>
        </w:rPr>
        <w:t>aucun</w:t>
      </w:r>
      <w:r w:rsidR="00AB0594" w:rsidRPr="00B63BD5">
        <w:rPr>
          <w:lang w:val="fr-CA"/>
        </w:rPr>
        <w:t xml:space="preserve"> </w:t>
      </w:r>
      <w:r w:rsidR="002E294C" w:rsidRPr="00B63BD5">
        <w:rPr>
          <w:lang w:val="fr-CA"/>
        </w:rPr>
        <w:t>moment la somme dont ils disposent respectivement</w:t>
      </w:r>
      <w:r w:rsidR="00830777" w:rsidRPr="00B63BD5">
        <w:rPr>
          <w:lang w:val="fr-CA"/>
        </w:rPr>
        <w:t>,</w:t>
      </w:r>
      <w:r w:rsidR="002E294C" w:rsidRPr="00B63BD5">
        <w:rPr>
          <w:lang w:val="fr-CA"/>
        </w:rPr>
        <w:t xml:space="preserve"> </w:t>
      </w:r>
      <w:r w:rsidR="00830777" w:rsidRPr="00B63BD5">
        <w:rPr>
          <w:lang w:val="fr-CA"/>
        </w:rPr>
        <w:t xml:space="preserve">comme il </w:t>
      </w:r>
      <w:r w:rsidR="002E294C" w:rsidRPr="00B63BD5">
        <w:rPr>
          <w:lang w:val="fr-CA"/>
        </w:rPr>
        <w:t>est indiqué ci</w:t>
      </w:r>
      <w:r w:rsidR="002E294C" w:rsidRPr="00B63BD5">
        <w:rPr>
          <w:lang w:val="fr-CA"/>
        </w:rPr>
        <w:noBreakHyphen/>
        <w:t>dessus</w:t>
      </w:r>
      <w:r w:rsidR="00830777" w:rsidRPr="00B63BD5">
        <w:rPr>
          <w:lang w:val="fr-CA"/>
        </w:rPr>
        <w:t>,</w:t>
      </w:r>
      <w:r w:rsidR="002E294C" w:rsidRPr="00B63BD5">
        <w:rPr>
          <w:lang w:val="fr-CA"/>
        </w:rPr>
        <w:t xml:space="preserve"> et</w:t>
      </w:r>
      <w:r w:rsidR="00AB0594" w:rsidRPr="00B63BD5">
        <w:rPr>
          <w:lang w:val="fr-CA"/>
        </w:rPr>
        <w:t xml:space="preserve"> </w:t>
      </w:r>
      <w:r w:rsidR="002E294C" w:rsidRPr="00B63BD5">
        <w:rPr>
          <w:lang w:val="fr-CA"/>
        </w:rPr>
        <w:t>que</w:t>
      </w:r>
      <w:r w:rsidR="00AB0594" w:rsidRPr="00B63BD5">
        <w:rPr>
          <w:lang w:val="fr-CA"/>
        </w:rPr>
        <w:t xml:space="preserve"> </w:t>
      </w:r>
      <w:r w:rsidR="002E294C" w:rsidRPr="00B63BD5">
        <w:rPr>
          <w:lang w:val="fr-CA"/>
        </w:rPr>
        <w:t>le</w:t>
      </w:r>
      <w:r w:rsidR="00AB0594" w:rsidRPr="00B63BD5">
        <w:rPr>
          <w:lang w:val="fr-CA"/>
        </w:rPr>
        <w:t xml:space="preserve"> </w:t>
      </w:r>
      <w:r w:rsidR="00194AF1" w:rsidRPr="00B63BD5">
        <w:rPr>
          <w:lang w:val="fr-CA"/>
        </w:rPr>
        <w:t xml:space="preserve">montant </w:t>
      </w:r>
      <w:r w:rsidR="00830777" w:rsidRPr="00B63BD5">
        <w:rPr>
          <w:lang w:val="fr-CA"/>
        </w:rPr>
        <w:t xml:space="preserve">global </w:t>
      </w:r>
      <w:r w:rsidR="002E294C" w:rsidRPr="00B63BD5">
        <w:rPr>
          <w:lang w:val="fr-CA"/>
        </w:rPr>
        <w:t xml:space="preserve">de </w:t>
      </w:r>
      <w:r w:rsidR="00E72FBE" w:rsidRPr="00B63BD5">
        <w:rPr>
          <w:lang w:val="fr-CA"/>
        </w:rPr>
        <w:t xml:space="preserve">toutes les </w:t>
      </w:r>
      <w:r w:rsidR="002E294C" w:rsidRPr="00B63BD5">
        <w:rPr>
          <w:lang w:val="fr-CA"/>
        </w:rPr>
        <w:t xml:space="preserve">sommes avancées et </w:t>
      </w:r>
      <w:r w:rsidR="00E72FBE" w:rsidRPr="00B63BD5">
        <w:rPr>
          <w:lang w:val="fr-CA"/>
        </w:rPr>
        <w:t xml:space="preserve">de tous les </w:t>
      </w:r>
      <w:r w:rsidR="002E294C" w:rsidRPr="00B63BD5">
        <w:rPr>
          <w:lang w:val="fr-CA"/>
        </w:rPr>
        <w:t xml:space="preserve">crédits </w:t>
      </w:r>
      <w:r w:rsidR="001F7623" w:rsidRPr="00B63BD5">
        <w:rPr>
          <w:lang w:val="fr-CA"/>
        </w:rPr>
        <w:t>impayés n</w:t>
      </w:r>
      <w:r w:rsidR="00564B0C" w:rsidRPr="00B63BD5">
        <w:rPr>
          <w:lang w:val="fr-CA"/>
        </w:rPr>
        <w:t>’</w:t>
      </w:r>
      <w:r w:rsidR="001F7623" w:rsidRPr="00B63BD5">
        <w:rPr>
          <w:lang w:val="fr-CA"/>
        </w:rPr>
        <w:t xml:space="preserve">excède </w:t>
      </w:r>
      <w:r w:rsidR="002E294C" w:rsidRPr="00B63BD5">
        <w:rPr>
          <w:lang w:val="fr-CA"/>
        </w:rPr>
        <w:t>à a</w:t>
      </w:r>
      <w:r w:rsidR="00802709" w:rsidRPr="00B63BD5">
        <w:rPr>
          <w:lang w:val="fr-CA"/>
        </w:rPr>
        <w:t xml:space="preserve">ucun moment </w:t>
      </w:r>
      <w:r w:rsidR="0096746D" w:rsidRPr="00B63BD5">
        <w:rPr>
          <w:lang w:val="fr-CA"/>
        </w:rPr>
        <w:t>le montant établi au paragraphe [1</w:t>
      </w:r>
      <w:r w:rsidR="00F72B2D" w:rsidRPr="00B63BD5">
        <w:rPr>
          <w:lang w:val="fr-CA"/>
        </w:rPr>
        <w:t>.</w:t>
      </w:r>
      <w:r w:rsidR="0096746D" w:rsidRPr="00B63BD5">
        <w:rPr>
          <w:lang w:val="fr-CA"/>
        </w:rPr>
        <w:t>1] ci-dessus</w:t>
      </w:r>
      <w:r w:rsidR="00802709" w:rsidRPr="00B63BD5">
        <w:rPr>
          <w:lang w:val="fr-CA"/>
        </w:rPr>
        <w:t>.</w:t>
      </w:r>
    </w:p>
    <w:p w14:paraId="3BB670CE" w14:textId="0CE97A73" w:rsidR="009926E7" w:rsidRPr="00B63BD5" w:rsidRDefault="009926E7" w:rsidP="00D33630">
      <w:pPr>
        <w:pStyle w:val="04LOLglNew2"/>
      </w:pPr>
      <w:r w:rsidRPr="00B63BD5">
        <w:t>Re</w:t>
      </w:r>
      <w:r w:rsidR="00194AF1" w:rsidRPr="00B63BD5">
        <w:t>mboursement</w:t>
      </w:r>
    </w:p>
    <w:p w14:paraId="611267C6" w14:textId="165CECF2" w:rsidR="004B3461" w:rsidRPr="00B63BD5" w:rsidRDefault="004B3461" w:rsidP="00632863">
      <w:pPr>
        <w:keepNext/>
        <w:spacing w:after="240"/>
        <w:jc w:val="both"/>
        <w:rPr>
          <w:b/>
          <w:color w:val="00B0F0"/>
          <w:lang w:val="fr-CA"/>
        </w:rPr>
      </w:pPr>
      <w:r w:rsidRPr="00B63BD5">
        <w:rPr>
          <w:b/>
          <w:color w:val="00B0F0"/>
          <w:highlight w:val="yellow"/>
          <w:lang w:val="fr-CA"/>
        </w:rPr>
        <w:t>[</w:t>
      </w:r>
      <w:r w:rsidR="00EC3CB5" w:rsidRPr="00B63BD5">
        <w:rPr>
          <w:b/>
          <w:color w:val="00B0F0"/>
          <w:highlight w:val="yellow"/>
          <w:lang w:val="fr-CA"/>
        </w:rPr>
        <w:t>N.B. :</w:t>
      </w:r>
      <w:r w:rsidRPr="00B63BD5">
        <w:rPr>
          <w:b/>
          <w:color w:val="00B0F0"/>
          <w:highlight w:val="yellow"/>
          <w:lang w:val="fr-CA"/>
        </w:rPr>
        <w:t xml:space="preserve"> </w:t>
      </w:r>
      <w:r w:rsidR="00194AF1" w:rsidRPr="00B63BD5">
        <w:rPr>
          <w:b/>
          <w:color w:val="00B0F0"/>
          <w:highlight w:val="yellow"/>
          <w:u w:val="single"/>
          <w:lang w:val="fr-CA"/>
        </w:rPr>
        <w:t>Ne pas</w:t>
      </w:r>
      <w:r w:rsidR="00194AF1" w:rsidRPr="00B63BD5">
        <w:rPr>
          <w:b/>
          <w:color w:val="00B0F0"/>
          <w:highlight w:val="yellow"/>
          <w:lang w:val="fr-CA"/>
        </w:rPr>
        <w:t xml:space="preserve"> modifier l</w:t>
      </w:r>
      <w:r w:rsidR="00CB2CDB" w:rsidRPr="00B63BD5">
        <w:rPr>
          <w:b/>
          <w:color w:val="00B0F0"/>
          <w:highlight w:val="yellow"/>
          <w:lang w:val="fr-CA"/>
        </w:rPr>
        <w:t xml:space="preserve">a </w:t>
      </w:r>
      <w:r w:rsidR="004D64AF" w:rsidRPr="00B63BD5">
        <w:rPr>
          <w:b/>
          <w:color w:val="00B0F0"/>
          <w:highlight w:val="yellow"/>
          <w:lang w:val="fr-CA"/>
        </w:rPr>
        <w:t xml:space="preserve">substance </w:t>
      </w:r>
      <w:r w:rsidR="00194AF1" w:rsidRPr="00B63BD5">
        <w:rPr>
          <w:b/>
          <w:color w:val="00B0F0"/>
          <w:highlight w:val="yellow"/>
          <w:lang w:val="fr-CA"/>
        </w:rPr>
        <w:t>de</w:t>
      </w:r>
      <w:r w:rsidR="001500FE" w:rsidRPr="00B63BD5">
        <w:rPr>
          <w:b/>
          <w:color w:val="00B0F0"/>
          <w:highlight w:val="yellow"/>
          <w:lang w:val="fr-CA"/>
        </w:rPr>
        <w:t>s</w:t>
      </w:r>
      <w:r w:rsidR="00194AF1" w:rsidRPr="00B63BD5">
        <w:rPr>
          <w:b/>
          <w:color w:val="00B0F0"/>
          <w:highlight w:val="yellow"/>
          <w:lang w:val="fr-CA"/>
        </w:rPr>
        <w:t xml:space="preserve"> disposition</w:t>
      </w:r>
      <w:r w:rsidR="001500FE" w:rsidRPr="00B63BD5">
        <w:rPr>
          <w:b/>
          <w:color w:val="00B0F0"/>
          <w:highlight w:val="yellow"/>
          <w:lang w:val="fr-CA"/>
        </w:rPr>
        <w:t>s</w:t>
      </w:r>
      <w:r w:rsidR="00194AF1" w:rsidRPr="00B63BD5">
        <w:rPr>
          <w:b/>
          <w:color w:val="00B0F0"/>
          <w:highlight w:val="yellow"/>
          <w:lang w:val="fr-CA"/>
        </w:rPr>
        <w:t xml:space="preserve"> suivante</w:t>
      </w:r>
      <w:r w:rsidR="001500FE" w:rsidRPr="00B63BD5">
        <w:rPr>
          <w:b/>
          <w:color w:val="00B0F0"/>
          <w:highlight w:val="yellow"/>
          <w:lang w:val="fr-CA"/>
        </w:rPr>
        <w:t>s</w:t>
      </w:r>
      <w:r w:rsidR="00194AF1" w:rsidRPr="00B63BD5">
        <w:rPr>
          <w:b/>
          <w:color w:val="00B0F0"/>
          <w:highlight w:val="yellow"/>
          <w:lang w:val="fr-CA"/>
        </w:rPr>
        <w:t xml:space="preserve"> sans le consentement préalable </w:t>
      </w:r>
      <w:r w:rsidR="00194AF1" w:rsidRPr="00B63BD5">
        <w:rPr>
          <w:b/>
          <w:color w:val="00B0F0"/>
          <w:spacing w:val="-4"/>
          <w:highlight w:val="yellow"/>
          <w:lang w:val="fr-CA"/>
        </w:rPr>
        <w:t>du</w:t>
      </w:r>
      <w:r w:rsidR="004152B4" w:rsidRPr="00B63BD5">
        <w:rPr>
          <w:b/>
          <w:color w:val="00B0F0"/>
          <w:spacing w:val="-4"/>
          <w:highlight w:val="yellow"/>
          <w:lang w:val="fr-CA"/>
        </w:rPr>
        <w:t> </w:t>
      </w:r>
      <w:r w:rsidR="00194AF1" w:rsidRPr="00B63BD5">
        <w:rPr>
          <w:b/>
          <w:color w:val="00B0F0"/>
          <w:spacing w:val="-4"/>
          <w:highlight w:val="yellow"/>
          <w:lang w:val="fr-CA"/>
        </w:rPr>
        <w:t>service du crédit de la Banque</w:t>
      </w:r>
      <w:r w:rsidR="00F82402" w:rsidRPr="00B63BD5">
        <w:rPr>
          <w:b/>
          <w:color w:val="00B0F0"/>
          <w:spacing w:val="-4"/>
          <w:highlight w:val="yellow"/>
          <w:lang w:val="fr-CA"/>
        </w:rPr>
        <w:t>.</w:t>
      </w:r>
      <w:r w:rsidR="001500FE" w:rsidRPr="00B63BD5">
        <w:rPr>
          <w:b/>
          <w:color w:val="00B0F0"/>
          <w:spacing w:val="-4"/>
          <w:highlight w:val="yellow"/>
          <w:lang w:val="fr-CA"/>
        </w:rPr>
        <w:t xml:space="preserve"> Supprimer les dispositions relatives aux facilités qui ne s</w:t>
      </w:r>
      <w:r w:rsidR="00564B0C" w:rsidRPr="00B63BD5">
        <w:rPr>
          <w:b/>
          <w:color w:val="00B0F0"/>
          <w:spacing w:val="-4"/>
          <w:highlight w:val="yellow"/>
          <w:lang w:val="fr-CA"/>
        </w:rPr>
        <w:t>’</w:t>
      </w:r>
      <w:r w:rsidR="001500FE" w:rsidRPr="00B63BD5">
        <w:rPr>
          <w:b/>
          <w:color w:val="00B0F0"/>
          <w:spacing w:val="-4"/>
          <w:highlight w:val="yellow"/>
          <w:lang w:val="fr-CA"/>
        </w:rPr>
        <w:t>appliquent</w:t>
      </w:r>
      <w:r w:rsidR="00A42897" w:rsidRPr="00B63BD5">
        <w:rPr>
          <w:b/>
          <w:color w:val="00B0F0"/>
          <w:spacing w:val="-4"/>
          <w:highlight w:val="yellow"/>
          <w:lang w:val="fr-CA"/>
        </w:rPr>
        <w:t> </w:t>
      </w:r>
      <w:r w:rsidR="001500FE" w:rsidRPr="00B63BD5">
        <w:rPr>
          <w:b/>
          <w:color w:val="00B0F0"/>
          <w:spacing w:val="-4"/>
          <w:highlight w:val="yellow"/>
          <w:lang w:val="fr-CA"/>
        </w:rPr>
        <w:t>pas.</w:t>
      </w:r>
      <w:r w:rsidRPr="00B63BD5">
        <w:rPr>
          <w:b/>
          <w:color w:val="00B0F0"/>
          <w:spacing w:val="-4"/>
          <w:highlight w:val="yellow"/>
          <w:lang w:val="fr-CA"/>
        </w:rPr>
        <w:t>]</w:t>
      </w:r>
    </w:p>
    <w:p w14:paraId="1A240813" w14:textId="4F79722F" w:rsidR="00C6086B" w:rsidRPr="00B63BD5" w:rsidRDefault="00194AF1" w:rsidP="00632863">
      <w:pPr>
        <w:spacing w:after="240"/>
        <w:jc w:val="both"/>
        <w:rPr>
          <w:lang w:val="fr-CA"/>
        </w:rPr>
      </w:pPr>
      <w:r w:rsidRPr="00B63BD5">
        <w:rPr>
          <w:lang w:val="fr-CA"/>
        </w:rPr>
        <w:t xml:space="preserve">Toutes les sommes avancées et impayées </w:t>
      </w:r>
      <w:r w:rsidR="004D64AF" w:rsidRPr="00B63BD5">
        <w:rPr>
          <w:lang w:val="fr-CA"/>
        </w:rPr>
        <w:t xml:space="preserve">sur </w:t>
      </w:r>
      <w:r w:rsidRPr="00B63BD5">
        <w:rPr>
          <w:lang w:val="fr-CA"/>
        </w:rPr>
        <w:t xml:space="preserve">la Facilité de </w:t>
      </w:r>
      <w:r w:rsidR="00F82402" w:rsidRPr="00B63BD5">
        <w:rPr>
          <w:lang w:val="fr-CA"/>
        </w:rPr>
        <w:t>crédit à l</w:t>
      </w:r>
      <w:r w:rsidR="00564B0C" w:rsidRPr="00B63BD5">
        <w:rPr>
          <w:lang w:val="fr-CA"/>
        </w:rPr>
        <w:t>’</w:t>
      </w:r>
      <w:r w:rsidRPr="00B63BD5">
        <w:rPr>
          <w:lang w:val="fr-CA"/>
        </w:rPr>
        <w:t xml:space="preserve">exploitation doivent être remboursées </w:t>
      </w:r>
      <w:r w:rsidR="00AB7F9B" w:rsidRPr="00B63BD5">
        <w:rPr>
          <w:lang w:val="fr-CA"/>
        </w:rPr>
        <w:t xml:space="preserve">sur demande de </w:t>
      </w:r>
      <w:r w:rsidRPr="00B63BD5">
        <w:rPr>
          <w:lang w:val="fr-CA"/>
        </w:rPr>
        <w:t>la Banque.</w:t>
      </w:r>
      <w:r w:rsidR="00B61074" w:rsidRPr="00B63BD5">
        <w:rPr>
          <w:lang w:val="fr-CA"/>
        </w:rPr>
        <w:t xml:space="preserve"> </w:t>
      </w:r>
    </w:p>
    <w:p w14:paraId="18BED12E" w14:textId="41B8421A" w:rsidR="00B65774" w:rsidRPr="00B63BD5" w:rsidRDefault="00B65774" w:rsidP="00632863">
      <w:pPr>
        <w:spacing w:after="240"/>
        <w:jc w:val="both"/>
        <w:rPr>
          <w:lang w:val="fr-CA"/>
        </w:rPr>
      </w:pPr>
      <w:r w:rsidRPr="00B63BD5">
        <w:rPr>
          <w:lang w:val="fr-CA"/>
        </w:rPr>
        <w:t>Jusqu</w:t>
      </w:r>
      <w:r w:rsidR="00564B0C" w:rsidRPr="00B63BD5">
        <w:rPr>
          <w:lang w:val="fr-CA"/>
        </w:rPr>
        <w:t>’</w:t>
      </w:r>
      <w:r w:rsidRPr="00B63BD5">
        <w:rPr>
          <w:lang w:val="fr-CA"/>
        </w:rPr>
        <w:t>à ce que la Banque demande le remboursement, et sous réserve des dispositions de la présente Lettre relative aux facilités, chaque Avance sur l</w:t>
      </w:r>
      <w:r w:rsidR="00564B0C" w:rsidRPr="00B63BD5">
        <w:rPr>
          <w:lang w:val="fr-CA"/>
        </w:rPr>
        <w:t>’</w:t>
      </w:r>
      <w:r w:rsidRPr="00B63BD5">
        <w:rPr>
          <w:lang w:val="fr-CA"/>
        </w:rPr>
        <w:t>acceptation bancaire doit être remboursée à l</w:t>
      </w:r>
      <w:r w:rsidR="00564B0C" w:rsidRPr="00B63BD5">
        <w:rPr>
          <w:lang w:val="fr-CA"/>
        </w:rPr>
        <w:t>’</w:t>
      </w:r>
      <w:r w:rsidRPr="00B63BD5">
        <w:rPr>
          <w:lang w:val="fr-CA"/>
        </w:rPr>
        <w:t>échéance de l</w:t>
      </w:r>
      <w:r w:rsidR="00564B0C" w:rsidRPr="00B63BD5">
        <w:rPr>
          <w:lang w:val="fr-CA"/>
        </w:rPr>
        <w:t>’</w:t>
      </w:r>
      <w:r w:rsidRPr="00B63BD5">
        <w:rPr>
          <w:lang w:val="fr-CA"/>
        </w:rPr>
        <w:t>Acceptation bancaire applicable.</w:t>
      </w:r>
    </w:p>
    <w:p w14:paraId="73567F04" w14:textId="06E83B9E" w:rsidR="009926E7" w:rsidRPr="00B63BD5" w:rsidRDefault="00B40402" w:rsidP="00632863">
      <w:pPr>
        <w:spacing w:after="240"/>
        <w:jc w:val="both"/>
        <w:rPr>
          <w:lang w:val="fr-CA"/>
        </w:rPr>
      </w:pPr>
      <w:r w:rsidRPr="00B63BD5">
        <w:rPr>
          <w:lang w:val="fr-CA"/>
        </w:rPr>
        <w:t>Jusqu</w:t>
      </w:r>
      <w:r w:rsidR="00564B0C" w:rsidRPr="00B63BD5">
        <w:rPr>
          <w:lang w:val="fr-CA"/>
        </w:rPr>
        <w:t>’</w:t>
      </w:r>
      <w:r w:rsidRPr="00B63BD5">
        <w:rPr>
          <w:lang w:val="fr-CA"/>
        </w:rPr>
        <w:t xml:space="preserve">à ce </w:t>
      </w:r>
      <w:r w:rsidR="004A719E" w:rsidRPr="00B63BD5">
        <w:rPr>
          <w:lang w:val="fr-CA"/>
        </w:rPr>
        <w:t>qu</w:t>
      </w:r>
      <w:r w:rsidR="00B22DEC" w:rsidRPr="00B63BD5">
        <w:rPr>
          <w:lang w:val="fr-CA"/>
        </w:rPr>
        <w:t>e la Banque demande le remboursement</w:t>
      </w:r>
      <w:r w:rsidR="004A719E" w:rsidRPr="00B63BD5">
        <w:rPr>
          <w:lang w:val="fr-CA"/>
        </w:rPr>
        <w:t>,</w:t>
      </w:r>
      <w:r w:rsidRPr="00B63BD5">
        <w:rPr>
          <w:lang w:val="fr-CA"/>
        </w:rPr>
        <w:t xml:space="preserve"> et</w:t>
      </w:r>
      <w:r w:rsidR="004A719E" w:rsidRPr="00B63BD5">
        <w:rPr>
          <w:lang w:val="fr-CA"/>
        </w:rPr>
        <w:t xml:space="preserve"> sous réserve des dispositions de</w:t>
      </w:r>
      <w:r w:rsidR="00B056F9" w:rsidRPr="00B63BD5">
        <w:rPr>
          <w:lang w:val="fr-CA"/>
        </w:rPr>
        <w:t xml:space="preserve"> </w:t>
      </w:r>
      <w:r w:rsidR="004A719E" w:rsidRPr="00B63BD5">
        <w:rPr>
          <w:lang w:val="fr-CA"/>
        </w:rPr>
        <w:t>la</w:t>
      </w:r>
      <w:r w:rsidR="00B056F9" w:rsidRPr="00B63BD5">
        <w:rPr>
          <w:lang w:val="fr-CA"/>
        </w:rPr>
        <w:t xml:space="preserve"> </w:t>
      </w:r>
      <w:r w:rsidR="004A719E" w:rsidRPr="00B63BD5">
        <w:rPr>
          <w:lang w:val="fr-CA"/>
        </w:rPr>
        <w:t>présente</w:t>
      </w:r>
      <w:r w:rsidR="00B056F9" w:rsidRPr="00B63BD5">
        <w:rPr>
          <w:lang w:val="fr-CA"/>
        </w:rPr>
        <w:t xml:space="preserve"> </w:t>
      </w:r>
      <w:r w:rsidR="004A719E" w:rsidRPr="00B63BD5">
        <w:rPr>
          <w:lang w:val="fr-CA"/>
        </w:rPr>
        <w:t xml:space="preserve">Lettre relative aux facilités, chaque </w:t>
      </w:r>
      <w:r w:rsidR="00982DB6" w:rsidRPr="00B63BD5">
        <w:rPr>
          <w:lang w:val="fr-CA"/>
        </w:rPr>
        <w:t xml:space="preserve">Prêt au taux </w:t>
      </w:r>
      <w:r w:rsidR="00DB204C" w:rsidRPr="00B63BD5">
        <w:rPr>
          <w:lang w:val="fr-CA"/>
        </w:rPr>
        <w:t xml:space="preserve">SOFR à terme </w:t>
      </w:r>
      <w:r w:rsidR="004B25DA" w:rsidRPr="00B63BD5">
        <w:rPr>
          <w:lang w:val="fr-CA"/>
        </w:rPr>
        <w:t>doit</w:t>
      </w:r>
      <w:r w:rsidR="004A719E" w:rsidRPr="00B63BD5">
        <w:rPr>
          <w:lang w:val="fr-CA"/>
        </w:rPr>
        <w:t xml:space="preserve"> </w:t>
      </w:r>
      <w:r w:rsidR="00B22DEC" w:rsidRPr="00B63BD5">
        <w:rPr>
          <w:lang w:val="fr-CA"/>
        </w:rPr>
        <w:t>être remboursé</w:t>
      </w:r>
      <w:r w:rsidR="004A719E" w:rsidRPr="00B63BD5">
        <w:rPr>
          <w:lang w:val="fr-CA"/>
        </w:rPr>
        <w:t xml:space="preserve"> à</w:t>
      </w:r>
      <w:r w:rsidR="00B056F9" w:rsidRPr="00B63BD5">
        <w:rPr>
          <w:lang w:val="fr-CA"/>
        </w:rPr>
        <w:t xml:space="preserve"> </w:t>
      </w:r>
      <w:r w:rsidR="004A719E" w:rsidRPr="00B63BD5">
        <w:rPr>
          <w:lang w:val="fr-CA"/>
        </w:rPr>
        <w:t>la</w:t>
      </w:r>
      <w:r w:rsidR="00B056F9" w:rsidRPr="00B63BD5">
        <w:rPr>
          <w:lang w:val="fr-CA"/>
        </w:rPr>
        <w:t xml:space="preserve"> </w:t>
      </w:r>
      <w:r w:rsidR="004A719E" w:rsidRPr="00B63BD5">
        <w:rPr>
          <w:lang w:val="fr-CA"/>
        </w:rPr>
        <w:t>fin</w:t>
      </w:r>
      <w:r w:rsidR="00B056F9" w:rsidRPr="00B63BD5">
        <w:rPr>
          <w:lang w:val="fr-CA"/>
        </w:rPr>
        <w:t xml:space="preserve"> </w:t>
      </w:r>
      <w:r w:rsidR="004A719E" w:rsidRPr="00B63BD5">
        <w:rPr>
          <w:lang w:val="fr-CA"/>
        </w:rPr>
        <w:t xml:space="preserve">de la Période </w:t>
      </w:r>
      <w:r w:rsidR="00DB204C" w:rsidRPr="00B63BD5">
        <w:rPr>
          <w:lang w:val="fr-CA"/>
        </w:rPr>
        <w:t>SOFR</w:t>
      </w:r>
      <w:r w:rsidR="00780C5D" w:rsidRPr="00B63BD5">
        <w:rPr>
          <w:lang w:val="fr-CA"/>
        </w:rPr>
        <w:t>.</w:t>
      </w:r>
    </w:p>
    <w:p w14:paraId="0724A8C6" w14:textId="6A22E1D9" w:rsidR="004152B4" w:rsidRPr="00B63BD5" w:rsidRDefault="00004B6A" w:rsidP="00632863">
      <w:pPr>
        <w:widowControl w:val="0"/>
        <w:spacing w:after="240"/>
        <w:jc w:val="both"/>
        <w:rPr>
          <w:b/>
          <w:color w:val="00B0F0"/>
          <w:lang w:val="fr-CA"/>
        </w:rPr>
      </w:pPr>
      <w:r w:rsidRPr="00B63BD5">
        <w:rPr>
          <w:lang w:val="fr-CA"/>
        </w:rPr>
        <w:t>Jusqu</w:t>
      </w:r>
      <w:r w:rsidR="00564B0C" w:rsidRPr="00B63BD5">
        <w:rPr>
          <w:lang w:val="fr-CA"/>
        </w:rPr>
        <w:t>’</w:t>
      </w:r>
      <w:r w:rsidRPr="00B63BD5">
        <w:rPr>
          <w:lang w:val="fr-CA"/>
        </w:rPr>
        <w:t>à ce que la Banque demande le remboursement, et sous réserve des dispositions de la présente Lettre</w:t>
      </w:r>
      <w:r w:rsidR="00A42897" w:rsidRPr="00B63BD5">
        <w:rPr>
          <w:lang w:val="fr-CA"/>
        </w:rPr>
        <w:t> </w:t>
      </w:r>
      <w:r w:rsidRPr="00B63BD5">
        <w:rPr>
          <w:lang w:val="fr-CA"/>
        </w:rPr>
        <w:t>relative aux facilités, l</w:t>
      </w:r>
      <w:r w:rsidR="00564B0C" w:rsidRPr="00B63BD5">
        <w:rPr>
          <w:lang w:val="fr-CA"/>
        </w:rPr>
        <w:t>’</w:t>
      </w:r>
      <w:r w:rsidRPr="00B63BD5">
        <w:rPr>
          <w:lang w:val="fr-CA"/>
        </w:rPr>
        <w:t>Emprunteur peut effectuer des remboursements de capital d</w:t>
      </w:r>
      <w:r w:rsidR="00564B0C" w:rsidRPr="00B63BD5">
        <w:rPr>
          <w:lang w:val="fr-CA"/>
        </w:rPr>
        <w:t>’</w:t>
      </w:r>
      <w:r w:rsidRPr="00B63BD5">
        <w:rPr>
          <w:lang w:val="fr-CA"/>
        </w:rPr>
        <w:t>un montant quelconque pour chaque Prêt au taux SOFR</w:t>
      </w:r>
      <w:r w:rsidR="00A23822" w:rsidRPr="00B63BD5">
        <w:rPr>
          <w:lang w:val="fr-CA"/>
        </w:rPr>
        <w:t xml:space="preserve"> simple quotidien</w:t>
      </w:r>
      <w:r w:rsidRPr="00B63BD5">
        <w:rPr>
          <w:lang w:val="fr-CA"/>
        </w:rPr>
        <w:t xml:space="preserve"> </w:t>
      </w:r>
      <w:r w:rsidRPr="00B63BD5">
        <w:rPr>
          <w:b/>
          <w:lang w:val="fr-CA"/>
        </w:rPr>
        <w:t>[tous les mois et</w:t>
      </w:r>
      <w:r w:rsidR="00B056F9" w:rsidRPr="00B63BD5">
        <w:rPr>
          <w:b/>
          <w:lang w:val="fr-CA"/>
        </w:rPr>
        <w:t xml:space="preserve"> </w:t>
      </w:r>
      <w:r w:rsidRPr="00B63BD5">
        <w:rPr>
          <w:b/>
          <w:lang w:val="fr-CA"/>
        </w:rPr>
        <w:t>jusqu</w:t>
      </w:r>
      <w:r w:rsidR="00564B0C" w:rsidRPr="00B63BD5">
        <w:rPr>
          <w:b/>
          <w:lang w:val="fr-CA"/>
        </w:rPr>
        <w:t>’</w:t>
      </w:r>
      <w:r w:rsidRPr="00B63BD5">
        <w:rPr>
          <w:b/>
          <w:lang w:val="fr-CA"/>
        </w:rPr>
        <w:t>à</w:t>
      </w:r>
      <w:r w:rsidR="00B056F9" w:rsidRPr="00B63BD5">
        <w:rPr>
          <w:b/>
          <w:lang w:val="fr-CA"/>
        </w:rPr>
        <w:t xml:space="preserve"> </w:t>
      </w:r>
      <w:r w:rsidRPr="00B63BD5">
        <w:rPr>
          <w:b/>
          <w:lang w:val="fr-CA"/>
        </w:rPr>
        <w:t>quatre</w:t>
      </w:r>
      <w:r w:rsidR="004300A3" w:rsidRPr="00B63BD5">
        <w:rPr>
          <w:b/>
          <w:lang w:val="fr-CA"/>
        </w:rPr>
        <w:t> </w:t>
      </w:r>
      <w:r w:rsidRPr="00B63BD5">
        <w:rPr>
          <w:b/>
          <w:lang w:val="fr-CA"/>
        </w:rPr>
        <w:t>fois</w:t>
      </w:r>
      <w:r w:rsidR="00B056F9" w:rsidRPr="00B63BD5">
        <w:rPr>
          <w:b/>
          <w:lang w:val="fr-CA"/>
        </w:rPr>
        <w:t xml:space="preserve"> </w:t>
      </w:r>
      <w:r w:rsidRPr="00B63BD5">
        <w:rPr>
          <w:b/>
          <w:lang w:val="fr-CA"/>
        </w:rPr>
        <w:t>supplémentaires au cours de chaque exercice] [tous les trimestres et</w:t>
      </w:r>
      <w:r w:rsidR="00B056F9" w:rsidRPr="00B63BD5">
        <w:rPr>
          <w:b/>
          <w:lang w:val="fr-CA"/>
        </w:rPr>
        <w:t xml:space="preserve"> </w:t>
      </w:r>
      <w:r w:rsidRPr="00B63BD5">
        <w:rPr>
          <w:b/>
          <w:lang w:val="fr-CA"/>
        </w:rPr>
        <w:t>jusqu</w:t>
      </w:r>
      <w:r w:rsidR="00564B0C" w:rsidRPr="00B63BD5">
        <w:rPr>
          <w:b/>
          <w:lang w:val="fr-CA"/>
        </w:rPr>
        <w:t>’</w:t>
      </w:r>
      <w:r w:rsidRPr="00B63BD5">
        <w:rPr>
          <w:b/>
          <w:lang w:val="fr-CA"/>
        </w:rPr>
        <w:t>à</w:t>
      </w:r>
      <w:r w:rsidR="00B056F9" w:rsidRPr="00B63BD5">
        <w:rPr>
          <w:b/>
          <w:lang w:val="fr-CA"/>
        </w:rPr>
        <w:t xml:space="preserve"> </w:t>
      </w:r>
      <w:r w:rsidRPr="00B63BD5">
        <w:rPr>
          <w:b/>
          <w:lang w:val="fr-CA"/>
        </w:rPr>
        <w:t>quatre</w:t>
      </w:r>
      <w:r w:rsidR="004300A3" w:rsidRPr="00B63BD5">
        <w:rPr>
          <w:b/>
          <w:lang w:val="fr-CA"/>
        </w:rPr>
        <w:t> </w:t>
      </w:r>
      <w:r w:rsidRPr="00B63BD5">
        <w:rPr>
          <w:b/>
          <w:lang w:val="fr-CA"/>
        </w:rPr>
        <w:t>fois</w:t>
      </w:r>
      <w:r w:rsidR="00B056F9" w:rsidRPr="00B63BD5">
        <w:rPr>
          <w:b/>
          <w:lang w:val="fr-CA"/>
        </w:rPr>
        <w:t xml:space="preserve"> </w:t>
      </w:r>
      <w:r w:rsidRPr="00B63BD5">
        <w:rPr>
          <w:b/>
          <w:lang w:val="fr-CA"/>
        </w:rPr>
        <w:t>supplémentaires au cours de chaque exercice]</w:t>
      </w:r>
      <w:r w:rsidRPr="00B63BD5">
        <w:rPr>
          <w:lang w:val="fr-CA"/>
        </w:rPr>
        <w:t xml:space="preserve">, </w:t>
      </w:r>
      <w:r w:rsidR="00016DCF" w:rsidRPr="00B63BD5">
        <w:rPr>
          <w:lang w:val="fr-CA"/>
        </w:rPr>
        <w:t>et non plus fréquemment</w:t>
      </w:r>
      <w:r w:rsidRPr="00B63BD5">
        <w:rPr>
          <w:lang w:val="fr-CA"/>
        </w:rPr>
        <w:t xml:space="preserve"> et,</w:t>
      </w:r>
      <w:r w:rsidR="00AB0594" w:rsidRPr="00B63BD5">
        <w:rPr>
          <w:lang w:val="fr-CA"/>
        </w:rPr>
        <w:t xml:space="preserve"> </w:t>
      </w:r>
      <w:r w:rsidRPr="00B63BD5">
        <w:rPr>
          <w:lang w:val="fr-CA"/>
        </w:rPr>
        <w:t>dans chacun des cas, majoré de l</w:t>
      </w:r>
      <w:r w:rsidR="00564B0C" w:rsidRPr="00B63BD5">
        <w:rPr>
          <w:lang w:val="fr-CA"/>
        </w:rPr>
        <w:t>’</w:t>
      </w:r>
      <w:r w:rsidRPr="00B63BD5">
        <w:rPr>
          <w:lang w:val="fr-CA"/>
        </w:rPr>
        <w:t xml:space="preserve">intérêt couru et impayé sur ces montants. </w:t>
      </w:r>
      <w:r w:rsidRPr="00B63BD5">
        <w:rPr>
          <w:b/>
          <w:color w:val="00B0F0"/>
          <w:lang w:val="fr-CA"/>
        </w:rPr>
        <w:t>[N.B.</w:t>
      </w:r>
      <w:r w:rsidR="00AC4107" w:rsidRPr="00B63BD5">
        <w:rPr>
          <w:b/>
          <w:color w:val="00B0F0"/>
          <w:lang w:val="fr-CA"/>
        </w:rPr>
        <w:t xml:space="preserve"> </w:t>
      </w:r>
      <w:r w:rsidRPr="00B63BD5">
        <w:rPr>
          <w:b/>
          <w:color w:val="00B0F0"/>
          <w:lang w:val="fr-CA"/>
        </w:rPr>
        <w:t>: Sélectionner la</w:t>
      </w:r>
      <w:r w:rsidR="00B056F9" w:rsidRPr="00B63BD5">
        <w:rPr>
          <w:b/>
          <w:color w:val="00B0F0"/>
          <w:lang w:val="fr-CA"/>
        </w:rPr>
        <w:t xml:space="preserve"> </w:t>
      </w:r>
      <w:r w:rsidRPr="00B63BD5">
        <w:rPr>
          <w:b/>
          <w:color w:val="00B0F0"/>
          <w:lang w:val="fr-CA"/>
        </w:rPr>
        <w:t>fréquence de remboursement en fonction de la période d</w:t>
      </w:r>
      <w:r w:rsidR="00564B0C" w:rsidRPr="00B63BD5">
        <w:rPr>
          <w:b/>
          <w:color w:val="00B0F0"/>
          <w:lang w:val="fr-CA"/>
        </w:rPr>
        <w:t>’</w:t>
      </w:r>
      <w:r w:rsidRPr="00B63BD5">
        <w:rPr>
          <w:b/>
          <w:color w:val="00B0F0"/>
          <w:lang w:val="fr-CA"/>
        </w:rPr>
        <w:t>intérêt applicable (mensuelle</w:t>
      </w:r>
      <w:r w:rsidR="00AB0594" w:rsidRPr="00B63BD5">
        <w:rPr>
          <w:b/>
          <w:color w:val="00B0F0"/>
          <w:lang w:val="fr-CA"/>
        </w:rPr>
        <w:t xml:space="preserve"> </w:t>
      </w:r>
      <w:r w:rsidRPr="00B63BD5">
        <w:rPr>
          <w:b/>
          <w:color w:val="00B0F0"/>
          <w:lang w:val="fr-CA"/>
        </w:rPr>
        <w:t>ou</w:t>
      </w:r>
      <w:r w:rsidR="00AB0594" w:rsidRPr="00B63BD5">
        <w:rPr>
          <w:b/>
          <w:color w:val="00B0F0"/>
          <w:lang w:val="fr-CA"/>
        </w:rPr>
        <w:t xml:space="preserve"> </w:t>
      </w:r>
      <w:r w:rsidRPr="00B63BD5">
        <w:rPr>
          <w:b/>
          <w:color w:val="00B0F0"/>
          <w:lang w:val="fr-CA"/>
        </w:rPr>
        <w:t>trimestrielle). Si la fréquence de remboursement n</w:t>
      </w:r>
      <w:r w:rsidR="00564B0C" w:rsidRPr="00B63BD5">
        <w:rPr>
          <w:b/>
          <w:color w:val="00B0F0"/>
          <w:lang w:val="fr-CA"/>
        </w:rPr>
        <w:t>’</w:t>
      </w:r>
      <w:r w:rsidRPr="00B63BD5">
        <w:rPr>
          <w:b/>
          <w:color w:val="00B0F0"/>
          <w:lang w:val="fr-CA"/>
        </w:rPr>
        <w:t>est pas précisée, utiliser une</w:t>
      </w:r>
      <w:r w:rsidR="00AB0594" w:rsidRPr="00B63BD5">
        <w:rPr>
          <w:b/>
          <w:color w:val="00B0F0"/>
          <w:lang w:val="fr-CA"/>
        </w:rPr>
        <w:t xml:space="preserve"> </w:t>
      </w:r>
      <w:r w:rsidRPr="00B63BD5">
        <w:rPr>
          <w:b/>
          <w:color w:val="00B0F0"/>
          <w:lang w:val="fr-CA"/>
        </w:rPr>
        <w:t>fréquence mensuelle.]</w:t>
      </w:r>
    </w:p>
    <w:p w14:paraId="4AEA7CF4" w14:textId="731B4480" w:rsidR="004152B4" w:rsidRPr="00B63BD5" w:rsidRDefault="00A23822" w:rsidP="00632863">
      <w:pPr>
        <w:widowControl w:val="0"/>
        <w:spacing w:after="240"/>
        <w:jc w:val="both"/>
        <w:rPr>
          <w:b/>
          <w:lang w:val="fr-CA"/>
        </w:rPr>
      </w:pPr>
      <w:r w:rsidRPr="00B63BD5">
        <w:rPr>
          <w:lang w:val="fr-CA"/>
        </w:rPr>
        <w:t>Jusqu</w:t>
      </w:r>
      <w:r w:rsidR="00564B0C" w:rsidRPr="00B63BD5">
        <w:rPr>
          <w:lang w:val="fr-CA"/>
        </w:rPr>
        <w:t>’</w:t>
      </w:r>
      <w:r w:rsidRPr="00B63BD5">
        <w:rPr>
          <w:lang w:val="fr-CA"/>
        </w:rPr>
        <w:t>à ce que la Banque demande le remboursement, et sous réserve des dispositions de la présente Lettre relative aux facilités, l</w:t>
      </w:r>
      <w:r w:rsidR="00564B0C" w:rsidRPr="00B63BD5">
        <w:rPr>
          <w:lang w:val="fr-CA"/>
        </w:rPr>
        <w:t>’</w:t>
      </w:r>
      <w:r w:rsidRPr="00B63BD5">
        <w:rPr>
          <w:lang w:val="fr-CA"/>
        </w:rPr>
        <w:t>Emprunteur peut effectuer des remboursements de capital d</w:t>
      </w:r>
      <w:r w:rsidR="00564B0C" w:rsidRPr="00B63BD5">
        <w:rPr>
          <w:lang w:val="fr-CA"/>
        </w:rPr>
        <w:t>’</w:t>
      </w:r>
      <w:r w:rsidRPr="00B63BD5">
        <w:rPr>
          <w:lang w:val="fr-CA"/>
        </w:rPr>
        <w:t xml:space="preserve">un montant quelconque pour chaque Prêt au taux SONIA </w:t>
      </w:r>
      <w:r w:rsidRPr="00B63BD5">
        <w:rPr>
          <w:b/>
          <w:lang w:val="fr-CA"/>
        </w:rPr>
        <w:t>[tous les mois et jusqu</w:t>
      </w:r>
      <w:r w:rsidR="00564B0C" w:rsidRPr="00B63BD5">
        <w:rPr>
          <w:b/>
          <w:lang w:val="fr-CA"/>
        </w:rPr>
        <w:t>’</w:t>
      </w:r>
      <w:r w:rsidRPr="00B63BD5">
        <w:rPr>
          <w:b/>
          <w:lang w:val="fr-CA"/>
        </w:rPr>
        <w:t xml:space="preserve">à </w:t>
      </w:r>
      <w:r w:rsidR="006A1568" w:rsidRPr="00B63BD5">
        <w:rPr>
          <w:b/>
          <w:lang w:val="fr-CA"/>
        </w:rPr>
        <w:t>quatre</w:t>
      </w:r>
      <w:r w:rsidR="00B056F9" w:rsidRPr="00B63BD5">
        <w:rPr>
          <w:b/>
          <w:lang w:val="fr-CA"/>
        </w:rPr>
        <w:t> </w:t>
      </w:r>
      <w:r w:rsidRPr="00B63BD5">
        <w:rPr>
          <w:b/>
          <w:lang w:val="fr-CA"/>
        </w:rPr>
        <w:t>fois supplémentaires au</w:t>
      </w:r>
      <w:r w:rsidR="00AB0594" w:rsidRPr="00B63BD5">
        <w:rPr>
          <w:b/>
          <w:lang w:val="fr-CA"/>
        </w:rPr>
        <w:t xml:space="preserve"> </w:t>
      </w:r>
      <w:r w:rsidRPr="00B63BD5">
        <w:rPr>
          <w:b/>
          <w:lang w:val="fr-CA"/>
        </w:rPr>
        <w:t xml:space="preserve">cours de chaque </w:t>
      </w:r>
      <w:r w:rsidRPr="00B63BD5">
        <w:rPr>
          <w:b/>
          <w:lang w:val="fr-CA"/>
        </w:rPr>
        <w:lastRenderedPageBreak/>
        <w:t>exercice] [tous les trimestres et jusqu</w:t>
      </w:r>
      <w:r w:rsidR="00564B0C" w:rsidRPr="00B63BD5">
        <w:rPr>
          <w:b/>
          <w:lang w:val="fr-CA"/>
        </w:rPr>
        <w:t>’</w:t>
      </w:r>
      <w:r w:rsidRPr="00B63BD5">
        <w:rPr>
          <w:b/>
          <w:lang w:val="fr-CA"/>
        </w:rPr>
        <w:t xml:space="preserve">à </w:t>
      </w:r>
      <w:r w:rsidR="006A1568" w:rsidRPr="00B63BD5">
        <w:rPr>
          <w:b/>
          <w:lang w:val="fr-CA"/>
        </w:rPr>
        <w:t>quatre</w:t>
      </w:r>
      <w:r w:rsidR="00B056F9" w:rsidRPr="00B63BD5">
        <w:rPr>
          <w:b/>
          <w:lang w:val="fr-CA"/>
        </w:rPr>
        <w:t> </w:t>
      </w:r>
      <w:r w:rsidRPr="00B63BD5">
        <w:rPr>
          <w:b/>
          <w:lang w:val="fr-CA"/>
        </w:rPr>
        <w:t>fois supplémentaires au cours de</w:t>
      </w:r>
      <w:r w:rsidR="00AB0594" w:rsidRPr="00B63BD5">
        <w:rPr>
          <w:b/>
          <w:lang w:val="fr-CA"/>
        </w:rPr>
        <w:t xml:space="preserve"> </w:t>
      </w:r>
      <w:r w:rsidRPr="00B63BD5">
        <w:rPr>
          <w:b/>
          <w:lang w:val="fr-CA"/>
        </w:rPr>
        <w:t>chaque exercice</w:t>
      </w:r>
      <w:r w:rsidRPr="00B63BD5">
        <w:rPr>
          <w:lang w:val="fr-CA"/>
        </w:rPr>
        <w:t>], et non plus fréquemment et, dans chacun des cas, majoré de l</w:t>
      </w:r>
      <w:r w:rsidR="00564B0C" w:rsidRPr="00B63BD5">
        <w:rPr>
          <w:lang w:val="fr-CA"/>
        </w:rPr>
        <w:t>’</w:t>
      </w:r>
      <w:r w:rsidRPr="00B63BD5">
        <w:rPr>
          <w:lang w:val="fr-CA"/>
        </w:rPr>
        <w:t>intérêt couru et</w:t>
      </w:r>
      <w:r w:rsidR="00AB0594" w:rsidRPr="00B63BD5">
        <w:rPr>
          <w:lang w:val="fr-CA"/>
        </w:rPr>
        <w:t xml:space="preserve"> </w:t>
      </w:r>
      <w:r w:rsidRPr="00B63BD5">
        <w:rPr>
          <w:lang w:val="fr-CA"/>
        </w:rPr>
        <w:t>impayé sur ces montants.</w:t>
      </w:r>
      <w:r w:rsidR="00AC4107" w:rsidRPr="00B63BD5">
        <w:rPr>
          <w:lang w:val="fr-CA"/>
        </w:rPr>
        <w:t xml:space="preserve"> </w:t>
      </w:r>
      <w:r w:rsidRPr="00B63BD5">
        <w:rPr>
          <w:b/>
          <w:color w:val="00B0F0"/>
          <w:lang w:val="fr-CA"/>
        </w:rPr>
        <w:t>[N.B.</w:t>
      </w:r>
      <w:r w:rsidR="00A42897" w:rsidRPr="00B63BD5">
        <w:rPr>
          <w:b/>
          <w:color w:val="00B0F0"/>
          <w:lang w:val="fr-CA"/>
        </w:rPr>
        <w:t> </w:t>
      </w:r>
      <w:r w:rsidRPr="00B63BD5">
        <w:rPr>
          <w:b/>
          <w:color w:val="00B0F0"/>
          <w:lang w:val="fr-CA"/>
        </w:rPr>
        <w:t>:</w:t>
      </w:r>
      <w:r w:rsidR="00A42897" w:rsidRPr="00B63BD5">
        <w:rPr>
          <w:b/>
          <w:color w:val="00B0F0"/>
          <w:lang w:val="fr-CA"/>
        </w:rPr>
        <w:t> </w:t>
      </w:r>
      <w:r w:rsidRPr="00B63BD5">
        <w:rPr>
          <w:b/>
          <w:color w:val="00B0F0"/>
          <w:lang w:val="fr-CA"/>
        </w:rPr>
        <w:t>Sélectionner la fréquence de remboursement en fonction de</w:t>
      </w:r>
      <w:r w:rsidR="00AB0594" w:rsidRPr="00B63BD5">
        <w:rPr>
          <w:b/>
          <w:color w:val="00B0F0"/>
          <w:lang w:val="fr-CA"/>
        </w:rPr>
        <w:t xml:space="preserve"> </w:t>
      </w:r>
      <w:r w:rsidRPr="00B63BD5">
        <w:rPr>
          <w:b/>
          <w:color w:val="00B0F0"/>
          <w:lang w:val="fr-CA"/>
        </w:rPr>
        <w:t>la</w:t>
      </w:r>
      <w:r w:rsidR="00AB0594" w:rsidRPr="00B63BD5">
        <w:rPr>
          <w:b/>
          <w:color w:val="00B0F0"/>
          <w:lang w:val="fr-CA"/>
        </w:rPr>
        <w:t xml:space="preserve"> </w:t>
      </w:r>
      <w:r w:rsidRPr="00B63BD5">
        <w:rPr>
          <w:b/>
          <w:color w:val="00B0F0"/>
          <w:lang w:val="fr-CA"/>
        </w:rPr>
        <w:t>période d</w:t>
      </w:r>
      <w:r w:rsidR="00564B0C" w:rsidRPr="00B63BD5">
        <w:rPr>
          <w:b/>
          <w:color w:val="00B0F0"/>
          <w:lang w:val="fr-CA"/>
        </w:rPr>
        <w:t>’</w:t>
      </w:r>
      <w:r w:rsidRPr="00B63BD5">
        <w:rPr>
          <w:b/>
          <w:color w:val="00B0F0"/>
          <w:lang w:val="fr-CA"/>
        </w:rPr>
        <w:t>intérêt applicable, à savoir mensuelle ou trimestrielle.]</w:t>
      </w:r>
      <w:r w:rsidR="00AC4107" w:rsidRPr="00B63BD5">
        <w:rPr>
          <w:b/>
          <w:lang w:val="fr-CA"/>
        </w:rPr>
        <w:t xml:space="preserve"> </w:t>
      </w:r>
    </w:p>
    <w:p w14:paraId="4B63D3B8" w14:textId="46953661" w:rsidR="00951BD9" w:rsidRPr="00B63BD5" w:rsidRDefault="00951BD9" w:rsidP="00632863">
      <w:pPr>
        <w:widowControl w:val="0"/>
        <w:spacing w:after="240"/>
        <w:ind w:right="4"/>
        <w:jc w:val="both"/>
        <w:rPr>
          <w:lang w:val="fr-CA"/>
        </w:rPr>
      </w:pPr>
      <w:r w:rsidRPr="00B63BD5">
        <w:rPr>
          <w:b/>
          <w:color w:val="00B0F0"/>
          <w:lang w:val="fr-CA"/>
        </w:rPr>
        <w:t>[N.B. : Supprimer ou modifier le texte suivant, selon le cas :]</w:t>
      </w:r>
      <w:r w:rsidRPr="00B63BD5">
        <w:rPr>
          <w:lang w:val="fr-CA"/>
        </w:rPr>
        <w:t xml:space="preserve"> À la demande de la Banque, en tout temps et à la discrétion de celle-ci, l’Emprunteur devra déposer une somme en espèces auprès de la Banque, lui accordant une Charge de premier rang sur celle-ci pour garantir toutes ses obligations envers la Banque à l’égard de toute Avance sur l’Acceptation bancaire, tout Crédit documentaire ou toute Lettre de garantie impayé.</w:t>
      </w:r>
    </w:p>
    <w:p w14:paraId="1D0F4683" w14:textId="5ED70E2A" w:rsidR="009926E7" w:rsidRPr="00B63BD5" w:rsidRDefault="009926E7" w:rsidP="00D33630">
      <w:pPr>
        <w:pStyle w:val="04LOLglNew2"/>
      </w:pPr>
      <w:r w:rsidRPr="00B63BD5">
        <w:t>Int</w:t>
      </w:r>
      <w:r w:rsidR="00780C5D" w:rsidRPr="00B63BD5">
        <w:t>érêt</w:t>
      </w:r>
    </w:p>
    <w:p w14:paraId="6E10C649" w14:textId="08A88946" w:rsidR="009926E7" w:rsidRPr="00B63BD5" w:rsidRDefault="00DC04F3" w:rsidP="00632863">
      <w:pPr>
        <w:keepNext/>
        <w:widowControl w:val="0"/>
        <w:spacing w:after="240"/>
        <w:jc w:val="both"/>
        <w:rPr>
          <w:lang w:val="fr-CA"/>
        </w:rPr>
      </w:pPr>
      <w:r w:rsidRPr="00B63BD5">
        <w:rPr>
          <w:lang w:val="fr-CA"/>
        </w:rPr>
        <w:t>L</w:t>
      </w:r>
      <w:r w:rsidR="00564B0C" w:rsidRPr="00B63BD5">
        <w:rPr>
          <w:lang w:val="fr-CA"/>
        </w:rPr>
        <w:t>’</w:t>
      </w:r>
      <w:r w:rsidR="004D2590" w:rsidRPr="00B63BD5">
        <w:rPr>
          <w:lang w:val="fr-CA"/>
        </w:rPr>
        <w:t xml:space="preserve">intérêt sur le solde du capital impayé de tous les Prêts et autres crédits </w:t>
      </w:r>
      <w:r w:rsidR="004D64AF" w:rsidRPr="00B63BD5">
        <w:rPr>
          <w:lang w:val="fr-CA"/>
        </w:rPr>
        <w:t xml:space="preserve">avancés </w:t>
      </w:r>
      <w:r w:rsidR="004D2590" w:rsidRPr="00B63BD5">
        <w:rPr>
          <w:lang w:val="fr-CA"/>
        </w:rPr>
        <w:t xml:space="preserve">sur la Facilité de </w:t>
      </w:r>
      <w:r w:rsidR="004C33DD" w:rsidRPr="00B63BD5">
        <w:rPr>
          <w:lang w:val="fr-CA"/>
        </w:rPr>
        <w:t>crédit à</w:t>
      </w:r>
      <w:r w:rsidR="00A42897" w:rsidRPr="00B63BD5">
        <w:rPr>
          <w:lang w:val="fr-CA"/>
        </w:rPr>
        <w:t> </w:t>
      </w:r>
      <w:r w:rsidR="004C33DD" w:rsidRPr="00B63BD5">
        <w:rPr>
          <w:lang w:val="fr-CA"/>
        </w:rPr>
        <w:t>l</w:t>
      </w:r>
      <w:r w:rsidR="00564B0C" w:rsidRPr="00B63BD5">
        <w:rPr>
          <w:lang w:val="fr-CA"/>
        </w:rPr>
        <w:t>’</w:t>
      </w:r>
      <w:r w:rsidR="004D2590" w:rsidRPr="00B63BD5">
        <w:rPr>
          <w:lang w:val="fr-CA"/>
        </w:rPr>
        <w:t xml:space="preserve">exploitation </w:t>
      </w:r>
      <w:r w:rsidR="00052CB0" w:rsidRPr="00B63BD5">
        <w:rPr>
          <w:lang w:val="fr-CA"/>
        </w:rPr>
        <w:t xml:space="preserve">est </w:t>
      </w:r>
      <w:r w:rsidR="004D64AF" w:rsidRPr="00B63BD5">
        <w:rPr>
          <w:lang w:val="fr-CA"/>
        </w:rPr>
        <w:t>calculé</w:t>
      </w:r>
      <w:r w:rsidR="0046367E" w:rsidRPr="00B63BD5">
        <w:rPr>
          <w:lang w:val="fr-CA"/>
        </w:rPr>
        <w:t xml:space="preserve"> aux</w:t>
      </w:r>
      <w:r w:rsidR="004D64AF" w:rsidRPr="00B63BD5">
        <w:rPr>
          <w:lang w:val="fr-CA"/>
        </w:rPr>
        <w:t xml:space="preserve"> </w:t>
      </w:r>
      <w:r w:rsidR="00561311" w:rsidRPr="00B63BD5">
        <w:rPr>
          <w:lang w:val="fr-CA"/>
        </w:rPr>
        <w:t xml:space="preserve">taux suivants </w:t>
      </w:r>
      <w:r w:rsidR="004D64AF" w:rsidRPr="00B63BD5">
        <w:rPr>
          <w:lang w:val="fr-CA"/>
        </w:rPr>
        <w:t>et</w:t>
      </w:r>
      <w:r w:rsidR="00561311" w:rsidRPr="00B63BD5">
        <w:rPr>
          <w:lang w:val="fr-CA"/>
        </w:rPr>
        <w:t xml:space="preserve"> est</w:t>
      </w:r>
      <w:r w:rsidR="004D64AF" w:rsidRPr="00B63BD5">
        <w:rPr>
          <w:lang w:val="fr-CA"/>
        </w:rPr>
        <w:t xml:space="preserve"> </w:t>
      </w:r>
      <w:r w:rsidR="004D2590" w:rsidRPr="00B63BD5">
        <w:rPr>
          <w:lang w:val="fr-CA"/>
        </w:rPr>
        <w:t>payable comme suit</w:t>
      </w:r>
      <w:r w:rsidR="00AC4107" w:rsidRPr="00B63BD5">
        <w:rPr>
          <w:lang w:val="fr-CA"/>
        </w:rPr>
        <w:t xml:space="preserve"> </w:t>
      </w:r>
      <w:r w:rsidR="004D2590" w:rsidRPr="00B63BD5">
        <w:rPr>
          <w:lang w:val="fr-CA"/>
        </w:rPr>
        <w:t>:</w:t>
      </w:r>
    </w:p>
    <w:p w14:paraId="1493CF4A" w14:textId="267736D8" w:rsidR="00137BB9" w:rsidRPr="00B63BD5" w:rsidRDefault="00137BB9" w:rsidP="00632863">
      <w:pPr>
        <w:keepNext/>
        <w:widowControl w:val="0"/>
        <w:spacing w:after="240"/>
        <w:jc w:val="both"/>
        <w:rPr>
          <w:b/>
          <w:color w:val="00B0F0"/>
          <w:lang w:val="fr-CA"/>
        </w:rPr>
      </w:pPr>
      <w:r w:rsidRPr="00B63BD5">
        <w:rPr>
          <w:b/>
          <w:color w:val="00B0F0"/>
          <w:lang w:val="fr-CA"/>
        </w:rPr>
        <w:t>[</w:t>
      </w:r>
      <w:r w:rsidR="00EC3CB5" w:rsidRPr="00B63BD5">
        <w:rPr>
          <w:b/>
          <w:color w:val="00B0F0"/>
          <w:lang w:val="fr-CA"/>
        </w:rPr>
        <w:t>N.B. :</w:t>
      </w:r>
      <w:r w:rsidR="004D2590" w:rsidRPr="00B63BD5">
        <w:rPr>
          <w:b/>
          <w:color w:val="00B0F0"/>
          <w:lang w:val="fr-CA"/>
        </w:rPr>
        <w:t xml:space="preserve"> S</w:t>
      </w:r>
      <w:r w:rsidR="00564B0C" w:rsidRPr="00B63BD5">
        <w:rPr>
          <w:b/>
          <w:color w:val="00B0F0"/>
          <w:lang w:val="fr-CA"/>
        </w:rPr>
        <w:t>’</w:t>
      </w:r>
      <w:r w:rsidR="004D2590" w:rsidRPr="00B63BD5">
        <w:rPr>
          <w:b/>
          <w:color w:val="00B0F0"/>
          <w:lang w:val="fr-CA"/>
        </w:rPr>
        <w:t xml:space="preserve">assurer que les taux suivants correspondent à </w:t>
      </w:r>
      <w:r w:rsidR="009E0DD0" w:rsidRPr="00B63BD5">
        <w:rPr>
          <w:b/>
          <w:color w:val="00B0F0"/>
          <w:lang w:val="fr-CA"/>
        </w:rPr>
        <w:t xml:space="preserve">ceux </w:t>
      </w:r>
      <w:r w:rsidR="00561311" w:rsidRPr="00B63BD5">
        <w:rPr>
          <w:b/>
          <w:color w:val="00B0F0"/>
          <w:lang w:val="fr-CA"/>
        </w:rPr>
        <w:t xml:space="preserve">qui sont indiqués </w:t>
      </w:r>
      <w:r w:rsidR="00D161B5" w:rsidRPr="00B63BD5">
        <w:rPr>
          <w:b/>
          <w:color w:val="00B0F0"/>
          <w:lang w:val="fr-CA"/>
        </w:rPr>
        <w:t xml:space="preserve">dans </w:t>
      </w:r>
      <w:r w:rsidR="00DF1381" w:rsidRPr="00B63BD5">
        <w:rPr>
          <w:b/>
          <w:color w:val="00B0F0"/>
          <w:lang w:val="fr-CA"/>
        </w:rPr>
        <w:t>CARM</w:t>
      </w:r>
      <w:r w:rsidR="00C4138E" w:rsidRPr="00B63BD5">
        <w:rPr>
          <w:b/>
          <w:color w:val="00B0F0"/>
          <w:lang w:val="fr-CA"/>
        </w:rPr>
        <w:t>.</w:t>
      </w:r>
      <w:r w:rsidR="002A2FF0" w:rsidRPr="00B63BD5">
        <w:rPr>
          <w:b/>
          <w:color w:val="00B0F0"/>
          <w:lang w:val="fr-CA"/>
        </w:rPr>
        <w:t xml:space="preserve"> Si</w:t>
      </w:r>
      <w:r w:rsidR="004300A3" w:rsidRPr="00B63BD5">
        <w:rPr>
          <w:b/>
          <w:color w:val="00B0F0"/>
          <w:lang w:val="fr-CA"/>
        </w:rPr>
        <w:t> </w:t>
      </w:r>
      <w:r w:rsidR="002A2FF0" w:rsidRPr="00B63BD5">
        <w:rPr>
          <w:b/>
          <w:color w:val="00B0F0"/>
          <w:lang w:val="fr-CA"/>
        </w:rPr>
        <w:t>une</w:t>
      </w:r>
      <w:r w:rsidR="004300A3" w:rsidRPr="00B63BD5">
        <w:rPr>
          <w:b/>
          <w:color w:val="00B0F0"/>
          <w:lang w:val="fr-CA"/>
        </w:rPr>
        <w:t> </w:t>
      </w:r>
      <w:r w:rsidR="002A2FF0" w:rsidRPr="00B63BD5">
        <w:rPr>
          <w:b/>
          <w:color w:val="00B0F0"/>
          <w:lang w:val="fr-CA"/>
        </w:rPr>
        <w:t>grille de tarification a été approuvée, veuillez utiliser le supplément relatif à la grille de</w:t>
      </w:r>
      <w:r w:rsidR="004300A3" w:rsidRPr="00B63BD5">
        <w:rPr>
          <w:b/>
          <w:color w:val="00B0F0"/>
          <w:lang w:val="fr-CA"/>
        </w:rPr>
        <w:t> </w:t>
      </w:r>
      <w:r w:rsidR="002A2FF0" w:rsidRPr="00B63BD5">
        <w:rPr>
          <w:b/>
          <w:color w:val="00B0F0"/>
          <w:lang w:val="fr-CA"/>
        </w:rPr>
        <w:t>tarification (formulaire</w:t>
      </w:r>
      <w:r w:rsidR="00A42897" w:rsidRPr="00B63BD5">
        <w:rPr>
          <w:b/>
          <w:color w:val="00B0F0"/>
          <w:lang w:val="fr-CA"/>
        </w:rPr>
        <w:t> </w:t>
      </w:r>
      <w:r w:rsidR="002A2FF0" w:rsidRPr="00B63BD5">
        <w:rPr>
          <w:b/>
          <w:color w:val="00B0F0"/>
          <w:lang w:val="fr-CA"/>
        </w:rPr>
        <w:t>825</w:t>
      </w:r>
      <w:r w:rsidR="00A42897" w:rsidRPr="00B63BD5">
        <w:rPr>
          <w:b/>
          <w:color w:val="00B0F0"/>
          <w:lang w:val="fr-CA"/>
        </w:rPr>
        <w:noBreakHyphen/>
      </w:r>
      <w:r w:rsidR="002A2FF0" w:rsidRPr="00B63BD5">
        <w:rPr>
          <w:b/>
          <w:color w:val="00B0F0"/>
          <w:lang w:val="fr-CA"/>
        </w:rPr>
        <w:t>0009-FR) pour intégrer le libellé de la grille de tarification approuvée dans la Lettre relative aux</w:t>
      </w:r>
      <w:r w:rsidR="00A42897" w:rsidRPr="00B63BD5">
        <w:rPr>
          <w:b/>
          <w:color w:val="00B0F0"/>
          <w:lang w:val="fr-CA"/>
        </w:rPr>
        <w:t> </w:t>
      </w:r>
      <w:r w:rsidR="002A2FF0" w:rsidRPr="00B63BD5">
        <w:rPr>
          <w:b/>
          <w:color w:val="00B0F0"/>
          <w:lang w:val="fr-CA"/>
        </w:rPr>
        <w:t>facilités.</w:t>
      </w:r>
      <w:r w:rsidR="004D2590" w:rsidRPr="00B63BD5">
        <w:rPr>
          <w:b/>
          <w:color w:val="00B0F0"/>
          <w:lang w:val="fr-CA"/>
        </w:rPr>
        <w:t>]</w:t>
      </w:r>
    </w:p>
    <w:p w14:paraId="05840B99" w14:textId="6FF2B2E8" w:rsidR="009926E7" w:rsidRPr="00B63BD5" w:rsidRDefault="004D2590" w:rsidP="000B7739">
      <w:pPr>
        <w:pStyle w:val="04LOLglNew3"/>
        <w:rPr>
          <w:lang w:val="fr-CA"/>
        </w:rPr>
      </w:pPr>
      <w:r w:rsidRPr="00B63BD5">
        <w:rPr>
          <w:lang w:val="fr-CA"/>
        </w:rPr>
        <w:t xml:space="preserve">pour les </w:t>
      </w:r>
      <w:r w:rsidR="000E6B1E" w:rsidRPr="00B63BD5">
        <w:rPr>
          <w:lang w:val="fr-CA"/>
        </w:rPr>
        <w:t xml:space="preserve">Prêts </w:t>
      </w:r>
      <w:r w:rsidR="000E03DE" w:rsidRPr="00B63BD5">
        <w:rPr>
          <w:lang w:val="fr-CA"/>
        </w:rPr>
        <w:t xml:space="preserve">pour </w:t>
      </w:r>
      <w:r w:rsidRPr="00B63BD5">
        <w:rPr>
          <w:lang w:val="fr-CA"/>
        </w:rPr>
        <w:t>découvert en dollars canadiens,</w:t>
      </w:r>
      <w:r w:rsidR="0046367E" w:rsidRPr="00B63BD5">
        <w:rPr>
          <w:lang w:val="fr-CA"/>
        </w:rPr>
        <w:t xml:space="preserve"> au</w:t>
      </w:r>
      <w:r w:rsidRPr="00B63BD5">
        <w:rPr>
          <w:lang w:val="fr-CA"/>
        </w:rPr>
        <w:t xml:space="preserve"> </w:t>
      </w:r>
      <w:r w:rsidR="0046367E" w:rsidRPr="00B63BD5">
        <w:rPr>
          <w:lang w:val="fr-CA"/>
        </w:rPr>
        <w:t>Taux préférentiel de la Banque</w:t>
      </w:r>
      <w:r w:rsidRPr="00B63BD5">
        <w:rPr>
          <w:lang w:val="fr-CA"/>
        </w:rPr>
        <w:t xml:space="preserve"> majoré de</w:t>
      </w:r>
      <w:r w:rsidR="006441CA" w:rsidRPr="00B63BD5">
        <w:rPr>
          <w:lang w:val="fr-CA"/>
        </w:rPr>
        <w:t xml:space="preserve"> </w:t>
      </w:r>
      <w:r w:rsidRPr="00B63BD5">
        <w:rPr>
          <w:lang w:val="fr-CA"/>
        </w:rPr>
        <w:t>●</w:t>
      </w:r>
      <w:r w:rsidR="004300A3" w:rsidRPr="00B63BD5">
        <w:rPr>
          <w:lang w:val="fr-CA"/>
        </w:rPr>
        <w:t> </w:t>
      </w:r>
      <w:r w:rsidRPr="00B63BD5">
        <w:rPr>
          <w:lang w:val="fr-CA"/>
        </w:rPr>
        <w:t>% par année, calculé mensuellement à terme échu sur le solde quotidien</w:t>
      </w:r>
      <w:r w:rsidR="004D64AF" w:rsidRPr="00B63BD5">
        <w:rPr>
          <w:lang w:val="fr-CA"/>
        </w:rPr>
        <w:t xml:space="preserve"> </w:t>
      </w:r>
      <w:r w:rsidR="00E53ECF" w:rsidRPr="00B63BD5">
        <w:rPr>
          <w:lang w:val="fr-CA"/>
        </w:rPr>
        <w:t>le dernier jour de</w:t>
      </w:r>
      <w:r w:rsidR="004300A3" w:rsidRPr="00B63BD5">
        <w:rPr>
          <w:lang w:val="fr-CA"/>
        </w:rPr>
        <w:t> </w:t>
      </w:r>
      <w:r w:rsidR="00E53ECF" w:rsidRPr="00B63BD5">
        <w:rPr>
          <w:lang w:val="fr-CA"/>
        </w:rPr>
        <w:t xml:space="preserve">chaque mois </w:t>
      </w:r>
      <w:r w:rsidR="004D64AF" w:rsidRPr="00B63BD5">
        <w:rPr>
          <w:lang w:val="fr-CA"/>
        </w:rPr>
        <w:t>et</w:t>
      </w:r>
      <w:r w:rsidRPr="00B63BD5">
        <w:rPr>
          <w:lang w:val="fr-CA"/>
        </w:rPr>
        <w:t xml:space="preserve"> payable le </w:t>
      </w:r>
      <w:r w:rsidR="00E53ECF" w:rsidRPr="00B63BD5">
        <w:rPr>
          <w:lang w:val="fr-CA"/>
        </w:rPr>
        <w:t xml:space="preserve">premier </w:t>
      </w:r>
      <w:r w:rsidRPr="00B63BD5">
        <w:rPr>
          <w:lang w:val="fr-CA"/>
        </w:rPr>
        <w:t>Jour ouvrable d</w:t>
      </w:r>
      <w:r w:rsidR="00E53ECF" w:rsidRPr="00B63BD5">
        <w:rPr>
          <w:lang w:val="fr-CA"/>
        </w:rPr>
        <w:t>u</w:t>
      </w:r>
      <w:r w:rsidRPr="00B63BD5">
        <w:rPr>
          <w:lang w:val="fr-CA"/>
        </w:rPr>
        <w:t xml:space="preserve"> mois</w:t>
      </w:r>
      <w:r w:rsidR="00E53ECF" w:rsidRPr="00B63BD5">
        <w:rPr>
          <w:lang w:val="fr-CA"/>
        </w:rPr>
        <w:t xml:space="preserve"> suivant</w:t>
      </w:r>
      <w:r w:rsidR="009926E7" w:rsidRPr="00B63BD5">
        <w:rPr>
          <w:lang w:val="fr-CA"/>
        </w:rPr>
        <w:t>;</w:t>
      </w:r>
    </w:p>
    <w:p w14:paraId="35BDAB86" w14:textId="7894F79B" w:rsidR="000808A2" w:rsidRPr="00B63BD5" w:rsidRDefault="004D2590" w:rsidP="000B7739">
      <w:pPr>
        <w:pStyle w:val="04LOLglNew3"/>
        <w:rPr>
          <w:lang w:val="fr-CA"/>
        </w:rPr>
      </w:pPr>
      <w:r w:rsidRPr="00B63BD5">
        <w:rPr>
          <w:lang w:val="fr-CA"/>
        </w:rPr>
        <w:t>pour les</w:t>
      </w:r>
      <w:r w:rsidR="000E6B1E" w:rsidRPr="00B63BD5">
        <w:rPr>
          <w:lang w:val="fr-CA"/>
        </w:rPr>
        <w:t xml:space="preserve"> Prêts </w:t>
      </w:r>
      <w:r w:rsidR="000E03DE" w:rsidRPr="00B63BD5">
        <w:rPr>
          <w:lang w:val="fr-CA"/>
        </w:rPr>
        <w:t xml:space="preserve">pour </w:t>
      </w:r>
      <w:r w:rsidRPr="00B63BD5">
        <w:rPr>
          <w:lang w:val="fr-CA"/>
        </w:rPr>
        <w:t>découvert en dollars américains,</w:t>
      </w:r>
      <w:r w:rsidR="0046367E" w:rsidRPr="00B63BD5">
        <w:rPr>
          <w:lang w:val="fr-CA"/>
        </w:rPr>
        <w:t xml:space="preserve"> au</w:t>
      </w:r>
      <w:r w:rsidRPr="00B63BD5">
        <w:rPr>
          <w:lang w:val="fr-CA"/>
        </w:rPr>
        <w:t xml:space="preserve"> Taux</w:t>
      </w:r>
      <w:r w:rsidR="0046367E" w:rsidRPr="00B63BD5">
        <w:rPr>
          <w:lang w:val="fr-CA"/>
        </w:rPr>
        <w:t xml:space="preserve"> de base américain de la Banque</w:t>
      </w:r>
      <w:r w:rsidRPr="00B63BD5">
        <w:rPr>
          <w:lang w:val="fr-CA"/>
        </w:rPr>
        <w:t xml:space="preserve"> majoré de ●</w:t>
      </w:r>
      <w:r w:rsidR="00AB0594" w:rsidRPr="00B63BD5">
        <w:rPr>
          <w:lang w:val="fr-CA"/>
        </w:rPr>
        <w:t> </w:t>
      </w:r>
      <w:r w:rsidRPr="00B63BD5">
        <w:rPr>
          <w:lang w:val="fr-CA"/>
        </w:rPr>
        <w:t>% par année, calculé mensuellement à terme échu sur le solde quotidien</w:t>
      </w:r>
      <w:r w:rsidR="004D64AF" w:rsidRPr="00B63BD5">
        <w:rPr>
          <w:lang w:val="fr-CA"/>
        </w:rPr>
        <w:t xml:space="preserve"> </w:t>
      </w:r>
      <w:r w:rsidR="00E53ECF" w:rsidRPr="00B63BD5">
        <w:rPr>
          <w:lang w:val="fr-CA"/>
        </w:rPr>
        <w:t xml:space="preserve">le dernier jour de chaque mois </w:t>
      </w:r>
      <w:r w:rsidR="004D64AF" w:rsidRPr="00B63BD5">
        <w:rPr>
          <w:lang w:val="fr-CA"/>
        </w:rPr>
        <w:t>et</w:t>
      </w:r>
      <w:r w:rsidRPr="00B63BD5">
        <w:rPr>
          <w:lang w:val="fr-CA"/>
        </w:rPr>
        <w:t xml:space="preserve"> payable le </w:t>
      </w:r>
      <w:r w:rsidR="00E53ECF" w:rsidRPr="00B63BD5">
        <w:rPr>
          <w:lang w:val="fr-CA"/>
        </w:rPr>
        <w:t xml:space="preserve">premier </w:t>
      </w:r>
      <w:r w:rsidRPr="00B63BD5">
        <w:rPr>
          <w:lang w:val="fr-CA"/>
        </w:rPr>
        <w:t xml:space="preserve">Jour ouvrable </w:t>
      </w:r>
      <w:r w:rsidR="00E53ECF" w:rsidRPr="00B63BD5">
        <w:rPr>
          <w:lang w:val="fr-CA"/>
        </w:rPr>
        <w:t xml:space="preserve">du </w:t>
      </w:r>
      <w:r w:rsidRPr="00B63BD5">
        <w:rPr>
          <w:lang w:val="fr-CA"/>
        </w:rPr>
        <w:t>mois</w:t>
      </w:r>
      <w:r w:rsidR="00E53ECF" w:rsidRPr="00B63BD5">
        <w:rPr>
          <w:lang w:val="fr-CA"/>
        </w:rPr>
        <w:t xml:space="preserve"> suivant</w:t>
      </w:r>
      <w:r w:rsidRPr="00B63BD5">
        <w:rPr>
          <w:lang w:val="fr-CA"/>
        </w:rPr>
        <w:t>;</w:t>
      </w:r>
    </w:p>
    <w:p w14:paraId="65B34EE5" w14:textId="3480F42E" w:rsidR="00963212" w:rsidRPr="00CC5B5B" w:rsidRDefault="00963212" w:rsidP="002D1376">
      <w:pPr>
        <w:pStyle w:val="04LOLglNew3"/>
        <w:widowControl w:val="0"/>
        <w:rPr>
          <w:lang w:val="fr-CA"/>
        </w:rPr>
      </w:pPr>
      <w:r w:rsidRPr="00CC5B5B">
        <w:rPr>
          <w:b/>
          <w:color w:val="00B0F0"/>
          <w:lang w:val="fr-CA"/>
        </w:rPr>
        <w:t xml:space="preserve">[TAUX SOFR À TERME, </w:t>
      </w:r>
      <w:r w:rsidR="00974DA6" w:rsidRPr="00CC5B5B">
        <w:rPr>
          <w:b/>
          <w:color w:val="00B0F0"/>
          <w:lang w:val="fr-CA"/>
        </w:rPr>
        <w:t xml:space="preserve"> </w:t>
      </w:r>
      <w:r w:rsidR="00135683">
        <w:rPr>
          <w:b/>
          <w:color w:val="00B0F0"/>
          <w:lang w:val="fr-CA"/>
        </w:rPr>
        <w:t>RAJUSTEMENT DE L’ÉCART</w:t>
      </w:r>
      <w:r w:rsidR="00CC5B5B">
        <w:rPr>
          <w:b/>
          <w:color w:val="00B0F0"/>
          <w:lang w:val="fr-CA"/>
        </w:rPr>
        <w:t xml:space="preserve"> </w:t>
      </w:r>
      <w:r w:rsidR="00974DA6" w:rsidRPr="00CC5B5B">
        <w:rPr>
          <w:b/>
          <w:color w:val="00B0F0"/>
          <w:lang w:val="fr-CA"/>
        </w:rPr>
        <w:t>SÉPARÉ</w:t>
      </w:r>
      <w:r w:rsidR="00AC4107" w:rsidRPr="00CC5B5B">
        <w:rPr>
          <w:b/>
          <w:color w:val="00B0F0"/>
          <w:lang w:val="fr-CA"/>
        </w:rPr>
        <w:t xml:space="preserve"> </w:t>
      </w:r>
      <w:r w:rsidRPr="00CC5B5B">
        <w:rPr>
          <w:b/>
          <w:color w:val="00B0F0"/>
          <w:lang w:val="fr-CA"/>
        </w:rPr>
        <w:t>: Sélectionner cette option pour les clients qui demandent que</w:t>
      </w:r>
      <w:r w:rsidR="004300A3" w:rsidRPr="00CC5B5B">
        <w:rPr>
          <w:b/>
          <w:color w:val="00B0F0"/>
          <w:lang w:val="fr-CA"/>
        </w:rPr>
        <w:t> </w:t>
      </w:r>
      <w:r w:rsidRPr="00CC5B5B">
        <w:rPr>
          <w:b/>
          <w:color w:val="00B0F0"/>
          <w:lang w:val="fr-CA"/>
        </w:rPr>
        <w:t>le</w:t>
      </w:r>
      <w:r w:rsidR="004300A3" w:rsidRPr="00CC5B5B">
        <w:rPr>
          <w:b/>
          <w:color w:val="00B0F0"/>
          <w:lang w:val="fr-CA"/>
        </w:rPr>
        <w:t> </w:t>
      </w:r>
      <w:r w:rsidRPr="00CC5B5B">
        <w:rPr>
          <w:b/>
          <w:color w:val="00B0F0"/>
          <w:lang w:val="fr-CA"/>
        </w:rPr>
        <w:t>rajustement de</w:t>
      </w:r>
      <w:r w:rsidR="004300A3" w:rsidRPr="00CC5B5B">
        <w:rPr>
          <w:b/>
          <w:color w:val="00B0F0"/>
          <w:lang w:val="fr-CA"/>
        </w:rPr>
        <w:t> </w:t>
      </w:r>
      <w:r w:rsidRPr="00CC5B5B">
        <w:rPr>
          <w:b/>
          <w:color w:val="00B0F0"/>
          <w:lang w:val="fr-CA"/>
        </w:rPr>
        <w:t>l</w:t>
      </w:r>
      <w:r w:rsidR="00564B0C" w:rsidRPr="00CC5B5B">
        <w:rPr>
          <w:b/>
          <w:color w:val="00B0F0"/>
          <w:lang w:val="fr-CA"/>
        </w:rPr>
        <w:t>’</w:t>
      </w:r>
      <w:r w:rsidRPr="00CC5B5B">
        <w:rPr>
          <w:b/>
          <w:color w:val="00B0F0"/>
          <w:lang w:val="fr-CA"/>
        </w:rPr>
        <w:t>écart soit indiqué séparément.</w:t>
      </w:r>
      <w:r w:rsidR="00AC4107" w:rsidRPr="00CC5B5B">
        <w:rPr>
          <w:b/>
          <w:color w:val="00B0F0"/>
          <w:lang w:val="fr-CA"/>
        </w:rPr>
        <w:t xml:space="preserve"> </w:t>
      </w:r>
      <w:r w:rsidRPr="00CC5B5B">
        <w:rPr>
          <w:b/>
          <w:color w:val="00B0F0"/>
          <w:lang w:val="fr-CA"/>
        </w:rPr>
        <w:t xml:space="preserve">Important : </w:t>
      </w:r>
      <w:r w:rsidR="0047763F" w:rsidRPr="00CC5B5B">
        <w:rPr>
          <w:b/>
          <w:color w:val="00B0F0"/>
          <w:lang w:val="fr-CA"/>
        </w:rPr>
        <w:t>I</w:t>
      </w:r>
      <w:r w:rsidRPr="00CC5B5B">
        <w:rPr>
          <w:b/>
          <w:color w:val="00B0F0"/>
          <w:lang w:val="fr-CA"/>
        </w:rPr>
        <w:t>nsérer le rajustement de</w:t>
      </w:r>
      <w:r w:rsidR="00A86BDD" w:rsidRPr="00CC5B5B">
        <w:rPr>
          <w:b/>
          <w:color w:val="00B0F0"/>
          <w:lang w:val="fr-CA"/>
        </w:rPr>
        <w:t> </w:t>
      </w:r>
      <w:r w:rsidRPr="00CC5B5B">
        <w:rPr>
          <w:b/>
          <w:color w:val="00B0F0"/>
          <w:lang w:val="fr-CA"/>
        </w:rPr>
        <w:t>l</w:t>
      </w:r>
      <w:r w:rsidR="00564B0C" w:rsidRPr="00CC5B5B">
        <w:rPr>
          <w:b/>
          <w:color w:val="00B0F0"/>
          <w:lang w:val="fr-CA"/>
        </w:rPr>
        <w:t>’</w:t>
      </w:r>
      <w:r w:rsidRPr="00CC5B5B">
        <w:rPr>
          <w:b/>
          <w:color w:val="00B0F0"/>
          <w:lang w:val="fr-CA"/>
        </w:rPr>
        <w:t>écart indiqué au point i).</w:t>
      </w:r>
      <w:r w:rsidR="00AC4107" w:rsidRPr="00CC5B5B">
        <w:rPr>
          <w:b/>
          <w:color w:val="00B0F0"/>
          <w:lang w:val="fr-CA"/>
        </w:rPr>
        <w:t xml:space="preserve"> </w:t>
      </w:r>
      <w:r w:rsidRPr="00CC5B5B">
        <w:rPr>
          <w:b/>
          <w:color w:val="00B0F0"/>
          <w:lang w:val="fr-CA"/>
        </w:rPr>
        <w:t>Insérer l</w:t>
      </w:r>
      <w:r w:rsidR="00564B0C" w:rsidRPr="00CC5B5B">
        <w:rPr>
          <w:b/>
          <w:color w:val="00B0F0"/>
          <w:lang w:val="fr-CA"/>
        </w:rPr>
        <w:t>’</w:t>
      </w:r>
      <w:r w:rsidRPr="00CC5B5B">
        <w:rPr>
          <w:b/>
          <w:color w:val="00B0F0"/>
          <w:lang w:val="fr-CA"/>
        </w:rPr>
        <w:t>écart ou la marge de la Banque au point</w:t>
      </w:r>
      <w:r w:rsidR="00B056F9" w:rsidRPr="00CC5B5B">
        <w:rPr>
          <w:b/>
          <w:color w:val="00B0F0"/>
          <w:lang w:val="fr-CA"/>
        </w:rPr>
        <w:t> </w:t>
      </w:r>
      <w:r w:rsidRPr="00CC5B5B">
        <w:rPr>
          <w:b/>
          <w:color w:val="00B0F0"/>
          <w:lang w:val="fr-CA"/>
        </w:rPr>
        <w:t xml:space="preserve">ii).] </w:t>
      </w:r>
      <w:r w:rsidRPr="00CC5B5B">
        <w:rPr>
          <w:lang w:val="fr-CA"/>
        </w:rPr>
        <w:t>pour les</w:t>
      </w:r>
      <w:r w:rsidR="00A86BDD" w:rsidRPr="00CC5B5B">
        <w:rPr>
          <w:lang w:val="fr-CA"/>
        </w:rPr>
        <w:t> </w:t>
      </w:r>
      <w:r w:rsidRPr="00CC5B5B">
        <w:rPr>
          <w:lang w:val="fr-CA"/>
        </w:rPr>
        <w:t>Prêts au taux SOFR à terme, le Taux de référence SOFR majoré</w:t>
      </w:r>
      <w:r w:rsidR="00AC4107" w:rsidRPr="00CC5B5B">
        <w:rPr>
          <w:lang w:val="fr-CA"/>
        </w:rPr>
        <w:t xml:space="preserve"> </w:t>
      </w:r>
      <w:r w:rsidRPr="00CC5B5B">
        <w:rPr>
          <w:lang w:val="fr-CA"/>
        </w:rPr>
        <w:t>:</w:t>
      </w:r>
    </w:p>
    <w:p w14:paraId="2AE69556" w14:textId="4F0BE06B" w:rsidR="00963212" w:rsidRPr="00B63BD5" w:rsidRDefault="00963212" w:rsidP="00202247">
      <w:pPr>
        <w:pStyle w:val="04LOLglNew4"/>
        <w:rPr>
          <w:color w:val="00B0F0"/>
          <w:szCs w:val="20"/>
          <w:lang w:val="fr-CA"/>
        </w:rPr>
      </w:pPr>
      <w:r w:rsidRPr="00B63BD5">
        <w:rPr>
          <w:rStyle w:val="Prompt"/>
          <w:color w:val="auto"/>
          <w:szCs w:val="20"/>
          <w:lang w:val="fr-CA"/>
        </w:rPr>
        <w:t>d</w:t>
      </w:r>
      <w:r w:rsidR="00564B0C" w:rsidRPr="00B63BD5">
        <w:rPr>
          <w:rStyle w:val="Prompt"/>
          <w:color w:val="auto"/>
          <w:szCs w:val="20"/>
          <w:lang w:val="fr-CA"/>
        </w:rPr>
        <w:t>’</w:t>
      </w:r>
      <w:r w:rsidRPr="00B63BD5">
        <w:rPr>
          <w:rStyle w:val="Prompt"/>
          <w:color w:val="auto"/>
          <w:szCs w:val="20"/>
          <w:lang w:val="fr-CA"/>
        </w:rPr>
        <w:t>un pourcentage par année, comme il est indiqué ci-dessous, pour la Période SOFR applicable</w:t>
      </w:r>
      <w:r w:rsidR="009C7A36" w:rsidRPr="00B63BD5">
        <w:rPr>
          <w:rStyle w:val="Prompt"/>
          <w:color w:val="auto"/>
          <w:szCs w:val="20"/>
          <w:lang w:val="fr-CA"/>
        </w:rPr>
        <w:t> </w:t>
      </w:r>
      <w:r w:rsidRPr="00B63BD5">
        <w:rPr>
          <w:rStyle w:val="Prompt"/>
          <w:color w:val="auto"/>
          <w:szCs w:val="20"/>
          <w:lang w:val="fr-CA"/>
        </w:rPr>
        <w:t xml:space="preserve">: </w:t>
      </w:r>
      <w:r w:rsidR="00E2375A" w:rsidRPr="00B63BD5">
        <w:rPr>
          <w:b/>
          <w:color w:val="00B0F0"/>
          <w:szCs w:val="20"/>
          <w:lang w:val="fr-CA"/>
        </w:rPr>
        <w:t>[N.B. : Si un rajustement de l</w:t>
      </w:r>
      <w:r w:rsidR="00564B0C" w:rsidRPr="00B63BD5">
        <w:rPr>
          <w:b/>
          <w:color w:val="00B0F0"/>
          <w:szCs w:val="20"/>
          <w:lang w:val="fr-CA"/>
        </w:rPr>
        <w:t>’</w:t>
      </w:r>
      <w:r w:rsidR="00E2375A" w:rsidRPr="00B63BD5">
        <w:rPr>
          <w:b/>
          <w:color w:val="00B0F0"/>
          <w:szCs w:val="20"/>
          <w:lang w:val="fr-CA"/>
        </w:rPr>
        <w:t xml:space="preserve">écart </w:t>
      </w:r>
      <w:r w:rsidR="00E2375A" w:rsidRPr="00B63BD5">
        <w:rPr>
          <w:b/>
          <w:color w:val="FF0000"/>
          <w:szCs w:val="20"/>
          <w:lang w:val="fr-CA"/>
        </w:rPr>
        <w:t xml:space="preserve">historique </w:t>
      </w:r>
      <w:r w:rsidR="00E2375A" w:rsidRPr="00B63BD5">
        <w:rPr>
          <w:b/>
          <w:color w:val="00B0F0"/>
          <w:szCs w:val="20"/>
          <w:lang w:val="fr-CA"/>
        </w:rPr>
        <w:t>est utilisé (selon le formulaire des principales conditions), se reporter aux rajustements indiqués dans le tableau ci-dessous (et supprimer les crochets), à moins que le GRB recommande un autre rajustement de l</w:t>
      </w:r>
      <w:r w:rsidR="00564B0C" w:rsidRPr="00B63BD5">
        <w:rPr>
          <w:b/>
          <w:color w:val="00B0F0"/>
          <w:szCs w:val="20"/>
          <w:lang w:val="fr-CA"/>
        </w:rPr>
        <w:t>’</w:t>
      </w:r>
      <w:r w:rsidR="00E2375A" w:rsidRPr="00B63BD5">
        <w:rPr>
          <w:b/>
          <w:color w:val="00B0F0"/>
          <w:szCs w:val="20"/>
          <w:lang w:val="fr-CA"/>
        </w:rPr>
        <w:t>écart. Si un rajustement de l</w:t>
      </w:r>
      <w:r w:rsidR="00564B0C" w:rsidRPr="00B63BD5">
        <w:rPr>
          <w:b/>
          <w:color w:val="00B0F0"/>
          <w:szCs w:val="20"/>
          <w:lang w:val="fr-CA"/>
        </w:rPr>
        <w:t>’</w:t>
      </w:r>
      <w:r w:rsidR="00E2375A" w:rsidRPr="00B63BD5">
        <w:rPr>
          <w:b/>
          <w:color w:val="00B0F0"/>
          <w:szCs w:val="20"/>
          <w:lang w:val="fr-CA"/>
        </w:rPr>
        <w:t xml:space="preserve">écart </w:t>
      </w:r>
      <w:r w:rsidR="00E2375A" w:rsidRPr="00B63BD5">
        <w:rPr>
          <w:b/>
          <w:color w:val="FF0000"/>
          <w:szCs w:val="20"/>
          <w:lang w:val="fr-CA"/>
        </w:rPr>
        <w:t xml:space="preserve">prospectif </w:t>
      </w:r>
      <w:r w:rsidR="00E2375A" w:rsidRPr="00B63BD5">
        <w:rPr>
          <w:b/>
          <w:color w:val="00B0F0"/>
          <w:szCs w:val="20"/>
          <w:lang w:val="fr-CA"/>
        </w:rPr>
        <w:t>est utilisé (selon le formulaire des principales conditions), se reporter aux rajustements indiqués dans le formulaire des principales conditions. Prendre note que dans le cas des rajustements prospectifs, seules les périodes SOFR d</w:t>
      </w:r>
      <w:r w:rsidR="00564B0C" w:rsidRPr="00B63BD5">
        <w:rPr>
          <w:b/>
          <w:color w:val="00B0F0"/>
          <w:szCs w:val="20"/>
          <w:lang w:val="fr-CA"/>
        </w:rPr>
        <w:t>’</w:t>
      </w:r>
      <w:r w:rsidR="00E2375A" w:rsidRPr="00B63BD5">
        <w:rPr>
          <w:b/>
          <w:color w:val="00B0F0"/>
          <w:szCs w:val="20"/>
          <w:lang w:val="fr-CA"/>
        </w:rPr>
        <w:t>un mois et de trois</w:t>
      </w:r>
      <w:r w:rsidR="001828FF" w:rsidRPr="00B63BD5">
        <w:rPr>
          <w:b/>
          <w:color w:val="00B0F0"/>
          <w:szCs w:val="20"/>
          <w:lang w:val="fr-CA"/>
        </w:rPr>
        <w:t> </w:t>
      </w:r>
      <w:r w:rsidR="00E2375A" w:rsidRPr="00B63BD5">
        <w:rPr>
          <w:b/>
          <w:color w:val="00B0F0"/>
          <w:szCs w:val="20"/>
          <w:lang w:val="fr-CA"/>
        </w:rPr>
        <w:t xml:space="preserve">mois sont possibles; supprimer les deux dernières lignes du tableau ci-dessous. </w:t>
      </w:r>
      <w:r w:rsidR="00AD26E3" w:rsidRPr="00B63BD5">
        <w:rPr>
          <w:b/>
          <w:color w:val="00B0F0"/>
          <w:lang w:val="fr-CA"/>
        </w:rPr>
        <w:t xml:space="preserve">Si un rajustement de l’écart de 10/15/25 est utilisé (selon le formulaire des principales conditions), indiquer 0,10 %, 0,15 % et 0,25 % dans le tableau ci-dessous. Prendre note que pour l’option 10/15/25, la période de SOFR de douze mois n’est pas offerte; supprimer la dernière ligne. </w:t>
      </w:r>
      <w:r w:rsidR="00E2375A" w:rsidRPr="00B63BD5">
        <w:rPr>
          <w:b/>
          <w:color w:val="00B0F0"/>
          <w:szCs w:val="20"/>
          <w:lang w:val="fr-CA"/>
        </w:rPr>
        <w:t>Si l</w:t>
      </w:r>
      <w:r w:rsidR="00564B0C" w:rsidRPr="00B63BD5">
        <w:rPr>
          <w:b/>
          <w:color w:val="00B0F0"/>
          <w:szCs w:val="20"/>
          <w:lang w:val="fr-CA"/>
        </w:rPr>
        <w:t>’</w:t>
      </w:r>
      <w:r w:rsidR="00E2375A" w:rsidRPr="00B63BD5">
        <w:rPr>
          <w:b/>
          <w:color w:val="00B0F0"/>
          <w:szCs w:val="20"/>
          <w:lang w:val="fr-CA"/>
        </w:rPr>
        <w:t>écart sera calculé à une date ultérieure, ajouter la mention «</w:t>
      </w:r>
      <w:r w:rsidR="00B056F9" w:rsidRPr="00B63BD5">
        <w:rPr>
          <w:b/>
          <w:color w:val="00B0F0"/>
          <w:szCs w:val="20"/>
          <w:lang w:val="fr-CA"/>
        </w:rPr>
        <w:t> </w:t>
      </w:r>
      <w:r w:rsidR="00E2375A" w:rsidRPr="00B63BD5">
        <w:rPr>
          <w:b/>
          <w:color w:val="00B0F0"/>
          <w:szCs w:val="20"/>
          <w:lang w:val="fr-CA"/>
        </w:rPr>
        <w:t>À déterminer à la Date de substitution</w:t>
      </w:r>
      <w:r w:rsidR="00B056F9" w:rsidRPr="00B63BD5">
        <w:rPr>
          <w:b/>
          <w:color w:val="00B0F0"/>
          <w:szCs w:val="20"/>
          <w:lang w:val="fr-CA"/>
        </w:rPr>
        <w:t> </w:t>
      </w:r>
      <w:r w:rsidR="00E2375A" w:rsidRPr="00B63BD5">
        <w:rPr>
          <w:b/>
          <w:color w:val="00B0F0"/>
          <w:szCs w:val="20"/>
          <w:lang w:val="fr-CA"/>
        </w:rPr>
        <w:t>» dans la colonne «</w:t>
      </w:r>
      <w:r w:rsidR="00B056F9" w:rsidRPr="00B63BD5">
        <w:rPr>
          <w:b/>
          <w:color w:val="00B0F0"/>
          <w:szCs w:val="20"/>
          <w:lang w:val="fr-CA"/>
        </w:rPr>
        <w:t> </w:t>
      </w:r>
      <w:r w:rsidR="00E2375A" w:rsidRPr="00B63BD5">
        <w:rPr>
          <w:b/>
          <w:color w:val="00B0F0"/>
          <w:szCs w:val="20"/>
          <w:lang w:val="fr-CA"/>
        </w:rPr>
        <w:t>Pourcentage</w:t>
      </w:r>
      <w:r w:rsidR="00B056F9" w:rsidRPr="00B63BD5">
        <w:rPr>
          <w:b/>
          <w:color w:val="00B0F0"/>
          <w:szCs w:val="20"/>
          <w:lang w:val="fr-CA"/>
        </w:rPr>
        <w:t> </w:t>
      </w:r>
      <w:r w:rsidR="00E2375A" w:rsidRPr="00B63BD5">
        <w:rPr>
          <w:b/>
          <w:color w:val="00B0F0"/>
          <w:szCs w:val="20"/>
          <w:lang w:val="fr-CA"/>
        </w:rPr>
        <w:t>» au lieu du taux indiqué.]</w:t>
      </w:r>
      <w:r w:rsidR="00564B0C" w:rsidRPr="00B63BD5">
        <w:rPr>
          <w:b/>
          <w:color w:val="00B0F0"/>
          <w:szCs w:val="20"/>
          <w:lang w:val="fr-CA"/>
        </w:rPr>
        <w:t>’</w:t>
      </w:r>
      <w:r w:rsidR="00564B0C" w:rsidRPr="00B63BD5">
        <w:rPr>
          <w:color w:val="00B0F0"/>
          <w:szCs w:val="20"/>
          <w:lang w:val="fr-CA"/>
        </w:rPr>
        <w:t xml:space="preserve"> </w:t>
      </w:r>
    </w:p>
    <w:tbl>
      <w:tblPr>
        <w:tblStyle w:val="TableGrid"/>
        <w:tblW w:w="0" w:type="auto"/>
        <w:tblInd w:w="1345" w:type="dxa"/>
        <w:tblLook w:val="04A0" w:firstRow="1" w:lastRow="0" w:firstColumn="1" w:lastColumn="0" w:noHBand="0" w:noVBand="1"/>
      </w:tblPr>
      <w:tblGrid>
        <w:gridCol w:w="1911"/>
        <w:gridCol w:w="5386"/>
      </w:tblGrid>
      <w:tr w:rsidR="000F0FF2" w:rsidRPr="00B63BD5" w14:paraId="41F5F317" w14:textId="77777777" w:rsidTr="000F0FF2">
        <w:tc>
          <w:tcPr>
            <w:tcW w:w="1911" w:type="dxa"/>
            <w:hideMark/>
          </w:tcPr>
          <w:p w14:paraId="76EF1E04" w14:textId="77777777" w:rsidR="000F0FF2" w:rsidRPr="00B63BD5" w:rsidRDefault="000F0FF2">
            <w:pPr>
              <w:jc w:val="both"/>
              <w:rPr>
                <w:lang w:val="fr-CA"/>
              </w:rPr>
            </w:pPr>
            <w:r w:rsidRPr="00B63BD5">
              <w:rPr>
                <w:u w:val="single"/>
                <w:lang w:val="fr-CA"/>
              </w:rPr>
              <w:t>Période SOFR</w:t>
            </w:r>
          </w:p>
        </w:tc>
        <w:tc>
          <w:tcPr>
            <w:tcW w:w="5386" w:type="dxa"/>
            <w:hideMark/>
          </w:tcPr>
          <w:p w14:paraId="4E5F881F" w14:textId="77777777" w:rsidR="000F0FF2" w:rsidRPr="00B63BD5" w:rsidRDefault="000F0FF2">
            <w:pPr>
              <w:jc w:val="both"/>
              <w:rPr>
                <w:lang w:val="fr-CA"/>
              </w:rPr>
            </w:pPr>
            <w:r w:rsidRPr="00B63BD5">
              <w:rPr>
                <w:u w:val="single"/>
                <w:lang w:val="fr-CA"/>
              </w:rPr>
              <w:t>Pourcentage</w:t>
            </w:r>
          </w:p>
        </w:tc>
      </w:tr>
      <w:tr w:rsidR="000F0FF2" w:rsidRPr="002C047F" w14:paraId="7EA72F8C" w14:textId="77777777" w:rsidTr="000F0FF2">
        <w:tc>
          <w:tcPr>
            <w:tcW w:w="1911" w:type="dxa"/>
            <w:hideMark/>
          </w:tcPr>
          <w:p w14:paraId="137B8D6E" w14:textId="77777777" w:rsidR="000F0FF2" w:rsidRPr="00B63BD5" w:rsidRDefault="000F0FF2">
            <w:pPr>
              <w:jc w:val="both"/>
              <w:rPr>
                <w:lang w:val="fr-CA"/>
              </w:rPr>
            </w:pPr>
            <w:r w:rsidRPr="00B63BD5">
              <w:rPr>
                <w:lang w:val="fr-CA"/>
              </w:rPr>
              <w:t>Un mois</w:t>
            </w:r>
          </w:p>
        </w:tc>
        <w:tc>
          <w:tcPr>
            <w:tcW w:w="5386" w:type="dxa"/>
            <w:hideMark/>
          </w:tcPr>
          <w:p w14:paraId="05ED60CC" w14:textId="7E0365DA" w:rsidR="000F0FF2" w:rsidRPr="00B63BD5" w:rsidRDefault="000F0FF2">
            <w:pPr>
              <w:jc w:val="both"/>
              <w:rPr>
                <w:lang w:val="fr-CA"/>
              </w:rPr>
            </w:pPr>
            <w:r w:rsidRPr="00B63BD5">
              <w:rPr>
                <w:rStyle w:val="Prompt"/>
                <w:lang w:val="fr-CA"/>
              </w:rPr>
              <w:t>[</w:t>
            </w:r>
            <w:r w:rsidRPr="00B63BD5">
              <w:rPr>
                <w:lang w:val="fr-CA"/>
              </w:rPr>
              <w:t>0,11448]</w:t>
            </w:r>
            <w:r w:rsidR="00AD26E3" w:rsidRPr="00B63BD5">
              <w:rPr>
                <w:lang w:val="fr-CA"/>
              </w:rPr>
              <w:t xml:space="preserve"> [0,10]</w:t>
            </w:r>
            <w:r w:rsidRPr="00B63BD5">
              <w:rPr>
                <w:lang w:val="fr-CA"/>
              </w:rPr>
              <w:t xml:space="preserve"> % [À déterminer à la Date de substitution]</w:t>
            </w:r>
          </w:p>
        </w:tc>
      </w:tr>
      <w:tr w:rsidR="000F0FF2" w:rsidRPr="002C047F" w14:paraId="1E18B272" w14:textId="77777777" w:rsidTr="000F0FF2">
        <w:tc>
          <w:tcPr>
            <w:tcW w:w="1911" w:type="dxa"/>
            <w:hideMark/>
          </w:tcPr>
          <w:p w14:paraId="6ED80BF6" w14:textId="77777777" w:rsidR="000F0FF2" w:rsidRPr="00B63BD5" w:rsidRDefault="000F0FF2">
            <w:pPr>
              <w:jc w:val="both"/>
              <w:rPr>
                <w:lang w:val="fr-CA"/>
              </w:rPr>
            </w:pPr>
            <w:r w:rsidRPr="00B63BD5">
              <w:rPr>
                <w:lang w:val="fr-CA"/>
              </w:rPr>
              <w:t>Trois mois</w:t>
            </w:r>
          </w:p>
        </w:tc>
        <w:tc>
          <w:tcPr>
            <w:tcW w:w="5386" w:type="dxa"/>
            <w:hideMark/>
          </w:tcPr>
          <w:p w14:paraId="714FD12D" w14:textId="702E1731" w:rsidR="000F0FF2" w:rsidRPr="00B63BD5" w:rsidRDefault="000F0FF2">
            <w:pPr>
              <w:jc w:val="both"/>
              <w:rPr>
                <w:lang w:val="fr-CA"/>
              </w:rPr>
            </w:pPr>
            <w:r w:rsidRPr="00B63BD5">
              <w:rPr>
                <w:rStyle w:val="Prompt"/>
                <w:lang w:val="fr-CA"/>
              </w:rPr>
              <w:t>[</w:t>
            </w:r>
            <w:r w:rsidRPr="00B63BD5">
              <w:rPr>
                <w:lang w:val="fr-CA"/>
              </w:rPr>
              <w:t>0,26161]</w:t>
            </w:r>
            <w:r w:rsidR="00AD26E3" w:rsidRPr="00B63BD5">
              <w:rPr>
                <w:lang w:val="fr-CA"/>
              </w:rPr>
              <w:t xml:space="preserve"> [0,15]</w:t>
            </w:r>
            <w:r w:rsidRPr="00B63BD5">
              <w:rPr>
                <w:lang w:val="fr-CA"/>
              </w:rPr>
              <w:t xml:space="preserve"> % [À déterminer à la Date de substitution]</w:t>
            </w:r>
          </w:p>
        </w:tc>
      </w:tr>
      <w:tr w:rsidR="000F0FF2" w:rsidRPr="002C047F" w14:paraId="5198F9E6" w14:textId="77777777" w:rsidTr="000F0FF2">
        <w:tc>
          <w:tcPr>
            <w:tcW w:w="1911" w:type="dxa"/>
            <w:hideMark/>
          </w:tcPr>
          <w:p w14:paraId="34828613" w14:textId="77777777" w:rsidR="000F0FF2" w:rsidRPr="00B63BD5" w:rsidRDefault="000F0FF2">
            <w:pPr>
              <w:jc w:val="both"/>
              <w:rPr>
                <w:lang w:val="fr-CA"/>
              </w:rPr>
            </w:pPr>
            <w:r w:rsidRPr="00B63BD5">
              <w:rPr>
                <w:lang w:val="fr-CA"/>
              </w:rPr>
              <w:t>Six mois</w:t>
            </w:r>
          </w:p>
        </w:tc>
        <w:tc>
          <w:tcPr>
            <w:tcW w:w="5386" w:type="dxa"/>
            <w:hideMark/>
          </w:tcPr>
          <w:p w14:paraId="0E5E4565" w14:textId="1D16446C" w:rsidR="000F0FF2" w:rsidRPr="00B63BD5" w:rsidRDefault="000F0FF2">
            <w:pPr>
              <w:jc w:val="both"/>
              <w:rPr>
                <w:lang w:val="fr-CA"/>
              </w:rPr>
            </w:pPr>
            <w:r w:rsidRPr="00B63BD5">
              <w:rPr>
                <w:lang w:val="fr-CA"/>
              </w:rPr>
              <w:t xml:space="preserve">[0,42826] </w:t>
            </w:r>
            <w:r w:rsidR="00AD26E3" w:rsidRPr="00B63BD5">
              <w:rPr>
                <w:lang w:val="fr-CA"/>
              </w:rPr>
              <w:t xml:space="preserve">[0,25] </w:t>
            </w:r>
            <w:r w:rsidRPr="00B63BD5">
              <w:rPr>
                <w:lang w:val="fr-CA"/>
              </w:rPr>
              <w:t>% [À déterminer à la Date de substitution]</w:t>
            </w:r>
          </w:p>
        </w:tc>
      </w:tr>
      <w:tr w:rsidR="000F0FF2" w:rsidRPr="002C047F" w14:paraId="27BAAA35" w14:textId="77777777" w:rsidTr="000F0FF2">
        <w:tc>
          <w:tcPr>
            <w:tcW w:w="1911" w:type="dxa"/>
            <w:hideMark/>
          </w:tcPr>
          <w:p w14:paraId="74B7CDF5" w14:textId="77777777" w:rsidR="000F0FF2" w:rsidRPr="00B63BD5" w:rsidRDefault="000F0FF2">
            <w:pPr>
              <w:jc w:val="both"/>
              <w:rPr>
                <w:lang w:val="fr-CA"/>
              </w:rPr>
            </w:pPr>
            <w:r w:rsidRPr="00B63BD5">
              <w:rPr>
                <w:lang w:val="fr-CA"/>
              </w:rPr>
              <w:t>Douze mois</w:t>
            </w:r>
          </w:p>
        </w:tc>
        <w:tc>
          <w:tcPr>
            <w:tcW w:w="5386" w:type="dxa"/>
            <w:hideMark/>
          </w:tcPr>
          <w:p w14:paraId="4A65354D" w14:textId="77777777" w:rsidR="000F0FF2" w:rsidRPr="00B63BD5" w:rsidRDefault="000F0FF2">
            <w:pPr>
              <w:jc w:val="both"/>
              <w:rPr>
                <w:lang w:val="fr-CA"/>
              </w:rPr>
            </w:pPr>
            <w:r w:rsidRPr="00B63BD5">
              <w:rPr>
                <w:lang w:val="fr-CA"/>
              </w:rPr>
              <w:t>[0,71513] % [À déterminer à la Date de substitution]</w:t>
            </w:r>
          </w:p>
        </w:tc>
      </w:tr>
    </w:tbl>
    <w:p w14:paraId="34532127" w14:textId="6166B60A" w:rsidR="00730F7B" w:rsidRPr="00B63BD5" w:rsidRDefault="00963212" w:rsidP="00371222">
      <w:pPr>
        <w:pStyle w:val="04LOLglNew4"/>
        <w:numPr>
          <w:ilvl w:val="0"/>
          <w:numId w:val="0"/>
        </w:numPr>
        <w:ind w:left="1418"/>
        <w:rPr>
          <w:szCs w:val="20"/>
          <w:lang w:val="fr-CA"/>
        </w:rPr>
      </w:pPr>
      <w:r w:rsidRPr="00B63BD5">
        <w:rPr>
          <w:szCs w:val="20"/>
          <w:lang w:val="fr-CA"/>
        </w:rPr>
        <w:t xml:space="preserve">Si le total du Taux de référence SOFR majoré du montant indiqué au point </w:t>
      </w:r>
      <w:r w:rsidR="00D33630" w:rsidRPr="00B63BD5">
        <w:rPr>
          <w:szCs w:val="20"/>
          <w:lang w:val="fr-CA"/>
        </w:rPr>
        <w:t>(</w:t>
      </w:r>
      <w:r w:rsidRPr="00B63BD5">
        <w:rPr>
          <w:szCs w:val="20"/>
          <w:lang w:val="fr-CA"/>
        </w:rPr>
        <w:t>i) ci-dessus est</w:t>
      </w:r>
      <w:r w:rsidR="004300A3" w:rsidRPr="00B63BD5">
        <w:rPr>
          <w:szCs w:val="20"/>
          <w:lang w:val="fr-CA"/>
        </w:rPr>
        <w:t> </w:t>
      </w:r>
      <w:r w:rsidRPr="00B63BD5">
        <w:rPr>
          <w:szCs w:val="20"/>
          <w:lang w:val="fr-CA"/>
        </w:rPr>
        <w:t>négatif, le total de ces montants (et non le Taux de référence SOFR pour éviter toute</w:t>
      </w:r>
      <w:r w:rsidR="007D0C7A" w:rsidRPr="00B63BD5">
        <w:rPr>
          <w:szCs w:val="20"/>
          <w:lang w:val="fr-CA"/>
        </w:rPr>
        <w:t> </w:t>
      </w:r>
      <w:r w:rsidRPr="00B63BD5">
        <w:rPr>
          <w:szCs w:val="20"/>
          <w:lang w:val="fr-CA"/>
        </w:rPr>
        <w:t>ambiguïté) est réputé être égal à zéro.</w:t>
      </w:r>
    </w:p>
    <w:p w14:paraId="0FA98921" w14:textId="77777777" w:rsidR="00F26499" w:rsidRDefault="004D2590" w:rsidP="00202247">
      <w:pPr>
        <w:pStyle w:val="04LOLglNew4"/>
        <w:rPr>
          <w:szCs w:val="20"/>
          <w:lang w:val="fr-CA"/>
        </w:rPr>
      </w:pPr>
      <w:r w:rsidRPr="00B63BD5">
        <w:rPr>
          <w:szCs w:val="20"/>
          <w:lang w:val="fr-CA"/>
        </w:rPr>
        <w:t>majoré de ●</w:t>
      </w:r>
      <w:r w:rsidR="00B056F9" w:rsidRPr="00B63BD5">
        <w:rPr>
          <w:szCs w:val="20"/>
          <w:lang w:val="fr-CA"/>
        </w:rPr>
        <w:t> </w:t>
      </w:r>
      <w:r w:rsidRPr="00B63BD5">
        <w:rPr>
          <w:szCs w:val="20"/>
          <w:lang w:val="fr-CA"/>
        </w:rPr>
        <w:t>% par année</w:t>
      </w:r>
      <w:r w:rsidR="0047763F" w:rsidRPr="00B63BD5">
        <w:rPr>
          <w:szCs w:val="20"/>
          <w:lang w:val="fr-CA"/>
        </w:rPr>
        <w:t>,</w:t>
      </w:r>
    </w:p>
    <w:p w14:paraId="4869FD56" w14:textId="3197A0CB" w:rsidR="009926E7" w:rsidRPr="00B63BD5" w:rsidRDefault="0047763F" w:rsidP="00F26499">
      <w:pPr>
        <w:pStyle w:val="04LOLglNew4"/>
        <w:numPr>
          <w:ilvl w:val="0"/>
          <w:numId w:val="0"/>
        </w:numPr>
        <w:ind w:left="709"/>
        <w:rPr>
          <w:szCs w:val="20"/>
          <w:lang w:val="fr-CA"/>
        </w:rPr>
      </w:pPr>
      <w:r w:rsidRPr="00B63BD5">
        <w:rPr>
          <w:szCs w:val="20"/>
          <w:lang w:val="fr-CA"/>
        </w:rPr>
        <w:lastRenderedPageBreak/>
        <w:t>dans chacun des cas,</w:t>
      </w:r>
      <w:r w:rsidR="0046367E" w:rsidRPr="00B63BD5">
        <w:rPr>
          <w:szCs w:val="20"/>
          <w:lang w:val="fr-CA"/>
        </w:rPr>
        <w:t xml:space="preserve"> en fonction d</w:t>
      </w:r>
      <w:r w:rsidR="00564B0C" w:rsidRPr="00B63BD5">
        <w:rPr>
          <w:szCs w:val="20"/>
          <w:lang w:val="fr-CA"/>
        </w:rPr>
        <w:t>’</w:t>
      </w:r>
      <w:r w:rsidR="004D2590" w:rsidRPr="00B63BD5">
        <w:rPr>
          <w:szCs w:val="20"/>
          <w:lang w:val="fr-CA"/>
        </w:rPr>
        <w:t>une année de 360</w:t>
      </w:r>
      <w:r w:rsidR="00B056F9" w:rsidRPr="00B63BD5">
        <w:rPr>
          <w:szCs w:val="20"/>
          <w:lang w:val="fr-CA"/>
        </w:rPr>
        <w:t> </w:t>
      </w:r>
      <w:r w:rsidR="004D2590" w:rsidRPr="00B63BD5">
        <w:rPr>
          <w:szCs w:val="20"/>
          <w:lang w:val="fr-CA"/>
        </w:rPr>
        <w:t>jours, calculé sur le solde quotidien et payable</w:t>
      </w:r>
      <w:r w:rsidR="00F26499">
        <w:rPr>
          <w:szCs w:val="20"/>
          <w:lang w:val="fr-CA"/>
        </w:rPr>
        <w:t xml:space="preserve"> </w:t>
      </w:r>
      <w:r w:rsidR="00052CB0" w:rsidRPr="00B63BD5">
        <w:rPr>
          <w:szCs w:val="20"/>
          <w:lang w:val="fr-CA"/>
        </w:rPr>
        <w:t>aux dates suivantes</w:t>
      </w:r>
      <w:r w:rsidR="00AC4107" w:rsidRPr="00B63BD5">
        <w:rPr>
          <w:szCs w:val="20"/>
          <w:lang w:val="fr-CA"/>
        </w:rPr>
        <w:t xml:space="preserve"> </w:t>
      </w:r>
      <w:r w:rsidR="004D2590" w:rsidRPr="00B63BD5">
        <w:rPr>
          <w:szCs w:val="20"/>
          <w:lang w:val="fr-CA"/>
        </w:rPr>
        <w:t>:</w:t>
      </w:r>
    </w:p>
    <w:p w14:paraId="252894ED" w14:textId="79669BEA" w:rsidR="00B73188" w:rsidRPr="00B63BD5" w:rsidRDefault="00A56AD8" w:rsidP="00202247">
      <w:pPr>
        <w:pStyle w:val="04LOLglNew5"/>
        <w:rPr>
          <w:szCs w:val="20"/>
          <w:lang w:val="fr-CA"/>
        </w:rPr>
      </w:pPr>
      <w:r w:rsidRPr="00B63BD5">
        <w:rPr>
          <w:szCs w:val="20"/>
          <w:lang w:val="fr-CA"/>
        </w:rPr>
        <w:t xml:space="preserve">à la fin de la </w:t>
      </w:r>
      <w:r w:rsidR="00AD7D5D" w:rsidRPr="00B63BD5">
        <w:rPr>
          <w:szCs w:val="20"/>
          <w:lang w:val="fr-CA"/>
        </w:rPr>
        <w:t>P</w:t>
      </w:r>
      <w:r w:rsidRPr="00B63BD5">
        <w:rPr>
          <w:szCs w:val="20"/>
          <w:lang w:val="fr-CA"/>
        </w:rPr>
        <w:t xml:space="preserve">ériode </w:t>
      </w:r>
      <w:r w:rsidR="00601947" w:rsidRPr="00B63BD5">
        <w:rPr>
          <w:szCs w:val="20"/>
          <w:lang w:val="fr-CA"/>
        </w:rPr>
        <w:t xml:space="preserve">SOFR </w:t>
      </w:r>
      <w:r w:rsidRPr="00B63BD5">
        <w:rPr>
          <w:szCs w:val="20"/>
          <w:lang w:val="fr-CA"/>
        </w:rPr>
        <w:t>applicable</w:t>
      </w:r>
      <w:r w:rsidR="00AC1E01" w:rsidRPr="00B63BD5">
        <w:rPr>
          <w:szCs w:val="20"/>
          <w:lang w:val="fr-CA"/>
        </w:rPr>
        <w:t>;</w:t>
      </w:r>
    </w:p>
    <w:p w14:paraId="20E602EB" w14:textId="4E9FBFA2" w:rsidR="00AC1E01" w:rsidRPr="00B63BD5" w:rsidRDefault="00A56AD8" w:rsidP="00202247">
      <w:pPr>
        <w:pStyle w:val="04LOLglNew5"/>
        <w:rPr>
          <w:szCs w:val="20"/>
          <w:lang w:val="fr-CA"/>
        </w:rPr>
      </w:pPr>
      <w:r w:rsidRPr="00B63BD5">
        <w:rPr>
          <w:szCs w:val="20"/>
          <w:lang w:val="fr-CA"/>
        </w:rPr>
        <w:t xml:space="preserve">si la Période </w:t>
      </w:r>
      <w:r w:rsidR="00601947" w:rsidRPr="00B63BD5">
        <w:rPr>
          <w:szCs w:val="20"/>
          <w:lang w:val="fr-CA"/>
        </w:rPr>
        <w:t xml:space="preserve">SOFR </w:t>
      </w:r>
      <w:r w:rsidR="00965195" w:rsidRPr="00B63BD5">
        <w:rPr>
          <w:szCs w:val="20"/>
          <w:lang w:val="fr-CA"/>
        </w:rPr>
        <w:t>applicable</w:t>
      </w:r>
      <w:r w:rsidRPr="00B63BD5">
        <w:rPr>
          <w:szCs w:val="20"/>
          <w:lang w:val="fr-CA"/>
        </w:rPr>
        <w:t xml:space="preserve"> </w:t>
      </w:r>
      <w:r w:rsidR="00AD7D5D" w:rsidRPr="00B63BD5">
        <w:rPr>
          <w:szCs w:val="20"/>
          <w:lang w:val="fr-CA"/>
        </w:rPr>
        <w:t xml:space="preserve">dépasse </w:t>
      </w:r>
      <w:r w:rsidR="00B056F9" w:rsidRPr="00B63BD5">
        <w:rPr>
          <w:szCs w:val="20"/>
          <w:lang w:val="fr-CA"/>
        </w:rPr>
        <w:t>90 </w:t>
      </w:r>
      <w:r w:rsidRPr="00B63BD5">
        <w:rPr>
          <w:szCs w:val="20"/>
          <w:lang w:val="fr-CA"/>
        </w:rPr>
        <w:t>jours, à la fin de chaque période</w:t>
      </w:r>
      <w:r w:rsidR="00AB0594" w:rsidRPr="00B63BD5">
        <w:rPr>
          <w:szCs w:val="20"/>
          <w:lang w:val="fr-CA"/>
        </w:rPr>
        <w:t xml:space="preserve"> </w:t>
      </w:r>
      <w:r w:rsidRPr="00B63BD5">
        <w:rPr>
          <w:szCs w:val="20"/>
          <w:lang w:val="fr-CA"/>
        </w:rPr>
        <w:t>de</w:t>
      </w:r>
      <w:r w:rsidR="00AB0594" w:rsidRPr="00B63BD5">
        <w:rPr>
          <w:szCs w:val="20"/>
          <w:lang w:val="fr-CA"/>
        </w:rPr>
        <w:t xml:space="preserve"> </w:t>
      </w:r>
      <w:r w:rsidRPr="00B63BD5">
        <w:rPr>
          <w:szCs w:val="20"/>
          <w:lang w:val="fr-CA"/>
        </w:rPr>
        <w:t>90</w:t>
      </w:r>
      <w:r w:rsidR="007D0C7A" w:rsidRPr="00B63BD5">
        <w:rPr>
          <w:szCs w:val="20"/>
          <w:lang w:val="fr-CA"/>
        </w:rPr>
        <w:t> </w:t>
      </w:r>
      <w:r w:rsidRPr="00B63BD5">
        <w:rPr>
          <w:szCs w:val="20"/>
          <w:lang w:val="fr-CA"/>
        </w:rPr>
        <w:t xml:space="preserve">jours </w:t>
      </w:r>
      <w:r w:rsidR="004D64AF" w:rsidRPr="00B63BD5">
        <w:rPr>
          <w:szCs w:val="20"/>
          <w:lang w:val="fr-CA"/>
        </w:rPr>
        <w:t xml:space="preserve">comprise dans la </w:t>
      </w:r>
      <w:r w:rsidRPr="00B63BD5">
        <w:rPr>
          <w:szCs w:val="20"/>
          <w:lang w:val="fr-CA"/>
        </w:rPr>
        <w:t xml:space="preserve">Période </w:t>
      </w:r>
      <w:r w:rsidR="00601947" w:rsidRPr="00B63BD5">
        <w:rPr>
          <w:szCs w:val="20"/>
          <w:lang w:val="fr-CA"/>
        </w:rPr>
        <w:t xml:space="preserve">SOFR </w:t>
      </w:r>
      <w:r w:rsidRPr="00B63BD5">
        <w:rPr>
          <w:szCs w:val="20"/>
          <w:lang w:val="fr-CA"/>
        </w:rPr>
        <w:t xml:space="preserve">et le dernier jour </w:t>
      </w:r>
      <w:r w:rsidR="00965195" w:rsidRPr="00B63BD5">
        <w:rPr>
          <w:szCs w:val="20"/>
          <w:lang w:val="fr-CA"/>
        </w:rPr>
        <w:t>de</w:t>
      </w:r>
      <w:r w:rsidR="00AB0594" w:rsidRPr="00B63BD5">
        <w:rPr>
          <w:szCs w:val="20"/>
          <w:lang w:val="fr-CA"/>
        </w:rPr>
        <w:t xml:space="preserve"> </w:t>
      </w:r>
      <w:r w:rsidR="00AD7D5D" w:rsidRPr="00B63BD5">
        <w:rPr>
          <w:szCs w:val="20"/>
          <w:lang w:val="fr-CA"/>
        </w:rPr>
        <w:t>la</w:t>
      </w:r>
      <w:r w:rsidR="00AB0594" w:rsidRPr="00B63BD5">
        <w:rPr>
          <w:szCs w:val="20"/>
          <w:lang w:val="fr-CA"/>
        </w:rPr>
        <w:t xml:space="preserve"> </w:t>
      </w:r>
      <w:r w:rsidRPr="00B63BD5">
        <w:rPr>
          <w:szCs w:val="20"/>
          <w:lang w:val="fr-CA"/>
        </w:rPr>
        <w:t>Période</w:t>
      </w:r>
      <w:r w:rsidR="00373496" w:rsidRPr="00B63BD5">
        <w:rPr>
          <w:szCs w:val="20"/>
          <w:lang w:val="fr-CA"/>
        </w:rPr>
        <w:t xml:space="preserve"> </w:t>
      </w:r>
      <w:r w:rsidR="00601947" w:rsidRPr="00B63BD5">
        <w:rPr>
          <w:szCs w:val="20"/>
          <w:lang w:val="fr-CA"/>
        </w:rPr>
        <w:t>SOFR</w:t>
      </w:r>
      <w:r w:rsidRPr="00B63BD5">
        <w:rPr>
          <w:szCs w:val="20"/>
          <w:lang w:val="fr-CA"/>
        </w:rPr>
        <w:t>;</w:t>
      </w:r>
    </w:p>
    <w:p w14:paraId="20E7B5B1" w14:textId="70245C0A" w:rsidR="002C1935" w:rsidRPr="00B63BD5" w:rsidRDefault="00A56AD8" w:rsidP="00202247">
      <w:pPr>
        <w:pStyle w:val="04LOLglNew5"/>
        <w:rPr>
          <w:szCs w:val="20"/>
          <w:lang w:val="fr-CA"/>
        </w:rPr>
      </w:pPr>
      <w:r w:rsidRPr="00B63BD5">
        <w:rPr>
          <w:szCs w:val="20"/>
          <w:lang w:val="fr-CA"/>
        </w:rPr>
        <w:t xml:space="preserve">à la </w:t>
      </w:r>
      <w:r w:rsidR="00AC1E01" w:rsidRPr="00B63BD5">
        <w:rPr>
          <w:szCs w:val="20"/>
          <w:lang w:val="fr-CA"/>
        </w:rPr>
        <w:t xml:space="preserve">date </w:t>
      </w:r>
      <w:r w:rsidRPr="00B63BD5">
        <w:rPr>
          <w:szCs w:val="20"/>
          <w:lang w:val="fr-CA"/>
        </w:rPr>
        <w:t xml:space="preserve">à laquelle le </w:t>
      </w:r>
      <w:r w:rsidR="00982DB6" w:rsidRPr="00B63BD5">
        <w:rPr>
          <w:szCs w:val="20"/>
          <w:lang w:val="fr-CA"/>
        </w:rPr>
        <w:t xml:space="preserve">Prêt au taux </w:t>
      </w:r>
      <w:r w:rsidR="00601947" w:rsidRPr="00B63BD5">
        <w:rPr>
          <w:szCs w:val="20"/>
          <w:lang w:val="fr-CA"/>
        </w:rPr>
        <w:t xml:space="preserve">SOFR à terme </w:t>
      </w:r>
      <w:r w:rsidRPr="00B63BD5">
        <w:rPr>
          <w:szCs w:val="20"/>
          <w:lang w:val="fr-CA"/>
        </w:rPr>
        <w:t>devient exigible (ou</w:t>
      </w:r>
      <w:r w:rsidR="007D0C7A" w:rsidRPr="00B63BD5">
        <w:rPr>
          <w:szCs w:val="20"/>
          <w:lang w:val="fr-CA"/>
        </w:rPr>
        <w:t> </w:t>
      </w:r>
      <w:r w:rsidRPr="00B63BD5">
        <w:rPr>
          <w:szCs w:val="20"/>
          <w:lang w:val="fr-CA"/>
        </w:rPr>
        <w:t>est</w:t>
      </w:r>
      <w:r w:rsidR="007D0C7A" w:rsidRPr="00B63BD5">
        <w:rPr>
          <w:szCs w:val="20"/>
          <w:lang w:val="fr-CA"/>
        </w:rPr>
        <w:t> </w:t>
      </w:r>
      <w:r w:rsidRPr="00B63BD5">
        <w:rPr>
          <w:szCs w:val="20"/>
          <w:lang w:val="fr-CA"/>
        </w:rPr>
        <w:t>remboursé par anticipation)</w:t>
      </w:r>
      <w:r w:rsidR="00571244" w:rsidRPr="00B63BD5">
        <w:rPr>
          <w:szCs w:val="20"/>
          <w:lang w:val="fr-CA"/>
        </w:rPr>
        <w:t>.</w:t>
      </w:r>
    </w:p>
    <w:p w14:paraId="6FD8E90A" w14:textId="6B1E0E59" w:rsidR="00403593" w:rsidRPr="00F26499" w:rsidRDefault="00601947" w:rsidP="00F26499">
      <w:pPr>
        <w:pStyle w:val="04LOLglNew3"/>
        <w:widowControl w:val="0"/>
        <w:rPr>
          <w:lang w:val="fr-CA"/>
        </w:rPr>
      </w:pPr>
      <w:r w:rsidRPr="00F26499">
        <w:rPr>
          <w:b/>
          <w:color w:val="00B0F0"/>
          <w:lang w:val="fr-CA"/>
        </w:rPr>
        <w:t xml:space="preserve">[TAUX SOFR À TERME, </w:t>
      </w:r>
      <w:r w:rsidR="00974DA6" w:rsidRPr="00F26499">
        <w:rPr>
          <w:b/>
          <w:color w:val="00B0F0"/>
          <w:lang w:val="fr-CA"/>
        </w:rPr>
        <w:t>R</w:t>
      </w:r>
      <w:r w:rsidR="00135683">
        <w:rPr>
          <w:b/>
          <w:color w:val="00B0F0"/>
          <w:lang w:val="fr-CA"/>
        </w:rPr>
        <w:t>AJUSTEMENT DE L’ÉCART</w:t>
      </w:r>
      <w:r w:rsidR="00CC5B5B" w:rsidRPr="00F26499">
        <w:rPr>
          <w:b/>
          <w:color w:val="00B0F0"/>
          <w:lang w:val="fr-CA"/>
        </w:rPr>
        <w:t xml:space="preserve"> COMBINÉ</w:t>
      </w:r>
      <w:r w:rsidR="00AC4107" w:rsidRPr="00F26499">
        <w:rPr>
          <w:b/>
          <w:color w:val="00B0F0"/>
          <w:lang w:val="fr-CA"/>
        </w:rPr>
        <w:t xml:space="preserve"> </w:t>
      </w:r>
      <w:r w:rsidRPr="00F26499">
        <w:rPr>
          <w:b/>
          <w:color w:val="00B0F0"/>
          <w:lang w:val="fr-CA"/>
        </w:rPr>
        <w:t>: Sélectionner cette option pour les clients qui</w:t>
      </w:r>
      <w:r w:rsidR="00A86BDD" w:rsidRPr="00F26499">
        <w:rPr>
          <w:b/>
          <w:color w:val="00B0F0"/>
          <w:lang w:val="fr-CA"/>
        </w:rPr>
        <w:t> </w:t>
      </w:r>
      <w:r w:rsidRPr="00F26499">
        <w:rPr>
          <w:b/>
          <w:color w:val="00B0F0"/>
          <w:lang w:val="fr-CA"/>
        </w:rPr>
        <w:t>optent pour le taux SOFR à terme et qui ne demandent pas que le rajustement de l</w:t>
      </w:r>
      <w:r w:rsidR="00564B0C" w:rsidRPr="00F26499">
        <w:rPr>
          <w:b/>
          <w:color w:val="00B0F0"/>
          <w:lang w:val="fr-CA"/>
        </w:rPr>
        <w:t>’</w:t>
      </w:r>
      <w:r w:rsidRPr="00F26499">
        <w:rPr>
          <w:b/>
          <w:color w:val="00B0F0"/>
          <w:lang w:val="fr-CA"/>
        </w:rPr>
        <w:t xml:space="preserve">écart soit indiqué séparément] </w:t>
      </w:r>
      <w:r w:rsidRPr="00F26499">
        <w:rPr>
          <w:lang w:val="fr-CA"/>
        </w:rPr>
        <w:t xml:space="preserve">pour les Prêts au taux SOFR à terme, au Taux de référence SOFR majoré </w:t>
      </w:r>
      <w:r w:rsidR="001828FF" w:rsidRPr="00F26499">
        <w:rPr>
          <w:lang w:val="fr-CA"/>
        </w:rPr>
        <w:t>du pourcentage</w:t>
      </w:r>
      <w:r w:rsidRPr="00F26499">
        <w:rPr>
          <w:lang w:val="fr-CA"/>
        </w:rPr>
        <w:t xml:space="preserve"> </w:t>
      </w:r>
      <w:r w:rsidR="001828FF" w:rsidRPr="00F26499">
        <w:rPr>
          <w:lang w:val="fr-CA"/>
        </w:rPr>
        <w:t>annuel indiqué ci-dessous pour la Période SOFR applicable</w:t>
      </w:r>
      <w:r w:rsidR="00F26499" w:rsidRPr="00F26499">
        <w:rPr>
          <w:lang w:val="fr-CA"/>
        </w:rPr>
        <w:t> :</w:t>
      </w:r>
      <w:r w:rsidRPr="00F26499">
        <w:rPr>
          <w:lang w:val="fr-CA"/>
        </w:rPr>
        <w:t xml:space="preserve"> </w:t>
      </w:r>
    </w:p>
    <w:p w14:paraId="6A1BC44B" w14:textId="0560E86E" w:rsidR="00311860" w:rsidRPr="00B63BD5" w:rsidRDefault="00311860" w:rsidP="00632863">
      <w:pPr>
        <w:pStyle w:val="Heading4"/>
        <w:widowControl w:val="0"/>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jc w:val="both"/>
        <w:rPr>
          <w:b/>
          <w:color w:val="00B0F0"/>
        </w:rPr>
      </w:pPr>
      <w:r w:rsidRPr="00B63BD5">
        <w:rPr>
          <w:b/>
          <w:color w:val="00B0F0"/>
        </w:rPr>
        <w:t>[N.B. : Ajouter la marge applicable au rajustement de l</w:t>
      </w:r>
      <w:r w:rsidR="00564B0C" w:rsidRPr="00B63BD5">
        <w:rPr>
          <w:b/>
          <w:color w:val="00B0F0"/>
        </w:rPr>
        <w:t>’</w:t>
      </w:r>
      <w:r w:rsidRPr="00B63BD5">
        <w:rPr>
          <w:b/>
          <w:color w:val="00B0F0"/>
        </w:rPr>
        <w:t>écart et indiquer dans le tableau ci-dessous le nombre total (et supprimer les crochets). Si un rajustement de l</w:t>
      </w:r>
      <w:r w:rsidR="00564B0C" w:rsidRPr="00B63BD5">
        <w:rPr>
          <w:b/>
          <w:color w:val="00B0F0"/>
        </w:rPr>
        <w:t>’</w:t>
      </w:r>
      <w:r w:rsidRPr="00B63BD5">
        <w:rPr>
          <w:b/>
          <w:color w:val="00B0F0"/>
        </w:rPr>
        <w:t xml:space="preserve">écart </w:t>
      </w:r>
      <w:r w:rsidRPr="00B63BD5">
        <w:rPr>
          <w:b/>
          <w:color w:val="FF0000"/>
        </w:rPr>
        <w:t>historique</w:t>
      </w:r>
      <w:r w:rsidRPr="00B63BD5">
        <w:rPr>
          <w:b/>
          <w:color w:val="00B0F0"/>
        </w:rPr>
        <w:t xml:space="preserve"> est utilisé (selon le formulaire des principales conditions), se reporter aux rajustements indiqués dans le tableau ci-dessous, à moins que le GRB recommande un autre rajustement de l</w:t>
      </w:r>
      <w:r w:rsidR="00564B0C" w:rsidRPr="00B63BD5">
        <w:rPr>
          <w:b/>
          <w:color w:val="00B0F0"/>
        </w:rPr>
        <w:t>’</w:t>
      </w:r>
      <w:r w:rsidRPr="00B63BD5">
        <w:rPr>
          <w:b/>
          <w:color w:val="00B0F0"/>
        </w:rPr>
        <w:t>écart. Si un rajustement de l</w:t>
      </w:r>
      <w:r w:rsidR="00564B0C" w:rsidRPr="00B63BD5">
        <w:rPr>
          <w:b/>
          <w:color w:val="00B0F0"/>
        </w:rPr>
        <w:t>’</w:t>
      </w:r>
      <w:r w:rsidRPr="00B63BD5">
        <w:rPr>
          <w:b/>
          <w:color w:val="00B0F0"/>
        </w:rPr>
        <w:t xml:space="preserve">écart </w:t>
      </w:r>
      <w:r w:rsidRPr="00B63BD5">
        <w:rPr>
          <w:b/>
          <w:color w:val="FF0000"/>
        </w:rPr>
        <w:t>prospectif</w:t>
      </w:r>
      <w:r w:rsidRPr="00B63BD5">
        <w:rPr>
          <w:b/>
          <w:color w:val="00B0F0"/>
        </w:rPr>
        <w:t xml:space="preserve"> est utilisé (selon le formulaire des principales conditions), se reporter aux rajustements indiqués dans le formulaire des principales conditions. Prendre note que dans le cas des rajustements prospectifs, seules les périodes SOFR d</w:t>
      </w:r>
      <w:r w:rsidR="00564B0C" w:rsidRPr="00B63BD5">
        <w:rPr>
          <w:b/>
          <w:color w:val="00B0F0"/>
        </w:rPr>
        <w:t>’</w:t>
      </w:r>
      <w:r w:rsidRPr="00B63BD5">
        <w:rPr>
          <w:b/>
          <w:color w:val="00B0F0"/>
        </w:rPr>
        <w:t xml:space="preserve">un mois et de trois mois sont possibles; supprimer les deux dernières lignes du tableau ci-dessous. </w:t>
      </w:r>
      <w:r w:rsidR="00AD26E3" w:rsidRPr="00B63BD5">
        <w:rPr>
          <w:b/>
          <w:color w:val="00B0F0"/>
        </w:rPr>
        <w:t>Si un rajustement de l’écart de 10/15/25 est utilisé (selon le formulaire des principales conditions), indiquer 0,10 %, 0,15 % et 0,25 % dans le tableau ci-dessous. Prendre note que pour l’option 10/15/25, la période de SOFR de douze mois n’est pas offerte; supprimer la dernière ligne.</w:t>
      </w:r>
      <w:r w:rsidR="00B606D1" w:rsidRPr="00B63BD5">
        <w:rPr>
          <w:b/>
          <w:color w:val="00B0F0"/>
        </w:rPr>
        <w:t xml:space="preserve"> </w:t>
      </w:r>
      <w:r w:rsidRPr="00B63BD5">
        <w:rPr>
          <w:b/>
          <w:color w:val="00B0F0"/>
        </w:rPr>
        <w:t>Si l</w:t>
      </w:r>
      <w:r w:rsidR="00564B0C" w:rsidRPr="00B63BD5">
        <w:rPr>
          <w:b/>
          <w:color w:val="00B0F0"/>
        </w:rPr>
        <w:t>’</w:t>
      </w:r>
      <w:r w:rsidRPr="00B63BD5">
        <w:rPr>
          <w:b/>
          <w:color w:val="00B0F0"/>
        </w:rPr>
        <w:t>écart sera calculé à</w:t>
      </w:r>
      <w:r w:rsidR="00C341A7" w:rsidRPr="00B63BD5">
        <w:rPr>
          <w:b/>
          <w:color w:val="00B0F0"/>
        </w:rPr>
        <w:t> </w:t>
      </w:r>
      <w:r w:rsidRPr="00B63BD5">
        <w:rPr>
          <w:b/>
          <w:color w:val="00B0F0"/>
        </w:rPr>
        <w:t>une date ultérieure, ajouter la mention «</w:t>
      </w:r>
      <w:r w:rsidR="00B056F9" w:rsidRPr="00B63BD5">
        <w:rPr>
          <w:b/>
          <w:color w:val="00B0F0"/>
        </w:rPr>
        <w:t> </w:t>
      </w:r>
      <w:r w:rsidRPr="00B63BD5">
        <w:rPr>
          <w:b/>
          <w:color w:val="00B0F0"/>
        </w:rPr>
        <w:t>À déterminer à la Date de substitution</w:t>
      </w:r>
      <w:r w:rsidR="00B056F9" w:rsidRPr="00B63BD5">
        <w:rPr>
          <w:b/>
          <w:color w:val="00B0F0"/>
        </w:rPr>
        <w:t> </w:t>
      </w:r>
      <w:r w:rsidRPr="00B63BD5">
        <w:rPr>
          <w:b/>
          <w:color w:val="00B0F0"/>
        </w:rPr>
        <w:t>» dans la colonne «</w:t>
      </w:r>
      <w:r w:rsidR="00B056F9" w:rsidRPr="00B63BD5">
        <w:rPr>
          <w:b/>
          <w:color w:val="00B0F0"/>
        </w:rPr>
        <w:t> </w:t>
      </w:r>
      <w:r w:rsidRPr="00B63BD5">
        <w:rPr>
          <w:b/>
          <w:color w:val="00B0F0"/>
        </w:rPr>
        <w:t>Pourcentage</w:t>
      </w:r>
      <w:r w:rsidR="00B056F9" w:rsidRPr="00B63BD5">
        <w:rPr>
          <w:b/>
          <w:color w:val="00B0F0"/>
        </w:rPr>
        <w:t> </w:t>
      </w:r>
      <w:r w:rsidRPr="00B63BD5">
        <w:rPr>
          <w:b/>
          <w:color w:val="00B0F0"/>
        </w:rPr>
        <w:t>» au lieu du taux indiqué.]</w:t>
      </w:r>
    </w:p>
    <w:tbl>
      <w:tblPr>
        <w:tblStyle w:val="TableGrid"/>
        <w:tblW w:w="0" w:type="auto"/>
        <w:tblInd w:w="1345" w:type="dxa"/>
        <w:tblLook w:val="04A0" w:firstRow="1" w:lastRow="0" w:firstColumn="1" w:lastColumn="0" w:noHBand="0" w:noVBand="1"/>
      </w:tblPr>
      <w:tblGrid>
        <w:gridCol w:w="1911"/>
        <w:gridCol w:w="5386"/>
      </w:tblGrid>
      <w:tr w:rsidR="000F0FF2" w:rsidRPr="00B63BD5" w14:paraId="60340860" w14:textId="77777777" w:rsidTr="000F0FF2">
        <w:tc>
          <w:tcPr>
            <w:tcW w:w="1911" w:type="dxa"/>
            <w:hideMark/>
          </w:tcPr>
          <w:p w14:paraId="504161D9" w14:textId="77777777" w:rsidR="000F0FF2" w:rsidRPr="00B63BD5" w:rsidRDefault="000F0FF2">
            <w:pPr>
              <w:pStyle w:val="FootnoteText"/>
              <w:rPr>
                <w:u w:val="single"/>
                <w:lang w:val="fr-CA"/>
              </w:rPr>
            </w:pPr>
            <w:r w:rsidRPr="00B63BD5">
              <w:rPr>
                <w:u w:val="single"/>
                <w:lang w:val="fr-CA"/>
              </w:rPr>
              <w:t>Période SOFR</w:t>
            </w:r>
          </w:p>
        </w:tc>
        <w:tc>
          <w:tcPr>
            <w:tcW w:w="5386" w:type="dxa"/>
            <w:hideMark/>
          </w:tcPr>
          <w:p w14:paraId="7753AD80" w14:textId="77777777" w:rsidR="000F0FF2" w:rsidRPr="00B63BD5" w:rsidRDefault="000F0FF2">
            <w:pPr>
              <w:pStyle w:val="FootnoteText"/>
              <w:rPr>
                <w:u w:val="single"/>
                <w:lang w:val="fr-CA"/>
              </w:rPr>
            </w:pPr>
            <w:r w:rsidRPr="00B63BD5">
              <w:rPr>
                <w:u w:val="single"/>
                <w:lang w:val="fr-CA"/>
              </w:rPr>
              <w:t>Pourcentage</w:t>
            </w:r>
          </w:p>
        </w:tc>
      </w:tr>
      <w:tr w:rsidR="00AD26E3" w:rsidRPr="002C047F" w14:paraId="4440D3F1" w14:textId="77777777" w:rsidTr="000F0FF2">
        <w:tc>
          <w:tcPr>
            <w:tcW w:w="1911" w:type="dxa"/>
            <w:hideMark/>
          </w:tcPr>
          <w:p w14:paraId="473234E6" w14:textId="77777777" w:rsidR="00AD26E3" w:rsidRPr="00B63BD5" w:rsidRDefault="00AD26E3" w:rsidP="00AD26E3">
            <w:pPr>
              <w:pStyle w:val="FootnoteText"/>
              <w:rPr>
                <w:lang w:val="fr-CA"/>
              </w:rPr>
            </w:pPr>
            <w:r w:rsidRPr="00B63BD5">
              <w:rPr>
                <w:lang w:val="fr-CA"/>
              </w:rPr>
              <w:t>Un mois</w:t>
            </w:r>
          </w:p>
        </w:tc>
        <w:tc>
          <w:tcPr>
            <w:tcW w:w="5386" w:type="dxa"/>
            <w:hideMark/>
          </w:tcPr>
          <w:p w14:paraId="6C243637" w14:textId="7AD00A4A" w:rsidR="00AD26E3" w:rsidRPr="00B63BD5" w:rsidRDefault="00AD26E3" w:rsidP="00AD26E3">
            <w:pPr>
              <w:pStyle w:val="FootnoteText"/>
              <w:rPr>
                <w:lang w:val="fr-CA"/>
              </w:rPr>
            </w:pPr>
            <w:r w:rsidRPr="00B63BD5">
              <w:rPr>
                <w:rStyle w:val="Prompt"/>
                <w:lang w:val="fr-CA"/>
              </w:rPr>
              <w:t>[</w:t>
            </w:r>
            <w:r w:rsidRPr="00B63BD5">
              <w:rPr>
                <w:lang w:val="fr-CA"/>
              </w:rPr>
              <w:t xml:space="preserve">0,11448 + </w:t>
            </w:r>
            <w:r w:rsidRPr="00B63BD5">
              <w:rPr>
                <w:rStyle w:val="Prompt"/>
                <w:lang w:val="fr-CA"/>
              </w:rPr>
              <w:sym w:font="Wingdings" w:char="F06C"/>
            </w:r>
            <w:r w:rsidRPr="00B63BD5">
              <w:rPr>
                <w:lang w:val="fr-CA"/>
              </w:rPr>
              <w:t>]</w:t>
            </w:r>
            <w:r w:rsidRPr="00B63BD5">
              <w:rPr>
                <w:rStyle w:val="Prompt"/>
                <w:lang w:val="fr-CA"/>
              </w:rPr>
              <w:t>[</w:t>
            </w:r>
            <w:r w:rsidRPr="00B63BD5">
              <w:rPr>
                <w:lang w:val="fr-CA"/>
              </w:rPr>
              <w:t xml:space="preserve">0,10 + </w:t>
            </w:r>
            <w:r w:rsidRPr="00B63BD5">
              <w:rPr>
                <w:rStyle w:val="Prompt"/>
                <w:lang w:val="fr-CA"/>
              </w:rPr>
              <w:sym w:font="Wingdings" w:char="F06C"/>
            </w:r>
            <w:r w:rsidRPr="00B63BD5">
              <w:rPr>
                <w:lang w:val="fr-CA"/>
              </w:rPr>
              <w:t>] % [À déterminer à la Date de substitution]</w:t>
            </w:r>
          </w:p>
        </w:tc>
      </w:tr>
      <w:tr w:rsidR="00AD26E3" w:rsidRPr="002C047F" w14:paraId="09AF341C" w14:textId="77777777" w:rsidTr="000F0FF2">
        <w:tc>
          <w:tcPr>
            <w:tcW w:w="1911" w:type="dxa"/>
            <w:hideMark/>
          </w:tcPr>
          <w:p w14:paraId="060F970D" w14:textId="77777777" w:rsidR="00AD26E3" w:rsidRPr="00B63BD5" w:rsidRDefault="00AD26E3" w:rsidP="00AD26E3">
            <w:pPr>
              <w:pStyle w:val="FootnoteText"/>
              <w:rPr>
                <w:lang w:val="fr-CA"/>
              </w:rPr>
            </w:pPr>
            <w:r w:rsidRPr="00B63BD5">
              <w:rPr>
                <w:lang w:val="fr-CA"/>
              </w:rPr>
              <w:t>Trois mois</w:t>
            </w:r>
          </w:p>
        </w:tc>
        <w:tc>
          <w:tcPr>
            <w:tcW w:w="5386" w:type="dxa"/>
            <w:hideMark/>
          </w:tcPr>
          <w:p w14:paraId="1F2280AD" w14:textId="6D89A67D" w:rsidR="00AD26E3" w:rsidRPr="00B63BD5" w:rsidRDefault="00AD26E3" w:rsidP="00AD26E3">
            <w:pPr>
              <w:pStyle w:val="FootnoteText"/>
              <w:rPr>
                <w:lang w:val="fr-CA"/>
              </w:rPr>
            </w:pPr>
            <w:r w:rsidRPr="00B63BD5">
              <w:rPr>
                <w:rStyle w:val="Prompt"/>
                <w:lang w:val="fr-CA"/>
              </w:rPr>
              <w:t>[</w:t>
            </w:r>
            <w:r w:rsidRPr="00B63BD5">
              <w:rPr>
                <w:lang w:val="fr-CA"/>
              </w:rPr>
              <w:t xml:space="preserve">0,26161 + </w:t>
            </w:r>
            <w:r w:rsidRPr="00B63BD5">
              <w:rPr>
                <w:rStyle w:val="Prompt"/>
                <w:lang w:val="fr-CA"/>
              </w:rPr>
              <w:sym w:font="Wingdings" w:char="F06C"/>
            </w:r>
            <w:r w:rsidRPr="00B63BD5">
              <w:rPr>
                <w:lang w:val="fr-CA"/>
              </w:rPr>
              <w:t>]</w:t>
            </w:r>
            <w:r w:rsidRPr="00B63BD5">
              <w:rPr>
                <w:rStyle w:val="Prompt"/>
                <w:lang w:val="fr-CA"/>
              </w:rPr>
              <w:t>[</w:t>
            </w:r>
            <w:r w:rsidRPr="00B63BD5">
              <w:rPr>
                <w:lang w:val="fr-CA"/>
              </w:rPr>
              <w:t xml:space="preserve">0,15 + </w:t>
            </w:r>
            <w:r w:rsidRPr="00B63BD5">
              <w:rPr>
                <w:rStyle w:val="Prompt"/>
                <w:lang w:val="fr-CA"/>
              </w:rPr>
              <w:sym w:font="Wingdings" w:char="F06C"/>
            </w:r>
            <w:r w:rsidRPr="00B63BD5">
              <w:rPr>
                <w:lang w:val="fr-CA"/>
              </w:rPr>
              <w:t>] % [À déterminer à la Date de substitution]</w:t>
            </w:r>
          </w:p>
        </w:tc>
      </w:tr>
      <w:tr w:rsidR="000F0FF2" w:rsidRPr="002C047F" w14:paraId="46F56AC0" w14:textId="77777777" w:rsidTr="000F0FF2">
        <w:tc>
          <w:tcPr>
            <w:tcW w:w="1911" w:type="dxa"/>
            <w:hideMark/>
          </w:tcPr>
          <w:p w14:paraId="216EBFAF" w14:textId="77777777" w:rsidR="000F0FF2" w:rsidRPr="00B63BD5" w:rsidRDefault="000F0FF2">
            <w:pPr>
              <w:pStyle w:val="FootnoteText"/>
              <w:rPr>
                <w:lang w:val="fr-CA"/>
              </w:rPr>
            </w:pPr>
            <w:r w:rsidRPr="00B63BD5">
              <w:rPr>
                <w:lang w:val="fr-CA"/>
              </w:rPr>
              <w:t>Six mois</w:t>
            </w:r>
          </w:p>
        </w:tc>
        <w:tc>
          <w:tcPr>
            <w:tcW w:w="5386" w:type="dxa"/>
            <w:hideMark/>
          </w:tcPr>
          <w:p w14:paraId="30BC682E" w14:textId="2BBCD278" w:rsidR="000F0FF2" w:rsidRPr="00B63BD5" w:rsidRDefault="00AD26E3">
            <w:pPr>
              <w:pStyle w:val="FootnoteText"/>
              <w:rPr>
                <w:lang w:val="fr-CA"/>
              </w:rPr>
            </w:pPr>
            <w:r w:rsidRPr="00B63BD5">
              <w:rPr>
                <w:lang w:val="fr-CA"/>
              </w:rPr>
              <w:t xml:space="preserve">[0,42826 + </w:t>
            </w:r>
            <w:r w:rsidRPr="00B63BD5">
              <w:rPr>
                <w:rStyle w:val="Prompt"/>
                <w:lang w:val="fr-CA"/>
              </w:rPr>
              <w:sym w:font="Wingdings" w:char="F06C"/>
            </w:r>
            <w:r w:rsidRPr="00B63BD5">
              <w:rPr>
                <w:lang w:val="fr-CA"/>
              </w:rPr>
              <w:t>]</w:t>
            </w:r>
            <w:r w:rsidRPr="00B63BD5">
              <w:rPr>
                <w:rStyle w:val="Prompt"/>
                <w:lang w:val="fr-CA"/>
              </w:rPr>
              <w:t>[</w:t>
            </w:r>
            <w:r w:rsidRPr="00B63BD5">
              <w:rPr>
                <w:lang w:val="fr-CA"/>
              </w:rPr>
              <w:t xml:space="preserve">0,25 + </w:t>
            </w:r>
            <w:r w:rsidRPr="00B63BD5">
              <w:rPr>
                <w:rStyle w:val="Prompt"/>
                <w:lang w:val="fr-CA"/>
              </w:rPr>
              <w:sym w:font="Wingdings" w:char="F06C"/>
            </w:r>
            <w:r w:rsidRPr="00B63BD5">
              <w:rPr>
                <w:lang w:val="fr-CA"/>
              </w:rPr>
              <w:t>] % [À déterminer à la Date de substitution]</w:t>
            </w:r>
          </w:p>
        </w:tc>
      </w:tr>
      <w:tr w:rsidR="000F0FF2" w:rsidRPr="002C047F" w14:paraId="44B5C921" w14:textId="77777777" w:rsidTr="000F0FF2">
        <w:tc>
          <w:tcPr>
            <w:tcW w:w="1911" w:type="dxa"/>
            <w:hideMark/>
          </w:tcPr>
          <w:p w14:paraId="500D30E0" w14:textId="77777777" w:rsidR="000F0FF2" w:rsidRPr="00B63BD5" w:rsidRDefault="000F0FF2">
            <w:pPr>
              <w:pStyle w:val="FootnoteText"/>
              <w:rPr>
                <w:b/>
                <w:color w:val="00B0F0"/>
                <w:lang w:val="fr-CA"/>
              </w:rPr>
            </w:pPr>
            <w:r w:rsidRPr="00B63BD5">
              <w:rPr>
                <w:lang w:val="fr-CA"/>
              </w:rPr>
              <w:t>Douze mois</w:t>
            </w:r>
          </w:p>
        </w:tc>
        <w:tc>
          <w:tcPr>
            <w:tcW w:w="5386" w:type="dxa"/>
            <w:hideMark/>
          </w:tcPr>
          <w:p w14:paraId="2518D526" w14:textId="77777777" w:rsidR="000F0FF2" w:rsidRPr="00B63BD5" w:rsidRDefault="000F0FF2">
            <w:pPr>
              <w:pStyle w:val="FootnoteText"/>
              <w:rPr>
                <w:b/>
                <w:color w:val="00B0F0"/>
                <w:lang w:val="fr-CA"/>
              </w:rPr>
            </w:pPr>
            <w:r w:rsidRPr="00B63BD5">
              <w:rPr>
                <w:lang w:val="fr-CA"/>
              </w:rPr>
              <w:t xml:space="preserve">[0,71513 + </w:t>
            </w:r>
            <w:r w:rsidRPr="00B63BD5">
              <w:rPr>
                <w:rStyle w:val="Prompt"/>
                <w:lang w:val="fr-CA"/>
              </w:rPr>
              <w:sym w:font="Wingdings" w:char="F06C"/>
            </w:r>
            <w:r w:rsidRPr="00B63BD5">
              <w:rPr>
                <w:lang w:val="fr-CA"/>
              </w:rPr>
              <w:t>] % [À déterminer à la Date de substitution]</w:t>
            </w:r>
          </w:p>
        </w:tc>
      </w:tr>
    </w:tbl>
    <w:p w14:paraId="25237E95" w14:textId="77777777" w:rsidR="002459F9" w:rsidRPr="00B63BD5" w:rsidRDefault="002459F9" w:rsidP="002459F9">
      <w:pPr>
        <w:pStyle w:val="Heading4"/>
        <w:widowControl w:val="0"/>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31910A6D" w14:textId="5F6447CD" w:rsidR="00601947" w:rsidRPr="00B63BD5" w:rsidRDefault="001828FF" w:rsidP="002459F9">
      <w:pPr>
        <w:pStyle w:val="Heading4"/>
        <w:widowControl w:val="0"/>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B63BD5">
        <w:t xml:space="preserve">dans tous les cas, </w:t>
      </w:r>
      <w:r w:rsidR="00601947" w:rsidRPr="00B63BD5">
        <w:t>en fonction d</w:t>
      </w:r>
      <w:r w:rsidR="00564B0C" w:rsidRPr="00B63BD5">
        <w:t>’</w:t>
      </w:r>
      <w:r w:rsidR="00601947" w:rsidRPr="00B63BD5">
        <w:t>une année de 360</w:t>
      </w:r>
      <w:r w:rsidR="00AB0594" w:rsidRPr="00B63BD5">
        <w:t> </w:t>
      </w:r>
      <w:r w:rsidR="00601947" w:rsidRPr="00B63BD5">
        <w:t>jours, calculé sur le solde quotidien et</w:t>
      </w:r>
      <w:r w:rsidR="007D0C7A" w:rsidRPr="00B63BD5">
        <w:t> </w:t>
      </w:r>
      <w:r w:rsidR="00601947" w:rsidRPr="00B63BD5">
        <w:t>payable aux dates suivantes</w:t>
      </w:r>
      <w:r w:rsidR="00AC4107" w:rsidRPr="00B63BD5">
        <w:t xml:space="preserve"> </w:t>
      </w:r>
      <w:r w:rsidR="00601947" w:rsidRPr="00B63BD5">
        <w:t>:</w:t>
      </w:r>
    </w:p>
    <w:p w14:paraId="2449C42D" w14:textId="564FBB68" w:rsidR="00601947" w:rsidRPr="00B63BD5" w:rsidRDefault="00601947" w:rsidP="00AF7C93">
      <w:pPr>
        <w:pStyle w:val="04LOLglNew5"/>
        <w:numPr>
          <w:ilvl w:val="4"/>
          <w:numId w:val="23"/>
        </w:numPr>
        <w:rPr>
          <w:szCs w:val="20"/>
          <w:lang w:val="fr-CA"/>
        </w:rPr>
      </w:pPr>
      <w:r w:rsidRPr="00B63BD5">
        <w:rPr>
          <w:szCs w:val="20"/>
          <w:lang w:val="fr-CA"/>
        </w:rPr>
        <w:t>à la fin de la Période SOFR applicable;</w:t>
      </w:r>
    </w:p>
    <w:p w14:paraId="3CF7BE40" w14:textId="59639CD0" w:rsidR="00601947" w:rsidRPr="00B63BD5" w:rsidRDefault="00601947" w:rsidP="002459F9">
      <w:pPr>
        <w:pStyle w:val="04LOLglNew5"/>
        <w:rPr>
          <w:szCs w:val="20"/>
          <w:lang w:val="fr-CA"/>
        </w:rPr>
      </w:pPr>
      <w:r w:rsidRPr="00B63BD5">
        <w:rPr>
          <w:szCs w:val="20"/>
          <w:lang w:val="fr-CA"/>
        </w:rPr>
        <w:t>si la Période SOFR applicable dépasse 90</w:t>
      </w:r>
      <w:r w:rsidR="00AB0594" w:rsidRPr="00B63BD5">
        <w:rPr>
          <w:szCs w:val="20"/>
          <w:lang w:val="fr-CA"/>
        </w:rPr>
        <w:t> </w:t>
      </w:r>
      <w:r w:rsidRPr="00B63BD5">
        <w:rPr>
          <w:szCs w:val="20"/>
          <w:lang w:val="fr-CA"/>
        </w:rPr>
        <w:t>jours, à la fin de chaque période de 90</w:t>
      </w:r>
      <w:r w:rsidR="00AB0594" w:rsidRPr="00B63BD5">
        <w:rPr>
          <w:szCs w:val="20"/>
          <w:lang w:val="fr-CA"/>
        </w:rPr>
        <w:t> </w:t>
      </w:r>
      <w:r w:rsidRPr="00B63BD5">
        <w:rPr>
          <w:szCs w:val="20"/>
          <w:lang w:val="fr-CA"/>
        </w:rPr>
        <w:t>jours comprise dans la Période SOFR et le dernier jour de la Période SOFR;</w:t>
      </w:r>
      <w:r w:rsidR="00AC4107" w:rsidRPr="00B63BD5">
        <w:rPr>
          <w:szCs w:val="20"/>
          <w:lang w:val="fr-CA"/>
        </w:rPr>
        <w:t xml:space="preserve"> </w:t>
      </w:r>
    </w:p>
    <w:p w14:paraId="074A772B" w14:textId="010864A6" w:rsidR="00601947" w:rsidRPr="00B63BD5" w:rsidRDefault="00601947" w:rsidP="002459F9">
      <w:pPr>
        <w:pStyle w:val="04LOLglNew5"/>
        <w:rPr>
          <w:szCs w:val="20"/>
          <w:lang w:val="fr-CA"/>
        </w:rPr>
      </w:pPr>
      <w:r w:rsidRPr="00B63BD5">
        <w:rPr>
          <w:szCs w:val="20"/>
          <w:lang w:val="fr-CA"/>
        </w:rPr>
        <w:t>à la date à laquelle le Prêt au taux SOFR à terme devient exigible (ou est remboursé par</w:t>
      </w:r>
      <w:r w:rsidR="00AB0594" w:rsidRPr="00B63BD5">
        <w:rPr>
          <w:szCs w:val="20"/>
          <w:lang w:val="fr-CA"/>
        </w:rPr>
        <w:t xml:space="preserve"> </w:t>
      </w:r>
      <w:r w:rsidRPr="00B63BD5">
        <w:rPr>
          <w:szCs w:val="20"/>
          <w:lang w:val="fr-CA"/>
        </w:rPr>
        <w:t>anticipation).</w:t>
      </w:r>
    </w:p>
    <w:p w14:paraId="312CC3E7" w14:textId="481D7C17" w:rsidR="002806CD" w:rsidRPr="00B63BD5" w:rsidRDefault="002806CD" w:rsidP="002D1376">
      <w:pPr>
        <w:spacing w:after="240"/>
        <w:ind w:left="1418"/>
        <w:rPr>
          <w:lang w:val="fr-CA"/>
        </w:rPr>
      </w:pPr>
      <w:r w:rsidRPr="00B63BD5">
        <w:rPr>
          <w:lang w:val="fr-CA"/>
        </w:rPr>
        <w:t>Si le total du Taux de référence SOFR majoré d</w:t>
      </w:r>
      <w:r w:rsidR="0039566D" w:rsidRPr="00B63BD5">
        <w:rPr>
          <w:lang w:val="fr-CA"/>
        </w:rPr>
        <w:t xml:space="preserve">u montant indiqué ci-dessus est </w:t>
      </w:r>
      <w:r w:rsidRPr="00B63BD5">
        <w:rPr>
          <w:lang w:val="fr-CA"/>
        </w:rPr>
        <w:t>négatif, le total de ces montants (et non le Taux de r</w:t>
      </w:r>
      <w:r w:rsidR="0039566D" w:rsidRPr="00B63BD5">
        <w:rPr>
          <w:lang w:val="fr-CA"/>
        </w:rPr>
        <w:t xml:space="preserve">éférence SOFR pour éviter toute </w:t>
      </w:r>
      <w:r w:rsidRPr="00B63BD5">
        <w:rPr>
          <w:lang w:val="fr-CA"/>
        </w:rPr>
        <w:t>ambiguïté) est réputé être égal à zéro.</w:t>
      </w:r>
    </w:p>
    <w:p w14:paraId="44A772D3" w14:textId="47BA8693" w:rsidR="00601947" w:rsidRPr="00F26499" w:rsidRDefault="00601947" w:rsidP="00F26499">
      <w:pPr>
        <w:pStyle w:val="04LOLglNew3"/>
        <w:widowControl w:val="0"/>
        <w:rPr>
          <w:lang w:val="fr-CA"/>
        </w:rPr>
      </w:pPr>
      <w:r w:rsidRPr="00F26499">
        <w:rPr>
          <w:b/>
          <w:color w:val="00B0F0"/>
          <w:lang w:val="fr-CA"/>
        </w:rPr>
        <w:t>[TAUX SOFR</w:t>
      </w:r>
      <w:r w:rsidRPr="002D1376">
        <w:rPr>
          <w:b/>
          <w:color w:val="00B0F0"/>
          <w:lang w:val="fr-CA"/>
        </w:rPr>
        <w:t xml:space="preserve"> SIMPLE QUOTIDIEN, </w:t>
      </w:r>
      <w:r w:rsidR="00974DA6" w:rsidRPr="002D1376">
        <w:rPr>
          <w:b/>
          <w:color w:val="00B0F0"/>
          <w:lang w:val="fr-CA"/>
        </w:rPr>
        <w:t>RÉ SÉPARÉ</w:t>
      </w:r>
      <w:r w:rsidR="00AC4107" w:rsidRPr="002D1376">
        <w:rPr>
          <w:b/>
          <w:color w:val="00B0F0"/>
          <w:lang w:val="fr-CA"/>
        </w:rPr>
        <w:t xml:space="preserve"> </w:t>
      </w:r>
      <w:r w:rsidRPr="002D1376">
        <w:rPr>
          <w:b/>
          <w:color w:val="00B0F0"/>
          <w:lang w:val="fr-CA"/>
        </w:rPr>
        <w:t>: Sélectionner cette option pour les clients qui demandent que</w:t>
      </w:r>
      <w:r w:rsidR="007D0C7A" w:rsidRPr="002D1376">
        <w:rPr>
          <w:b/>
          <w:color w:val="00B0F0"/>
          <w:lang w:val="fr-CA"/>
        </w:rPr>
        <w:t> </w:t>
      </w:r>
      <w:r w:rsidRPr="002D1376">
        <w:rPr>
          <w:b/>
          <w:color w:val="00B0F0"/>
          <w:lang w:val="fr-CA"/>
        </w:rPr>
        <w:t>le</w:t>
      </w:r>
      <w:r w:rsidR="007D0C7A" w:rsidRPr="002D1376">
        <w:rPr>
          <w:b/>
          <w:color w:val="00B0F0"/>
          <w:lang w:val="fr-CA"/>
        </w:rPr>
        <w:t> </w:t>
      </w:r>
      <w:r w:rsidRPr="002D1376">
        <w:rPr>
          <w:b/>
          <w:color w:val="00B0F0"/>
          <w:lang w:val="fr-CA"/>
        </w:rPr>
        <w:t>rajustement de l</w:t>
      </w:r>
      <w:r w:rsidR="00564B0C" w:rsidRPr="002D1376">
        <w:rPr>
          <w:b/>
          <w:color w:val="00B0F0"/>
          <w:lang w:val="fr-CA"/>
        </w:rPr>
        <w:t>’</w:t>
      </w:r>
      <w:r w:rsidRPr="002D1376">
        <w:rPr>
          <w:b/>
          <w:color w:val="00B0F0"/>
          <w:lang w:val="fr-CA"/>
        </w:rPr>
        <w:t>écart soit indiqué séparément. Important</w:t>
      </w:r>
      <w:r w:rsidR="00C341A7" w:rsidRPr="002D1376">
        <w:rPr>
          <w:b/>
          <w:color w:val="00B0F0"/>
          <w:lang w:val="fr-CA"/>
        </w:rPr>
        <w:t> </w:t>
      </w:r>
      <w:r w:rsidRPr="002D1376">
        <w:rPr>
          <w:b/>
          <w:color w:val="00B0F0"/>
          <w:lang w:val="fr-CA"/>
        </w:rPr>
        <w:t>:</w:t>
      </w:r>
      <w:r w:rsidR="00C341A7" w:rsidRPr="002D1376">
        <w:rPr>
          <w:b/>
          <w:color w:val="00B0F0"/>
          <w:lang w:val="fr-CA"/>
        </w:rPr>
        <w:t> </w:t>
      </w:r>
      <w:r w:rsidRPr="002D1376">
        <w:rPr>
          <w:b/>
          <w:color w:val="00B0F0"/>
          <w:lang w:val="fr-CA"/>
        </w:rPr>
        <w:t>Insérer</w:t>
      </w:r>
      <w:r w:rsidR="00AB0594" w:rsidRPr="002D1376">
        <w:rPr>
          <w:b/>
          <w:color w:val="00B0F0"/>
          <w:lang w:val="fr-CA"/>
        </w:rPr>
        <w:t xml:space="preserve"> </w:t>
      </w:r>
      <w:r w:rsidRPr="002D1376">
        <w:rPr>
          <w:b/>
          <w:color w:val="00B0F0"/>
          <w:lang w:val="fr-CA"/>
        </w:rPr>
        <w:t>le rajustement de l</w:t>
      </w:r>
      <w:r w:rsidR="00564B0C" w:rsidRPr="002D1376">
        <w:rPr>
          <w:b/>
          <w:color w:val="00B0F0"/>
          <w:lang w:val="fr-CA"/>
        </w:rPr>
        <w:t>’</w:t>
      </w:r>
      <w:r w:rsidRPr="002D1376">
        <w:rPr>
          <w:b/>
          <w:color w:val="00B0F0"/>
          <w:lang w:val="fr-CA"/>
        </w:rPr>
        <w:t xml:space="preserve">écart indiqué au point </w:t>
      </w:r>
      <w:r w:rsidR="00D33630" w:rsidRPr="002D1376">
        <w:rPr>
          <w:b/>
          <w:color w:val="00B0F0"/>
          <w:lang w:val="fr-CA"/>
        </w:rPr>
        <w:t>(</w:t>
      </w:r>
      <w:r w:rsidRPr="002D1376">
        <w:rPr>
          <w:b/>
          <w:color w:val="00B0F0"/>
          <w:lang w:val="fr-CA"/>
        </w:rPr>
        <w:t xml:space="preserve">i). </w:t>
      </w:r>
      <w:r w:rsidR="005F70C3" w:rsidRPr="002D1376">
        <w:rPr>
          <w:b/>
          <w:color w:val="00B0F0"/>
          <w:lang w:val="fr-CA"/>
        </w:rPr>
        <w:t>Insérer l</w:t>
      </w:r>
      <w:r w:rsidR="00564B0C" w:rsidRPr="002D1376">
        <w:rPr>
          <w:b/>
          <w:color w:val="00B0F0"/>
          <w:lang w:val="fr-CA"/>
        </w:rPr>
        <w:t>’</w:t>
      </w:r>
      <w:r w:rsidRPr="002D1376">
        <w:rPr>
          <w:b/>
          <w:color w:val="00B0F0"/>
          <w:lang w:val="fr-CA"/>
        </w:rPr>
        <w:t>écart</w:t>
      </w:r>
      <w:r w:rsidR="005F70C3" w:rsidRPr="002D1376">
        <w:rPr>
          <w:b/>
          <w:color w:val="00B0F0"/>
          <w:lang w:val="fr-CA"/>
        </w:rPr>
        <w:t xml:space="preserve"> ou </w:t>
      </w:r>
      <w:r w:rsidRPr="002D1376">
        <w:rPr>
          <w:b/>
          <w:color w:val="00B0F0"/>
          <w:lang w:val="fr-CA"/>
        </w:rPr>
        <w:t>la marge de la Banque au point</w:t>
      </w:r>
      <w:r w:rsidR="00D33630" w:rsidRPr="002D1376">
        <w:rPr>
          <w:b/>
          <w:color w:val="00B0F0"/>
          <w:lang w:val="fr-CA"/>
        </w:rPr>
        <w:t xml:space="preserve"> (</w:t>
      </w:r>
      <w:r w:rsidRPr="002D1376">
        <w:rPr>
          <w:b/>
          <w:color w:val="00B0F0"/>
          <w:lang w:val="fr-CA"/>
        </w:rPr>
        <w:t xml:space="preserve">ii).] </w:t>
      </w:r>
      <w:r w:rsidRPr="00F26499">
        <w:rPr>
          <w:lang w:val="fr-CA"/>
        </w:rPr>
        <w:t>pour les Prêts</w:t>
      </w:r>
      <w:r w:rsidR="00AB0594" w:rsidRPr="00F26499">
        <w:rPr>
          <w:lang w:val="fr-CA"/>
        </w:rPr>
        <w:t xml:space="preserve"> </w:t>
      </w:r>
      <w:r w:rsidRPr="00F26499">
        <w:rPr>
          <w:lang w:val="fr-CA"/>
        </w:rPr>
        <w:t>au</w:t>
      </w:r>
      <w:r w:rsidR="00AB0594" w:rsidRPr="00F26499">
        <w:rPr>
          <w:lang w:val="fr-CA"/>
        </w:rPr>
        <w:t xml:space="preserve"> </w:t>
      </w:r>
      <w:r w:rsidRPr="00F26499">
        <w:rPr>
          <w:lang w:val="fr-CA"/>
        </w:rPr>
        <w:t>taux SOFR simple quotidien, le Taux de référence SOFR majoré de</w:t>
      </w:r>
      <w:r w:rsidR="00AC4107" w:rsidRPr="00F26499">
        <w:rPr>
          <w:lang w:val="fr-CA"/>
        </w:rPr>
        <w:t xml:space="preserve"> </w:t>
      </w:r>
      <w:r w:rsidR="00625A9B" w:rsidRPr="00F26499">
        <w:rPr>
          <w:lang w:val="fr-CA"/>
        </w:rPr>
        <w:t>:</w:t>
      </w:r>
    </w:p>
    <w:p w14:paraId="602B3BDD" w14:textId="2771A4B4" w:rsidR="00574CF2" w:rsidRPr="00B63BD5" w:rsidRDefault="00601947" w:rsidP="00AD26E3">
      <w:pPr>
        <w:pStyle w:val="04LOLglNew4"/>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CA"/>
        </w:rPr>
      </w:pPr>
      <w:r w:rsidRPr="00B63BD5">
        <w:rPr>
          <w:rStyle w:val="Prompt"/>
          <w:color w:val="auto"/>
          <w:szCs w:val="20"/>
          <w:lang w:val="fr-CA"/>
        </w:rPr>
        <w:lastRenderedPageBreak/>
        <w:sym w:font="Wingdings" w:char="F06C"/>
      </w:r>
      <w:r w:rsidR="00AC4107" w:rsidRPr="00B63BD5">
        <w:rPr>
          <w:rStyle w:val="Prompt"/>
          <w:color w:val="auto"/>
          <w:szCs w:val="20"/>
          <w:lang w:val="fr-CA"/>
        </w:rPr>
        <w:t xml:space="preserve"> </w:t>
      </w:r>
      <w:r w:rsidRPr="00B63BD5">
        <w:rPr>
          <w:szCs w:val="20"/>
          <w:lang w:val="fr-CA"/>
        </w:rPr>
        <w:t xml:space="preserve">% </w:t>
      </w:r>
      <w:r w:rsidRPr="00B63BD5">
        <w:rPr>
          <w:lang w:val="fr-CA"/>
        </w:rPr>
        <w:t>par</w:t>
      </w:r>
      <w:r w:rsidRPr="00B63BD5">
        <w:rPr>
          <w:szCs w:val="20"/>
          <w:lang w:val="fr-CA"/>
        </w:rPr>
        <w:t xml:space="preserve"> </w:t>
      </w:r>
      <w:r w:rsidRPr="00B63BD5">
        <w:rPr>
          <w:lang w:val="fr-CA"/>
        </w:rPr>
        <w:t>année</w:t>
      </w:r>
      <w:r w:rsidRPr="00B63BD5">
        <w:rPr>
          <w:szCs w:val="20"/>
          <w:lang w:val="fr-CA"/>
        </w:rPr>
        <w:t xml:space="preserve"> </w:t>
      </w:r>
      <w:r w:rsidRPr="00B63BD5">
        <w:rPr>
          <w:b/>
          <w:color w:val="00B0F0"/>
          <w:szCs w:val="20"/>
          <w:lang w:val="fr-CA"/>
        </w:rPr>
        <w:t>[N.B.</w:t>
      </w:r>
      <w:r w:rsidR="00AC4107" w:rsidRPr="00B63BD5">
        <w:rPr>
          <w:b/>
          <w:color w:val="00B0F0"/>
          <w:szCs w:val="20"/>
          <w:lang w:val="fr-CA"/>
        </w:rPr>
        <w:t xml:space="preserve"> </w:t>
      </w:r>
      <w:r w:rsidRPr="00B63BD5">
        <w:rPr>
          <w:b/>
          <w:color w:val="00B0F0"/>
          <w:szCs w:val="20"/>
          <w:lang w:val="fr-CA"/>
        </w:rPr>
        <w:t>: À moins que le GRB recommande un autre rajustement de l</w:t>
      </w:r>
      <w:r w:rsidR="00564B0C" w:rsidRPr="00B63BD5">
        <w:rPr>
          <w:b/>
          <w:color w:val="00B0F0"/>
          <w:szCs w:val="20"/>
          <w:lang w:val="fr-CA"/>
        </w:rPr>
        <w:t>’</w:t>
      </w:r>
      <w:r w:rsidRPr="00B63BD5">
        <w:rPr>
          <w:b/>
          <w:color w:val="00B0F0"/>
          <w:szCs w:val="20"/>
          <w:lang w:val="fr-CA"/>
        </w:rPr>
        <w:t>écart</w:t>
      </w:r>
      <w:r w:rsidR="009261DF" w:rsidRPr="00B63BD5">
        <w:rPr>
          <w:b/>
          <w:color w:val="00B0F0"/>
          <w:szCs w:val="20"/>
          <w:lang w:val="fr-CA"/>
        </w:rPr>
        <w:t xml:space="preserve"> (ou qu’un autre rajustement de l’écart soit indiqué dans le formulaire des principales conditions)</w:t>
      </w:r>
      <w:r w:rsidRPr="00B63BD5">
        <w:rPr>
          <w:b/>
          <w:color w:val="00B0F0"/>
          <w:szCs w:val="20"/>
          <w:lang w:val="fr-CA"/>
        </w:rPr>
        <w:t xml:space="preserve">, </w:t>
      </w:r>
      <w:r w:rsidRPr="00B63BD5">
        <w:rPr>
          <w:b/>
          <w:color w:val="00B0F0"/>
          <w:spacing w:val="-2"/>
          <w:szCs w:val="20"/>
          <w:lang w:val="fr-CA"/>
        </w:rPr>
        <w:t xml:space="preserve">utiliser </w:t>
      </w:r>
      <w:r w:rsidR="00AD26E3" w:rsidRPr="00B63BD5">
        <w:rPr>
          <w:b/>
          <w:color w:val="00B0F0"/>
          <w:spacing w:val="-2"/>
          <w:lang w:val="fr-CA"/>
        </w:rPr>
        <w:t xml:space="preserve">A) </w:t>
      </w:r>
      <w:r w:rsidR="00AD26E3" w:rsidRPr="00B63BD5">
        <w:rPr>
          <w:b/>
          <w:color w:val="00B0F0"/>
          <w:spacing w:val="-2"/>
          <w:szCs w:val="20"/>
          <w:lang w:val="fr-CA"/>
        </w:rPr>
        <w:t xml:space="preserve">0,11448 % par année </w:t>
      </w:r>
      <w:r w:rsidR="00AD26E3" w:rsidRPr="00B63BD5">
        <w:rPr>
          <w:b/>
          <w:color w:val="00B0F0"/>
          <w:spacing w:val="-2"/>
          <w:lang w:val="fr-CA"/>
        </w:rPr>
        <w:t xml:space="preserve">pour un rajustement de l’écart </w:t>
      </w:r>
      <w:r w:rsidR="00AD26E3" w:rsidRPr="00B63BD5">
        <w:rPr>
          <w:b/>
          <w:color w:val="FF0000"/>
          <w:spacing w:val="-2"/>
          <w:lang w:val="fr-CA"/>
        </w:rPr>
        <w:t xml:space="preserve">historique </w:t>
      </w:r>
      <w:r w:rsidR="00AD26E3" w:rsidRPr="00B63BD5">
        <w:rPr>
          <w:b/>
          <w:color w:val="00B0F0"/>
          <w:spacing w:val="-2"/>
          <w:lang w:val="fr-CA"/>
        </w:rPr>
        <w:t xml:space="preserve">ou 0,10 % pour un rajustement de crédit selon l’option </w:t>
      </w:r>
      <w:r w:rsidR="00AD26E3" w:rsidRPr="00B63BD5">
        <w:rPr>
          <w:b/>
          <w:color w:val="00B0F0"/>
          <w:lang w:val="fr-CA"/>
        </w:rPr>
        <w:t xml:space="preserve">10/15/25 </w:t>
      </w:r>
      <w:r w:rsidR="00AD26E3" w:rsidRPr="00B63BD5">
        <w:rPr>
          <w:b/>
          <w:color w:val="00B0F0"/>
          <w:szCs w:val="20"/>
          <w:lang w:val="fr-CA"/>
        </w:rPr>
        <w:t>si la période de paiement est mensuelle</w:t>
      </w:r>
      <w:r w:rsidR="00AD26E3" w:rsidRPr="00B63BD5">
        <w:rPr>
          <w:b/>
          <w:color w:val="00B0F0"/>
          <w:spacing w:val="-2"/>
          <w:lang w:val="fr-CA"/>
        </w:rPr>
        <w:t>; ou B)</w:t>
      </w:r>
      <w:r w:rsidR="00AD26E3" w:rsidRPr="00B63BD5">
        <w:rPr>
          <w:b/>
          <w:color w:val="00B0F0"/>
          <w:spacing w:val="-2"/>
          <w:szCs w:val="20"/>
          <w:lang w:val="fr-CA"/>
        </w:rPr>
        <w:t xml:space="preserve"> 0,26161 % par année</w:t>
      </w:r>
      <w:r w:rsidR="00AD26E3" w:rsidRPr="00B63BD5">
        <w:rPr>
          <w:b/>
          <w:color w:val="00B0F0"/>
          <w:lang w:val="fr-CA"/>
        </w:rPr>
        <w:t xml:space="preserve"> pour un rajustement de l’écart </w:t>
      </w:r>
      <w:r w:rsidR="00AD26E3" w:rsidRPr="00B63BD5">
        <w:rPr>
          <w:b/>
          <w:color w:val="FF0000"/>
          <w:lang w:val="fr-CA"/>
        </w:rPr>
        <w:t xml:space="preserve">historique </w:t>
      </w:r>
      <w:r w:rsidR="00AD26E3" w:rsidRPr="00B63BD5">
        <w:rPr>
          <w:b/>
          <w:color w:val="00B0F0"/>
          <w:lang w:val="fr-CA"/>
        </w:rPr>
        <w:t>ou 0,15 % pour un rajustement de crédit selon l’option 10/15/25</w:t>
      </w:r>
      <w:r w:rsidR="00AD26E3" w:rsidRPr="00B63BD5">
        <w:rPr>
          <w:b/>
          <w:color w:val="00B0F0"/>
          <w:szCs w:val="20"/>
          <w:lang w:val="fr-CA"/>
        </w:rPr>
        <w:t xml:space="preserve"> si la période de paiement est trimestrielle.]</w:t>
      </w:r>
      <w:r w:rsidR="002459F9" w:rsidRPr="00B63BD5">
        <w:rPr>
          <w:lang w:val="fr-CA"/>
        </w:rPr>
        <w:tab/>
      </w:r>
    </w:p>
    <w:p w14:paraId="270AA0D9" w14:textId="757337A9" w:rsidR="00601947" w:rsidRPr="00B63BD5" w:rsidRDefault="00601947" w:rsidP="00574CF2">
      <w:pPr>
        <w:pStyle w:val="04LOLglNew4"/>
        <w:widowControl w:val="0"/>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rPr>
          <w:lang w:val="fr-CA"/>
        </w:rPr>
      </w:pPr>
      <w:r w:rsidRPr="00B63BD5">
        <w:rPr>
          <w:lang w:val="fr-CA"/>
        </w:rPr>
        <w:t xml:space="preserve">Si le total du Taux de référence SOFR majoré du montant indiqué au point </w:t>
      </w:r>
      <w:r w:rsidR="002459F9" w:rsidRPr="00B63BD5">
        <w:rPr>
          <w:lang w:val="fr-CA"/>
        </w:rPr>
        <w:t>(</w:t>
      </w:r>
      <w:r w:rsidRPr="00B63BD5">
        <w:rPr>
          <w:lang w:val="fr-CA"/>
        </w:rPr>
        <w:t>i) ci-dessus est</w:t>
      </w:r>
      <w:r w:rsidR="00C72E8B" w:rsidRPr="00B63BD5">
        <w:rPr>
          <w:lang w:val="fr-CA"/>
        </w:rPr>
        <w:t> </w:t>
      </w:r>
      <w:r w:rsidRPr="00B63BD5">
        <w:rPr>
          <w:lang w:val="fr-CA"/>
        </w:rPr>
        <w:t>négatif, le total de ces montants (et non le Taux de référence SOFR pour éviter toute ambiguïté) est réputé être égal à zéro.</w:t>
      </w:r>
    </w:p>
    <w:p w14:paraId="5DC95C34" w14:textId="4D16DDCC" w:rsidR="00601947" w:rsidRPr="00B63BD5" w:rsidRDefault="00601947" w:rsidP="002459F9">
      <w:pPr>
        <w:pStyle w:val="04LOLglNew4"/>
        <w:rPr>
          <w:szCs w:val="20"/>
          <w:lang w:val="fr-CA"/>
        </w:rPr>
      </w:pPr>
      <w:r w:rsidRPr="00B63BD5">
        <w:rPr>
          <w:rStyle w:val="Prompt"/>
          <w:color w:val="auto"/>
          <w:szCs w:val="20"/>
          <w:lang w:val="fr-CA"/>
        </w:rPr>
        <w:t xml:space="preserve">majoré de </w:t>
      </w:r>
      <w:r w:rsidRPr="00B63BD5">
        <w:rPr>
          <w:rStyle w:val="Prompt"/>
          <w:color w:val="auto"/>
          <w:szCs w:val="20"/>
          <w:lang w:val="fr-CA"/>
        </w:rPr>
        <w:sym w:font="Wingdings" w:char="F06C"/>
      </w:r>
      <w:r w:rsidR="00B056F9" w:rsidRPr="00B63BD5">
        <w:rPr>
          <w:rStyle w:val="Prompt"/>
          <w:color w:val="auto"/>
          <w:szCs w:val="20"/>
          <w:lang w:val="fr-CA"/>
        </w:rPr>
        <w:t> </w:t>
      </w:r>
      <w:r w:rsidRPr="00B63BD5">
        <w:rPr>
          <w:szCs w:val="20"/>
          <w:lang w:val="fr-CA"/>
        </w:rPr>
        <w:t xml:space="preserve">% par année, </w:t>
      </w:r>
    </w:p>
    <w:p w14:paraId="2CAE3AAD" w14:textId="70D4F088" w:rsidR="00C72E8B" w:rsidRPr="00B63BD5" w:rsidRDefault="00601947" w:rsidP="00632863">
      <w:pPr>
        <w:pStyle w:val="Heading5"/>
        <w:ind w:left="709"/>
        <w:jc w:val="both"/>
        <w:rPr>
          <w:b/>
          <w:color w:val="00B0F0"/>
          <w:lang w:val="fr-CA"/>
        </w:rPr>
      </w:pPr>
      <w:r w:rsidRPr="00B63BD5">
        <w:rPr>
          <w:lang w:val="fr-CA"/>
        </w:rPr>
        <w:t>calculé [mensuellement/trimestriellement] à terme échu sur le solde quotidien et payable selon les</w:t>
      </w:r>
      <w:r w:rsidR="007D0C7A" w:rsidRPr="00B63BD5">
        <w:rPr>
          <w:lang w:val="fr-CA"/>
        </w:rPr>
        <w:t> </w:t>
      </w:r>
      <w:r w:rsidRPr="00B63BD5">
        <w:rPr>
          <w:lang w:val="fr-CA"/>
        </w:rPr>
        <w:t xml:space="preserve">directives de la Banque. </w:t>
      </w:r>
      <w:r w:rsidRPr="00B63BD5">
        <w:rPr>
          <w:b/>
          <w:color w:val="00B0F0"/>
          <w:lang w:val="fr-CA"/>
        </w:rPr>
        <w:t>[N.B.</w:t>
      </w:r>
      <w:r w:rsidR="00AC4107" w:rsidRPr="00B63BD5">
        <w:rPr>
          <w:b/>
          <w:color w:val="00B0F0"/>
          <w:lang w:val="fr-CA"/>
        </w:rPr>
        <w:t xml:space="preserve"> </w:t>
      </w:r>
      <w:r w:rsidRPr="00B63BD5">
        <w:rPr>
          <w:b/>
          <w:color w:val="00B0F0"/>
          <w:lang w:val="fr-CA"/>
        </w:rPr>
        <w:t xml:space="preserve">: Sélectionner la période de </w:t>
      </w:r>
      <w:r w:rsidR="00BD5D6C" w:rsidRPr="00B63BD5">
        <w:rPr>
          <w:b/>
          <w:color w:val="00B0F0"/>
          <w:lang w:val="fr-CA"/>
        </w:rPr>
        <w:t>paiement</w:t>
      </w:r>
      <w:r w:rsidRPr="00B63BD5">
        <w:rPr>
          <w:b/>
          <w:color w:val="00B0F0"/>
          <w:lang w:val="fr-CA"/>
        </w:rPr>
        <w:t xml:space="preserve"> d</w:t>
      </w:r>
      <w:r w:rsidR="00564B0C" w:rsidRPr="00B63BD5">
        <w:rPr>
          <w:b/>
          <w:color w:val="00B0F0"/>
          <w:lang w:val="fr-CA"/>
        </w:rPr>
        <w:t>’</w:t>
      </w:r>
      <w:r w:rsidRPr="00B63BD5">
        <w:rPr>
          <w:b/>
          <w:color w:val="00B0F0"/>
          <w:lang w:val="fr-CA"/>
        </w:rPr>
        <w:t>intérêt appropriée pour les Prêts au taux SOFR simple quotidien.]</w:t>
      </w:r>
    </w:p>
    <w:p w14:paraId="735BB836" w14:textId="4EA31074" w:rsidR="00601947" w:rsidRPr="000C4154" w:rsidRDefault="00601947" w:rsidP="000C4154">
      <w:pPr>
        <w:pStyle w:val="04LOLglNew3"/>
        <w:widowControl w:val="0"/>
        <w:rPr>
          <w:b/>
          <w:color w:val="00B0F0"/>
          <w:lang w:val="fr-CA"/>
        </w:rPr>
      </w:pPr>
      <w:r w:rsidRPr="00B63BD5">
        <w:rPr>
          <w:b/>
          <w:color w:val="00B0F0"/>
          <w:lang w:val="fr-CA"/>
        </w:rPr>
        <w:t xml:space="preserve">[TAUX SOFR SIMPLE QUOTIDIEN, </w:t>
      </w:r>
      <w:r w:rsidR="00CC5B5B" w:rsidRPr="000C4154">
        <w:rPr>
          <w:b/>
          <w:color w:val="00B0F0"/>
          <w:lang w:val="fr-CA"/>
        </w:rPr>
        <w:t xml:space="preserve"> </w:t>
      </w:r>
      <w:r w:rsidR="00135683">
        <w:rPr>
          <w:b/>
          <w:color w:val="00B0F0"/>
          <w:lang w:val="fr-CA"/>
        </w:rPr>
        <w:t>RAJUSTEMENT DE L’ÉCART</w:t>
      </w:r>
      <w:r w:rsidR="00CC5B5B" w:rsidRPr="000C4154">
        <w:rPr>
          <w:b/>
          <w:color w:val="00B0F0"/>
          <w:lang w:val="fr-CA"/>
        </w:rPr>
        <w:t xml:space="preserve"> COMBINÉ</w:t>
      </w:r>
      <w:r w:rsidR="00AC4107" w:rsidRPr="00B63BD5">
        <w:rPr>
          <w:b/>
          <w:color w:val="00B0F0"/>
          <w:lang w:val="fr-CA"/>
        </w:rPr>
        <w:t xml:space="preserve"> </w:t>
      </w:r>
      <w:r w:rsidRPr="00B63BD5">
        <w:rPr>
          <w:b/>
          <w:color w:val="00B0F0"/>
          <w:lang w:val="fr-CA"/>
        </w:rPr>
        <w:t>: Sélectionner cette option pour les clients qui optent pour le taux SOFR simple quotidien et qui ne demandent pas</w:t>
      </w:r>
      <w:r w:rsidR="00C72E8B" w:rsidRPr="00B63BD5">
        <w:rPr>
          <w:b/>
          <w:color w:val="00B0F0"/>
          <w:lang w:val="fr-CA"/>
        </w:rPr>
        <w:t> </w:t>
      </w:r>
      <w:r w:rsidRPr="00B63BD5">
        <w:rPr>
          <w:b/>
          <w:color w:val="00B0F0"/>
          <w:lang w:val="fr-CA"/>
        </w:rPr>
        <w:t>que</w:t>
      </w:r>
      <w:r w:rsidR="00C72E8B" w:rsidRPr="00B63BD5">
        <w:rPr>
          <w:b/>
          <w:color w:val="00B0F0"/>
          <w:lang w:val="fr-CA"/>
        </w:rPr>
        <w:t> </w:t>
      </w:r>
      <w:r w:rsidRPr="00B63BD5">
        <w:rPr>
          <w:b/>
          <w:color w:val="00B0F0"/>
          <w:lang w:val="fr-CA"/>
        </w:rPr>
        <w:t>le</w:t>
      </w:r>
      <w:r w:rsidR="00C72E8B" w:rsidRPr="00B63BD5">
        <w:rPr>
          <w:b/>
          <w:color w:val="00B0F0"/>
          <w:lang w:val="fr-CA"/>
        </w:rPr>
        <w:t> </w:t>
      </w:r>
      <w:r w:rsidRPr="00B63BD5">
        <w:rPr>
          <w:b/>
          <w:color w:val="00B0F0"/>
          <w:lang w:val="fr-CA"/>
        </w:rPr>
        <w:t>rajustement de l</w:t>
      </w:r>
      <w:r w:rsidR="00564B0C" w:rsidRPr="00B63BD5">
        <w:rPr>
          <w:b/>
          <w:color w:val="00B0F0"/>
          <w:lang w:val="fr-CA"/>
        </w:rPr>
        <w:t>’</w:t>
      </w:r>
      <w:r w:rsidRPr="00B63BD5">
        <w:rPr>
          <w:b/>
          <w:color w:val="00B0F0"/>
          <w:lang w:val="fr-CA"/>
        </w:rPr>
        <w:t>écart soit indiqué séparément]</w:t>
      </w:r>
      <w:r w:rsidRPr="000C4154">
        <w:rPr>
          <w:b/>
          <w:color w:val="00B0F0"/>
          <w:lang w:val="fr-CA"/>
        </w:rPr>
        <w:t xml:space="preserve"> </w:t>
      </w:r>
      <w:r w:rsidRPr="000C4154">
        <w:rPr>
          <w:lang w:val="fr-CA"/>
        </w:rPr>
        <w:t xml:space="preserve">pour les Prêts au taux SOFR simple quotidien, au Taux de référence SOFR majoré de </w:t>
      </w:r>
      <w:r w:rsidRPr="00B63BD5">
        <w:rPr>
          <w:rStyle w:val="Prompt"/>
          <w:color w:val="auto"/>
          <w:lang w:val="fr-CA"/>
        </w:rPr>
        <w:sym w:font="Wingdings" w:char="F06C"/>
      </w:r>
      <w:r w:rsidR="00B056F9" w:rsidRPr="000C4154">
        <w:rPr>
          <w:rStyle w:val="Prompt"/>
          <w:color w:val="auto"/>
          <w:lang w:val="fr-CA"/>
        </w:rPr>
        <w:t> </w:t>
      </w:r>
      <w:r w:rsidRPr="000C4154">
        <w:rPr>
          <w:lang w:val="fr-CA"/>
        </w:rPr>
        <w:t xml:space="preserve">% </w:t>
      </w:r>
      <w:r w:rsidR="00974DA6" w:rsidRPr="000C4154">
        <w:rPr>
          <w:lang w:val="fr-CA"/>
        </w:rPr>
        <w:t>[</w:t>
      </w:r>
      <w:r w:rsidR="00135683">
        <w:rPr>
          <w:lang w:val="fr-CA"/>
        </w:rPr>
        <w:t>rajustement de l’écart +</w:t>
      </w:r>
      <w:r w:rsidR="00974DA6" w:rsidRPr="000C4154">
        <w:rPr>
          <w:lang w:val="fr-CA"/>
        </w:rPr>
        <w:t xml:space="preserve"> marge] </w:t>
      </w:r>
      <w:r w:rsidRPr="000C4154">
        <w:rPr>
          <w:lang w:val="fr-CA"/>
        </w:rPr>
        <w:t>par année en fonction d</w:t>
      </w:r>
      <w:r w:rsidR="00564B0C" w:rsidRPr="000C4154">
        <w:rPr>
          <w:lang w:val="fr-CA"/>
        </w:rPr>
        <w:t>’</w:t>
      </w:r>
      <w:r w:rsidRPr="000C4154">
        <w:rPr>
          <w:lang w:val="fr-CA"/>
        </w:rPr>
        <w:t>une année de</w:t>
      </w:r>
      <w:r w:rsidR="00AB0594" w:rsidRPr="000C4154">
        <w:rPr>
          <w:lang w:val="fr-CA"/>
        </w:rPr>
        <w:t xml:space="preserve"> </w:t>
      </w:r>
      <w:r w:rsidRPr="000C4154">
        <w:rPr>
          <w:lang w:val="fr-CA"/>
        </w:rPr>
        <w:t>360</w:t>
      </w:r>
      <w:r w:rsidR="002A0AB5" w:rsidRPr="000C4154">
        <w:rPr>
          <w:lang w:val="fr-CA"/>
        </w:rPr>
        <w:t> </w:t>
      </w:r>
      <w:r w:rsidRPr="000C4154">
        <w:rPr>
          <w:lang w:val="fr-CA"/>
        </w:rPr>
        <w:t>jours, calculé [mensuellement/trimestriellement] à terme échu sur le solde quotidien et</w:t>
      </w:r>
      <w:r w:rsidR="00AB0594" w:rsidRPr="000C4154">
        <w:rPr>
          <w:lang w:val="fr-CA"/>
        </w:rPr>
        <w:t xml:space="preserve"> </w:t>
      </w:r>
      <w:r w:rsidRPr="000C4154">
        <w:rPr>
          <w:lang w:val="fr-CA"/>
        </w:rPr>
        <w:t>payable selon les</w:t>
      </w:r>
      <w:r w:rsidR="00C72E8B" w:rsidRPr="000C4154">
        <w:rPr>
          <w:lang w:val="fr-CA"/>
        </w:rPr>
        <w:t> </w:t>
      </w:r>
      <w:r w:rsidRPr="000C4154">
        <w:rPr>
          <w:lang w:val="fr-CA"/>
        </w:rPr>
        <w:t xml:space="preserve">directives de la Banque; ou </w:t>
      </w:r>
      <w:r w:rsidRPr="000C4154">
        <w:rPr>
          <w:b/>
          <w:color w:val="00B0F0"/>
          <w:lang w:val="fr-CA"/>
        </w:rPr>
        <w:t>[N.B.</w:t>
      </w:r>
      <w:r w:rsidR="00AC4107" w:rsidRPr="000C4154">
        <w:rPr>
          <w:b/>
          <w:color w:val="00B0F0"/>
          <w:lang w:val="fr-CA"/>
        </w:rPr>
        <w:t xml:space="preserve"> </w:t>
      </w:r>
      <w:r w:rsidRPr="000C4154">
        <w:rPr>
          <w:b/>
          <w:color w:val="00B0F0"/>
          <w:lang w:val="fr-CA"/>
        </w:rPr>
        <w:t xml:space="preserve">: Sélectionner la période de </w:t>
      </w:r>
      <w:r w:rsidR="005F70C3" w:rsidRPr="000C4154">
        <w:rPr>
          <w:b/>
          <w:color w:val="00B0F0"/>
          <w:lang w:val="fr-CA"/>
        </w:rPr>
        <w:t>paiement</w:t>
      </w:r>
      <w:r w:rsidRPr="000C4154">
        <w:rPr>
          <w:b/>
          <w:color w:val="00B0F0"/>
          <w:lang w:val="fr-CA"/>
        </w:rPr>
        <w:t xml:space="preserve"> d</w:t>
      </w:r>
      <w:r w:rsidR="00564B0C" w:rsidRPr="000C4154">
        <w:rPr>
          <w:b/>
          <w:color w:val="00B0F0"/>
          <w:lang w:val="fr-CA"/>
        </w:rPr>
        <w:t>’</w:t>
      </w:r>
      <w:r w:rsidRPr="000C4154">
        <w:rPr>
          <w:b/>
          <w:color w:val="00B0F0"/>
          <w:lang w:val="fr-CA"/>
        </w:rPr>
        <w:t>intérêt appropriée pour les Prêts au taux SOFR simple quotidien.]</w:t>
      </w:r>
      <w:r w:rsidR="00AC4107" w:rsidRPr="000C4154">
        <w:rPr>
          <w:b/>
          <w:color w:val="00B0F0"/>
          <w:lang w:val="fr-CA"/>
        </w:rPr>
        <w:t xml:space="preserve"> </w:t>
      </w:r>
    </w:p>
    <w:p w14:paraId="0B9AFF8A" w14:textId="2F23D4A5" w:rsidR="009D53BF" w:rsidRPr="00B63BD5" w:rsidRDefault="00601947" w:rsidP="000B7739">
      <w:pPr>
        <w:pStyle w:val="04LOLglNew3"/>
        <w:rPr>
          <w:b/>
          <w:color w:val="00B0F0"/>
          <w:lang w:val="fr-CA"/>
        </w:rPr>
      </w:pPr>
      <w:r w:rsidRPr="00B63BD5">
        <w:rPr>
          <w:lang w:val="fr-CA"/>
        </w:rPr>
        <w:t xml:space="preserve">pour les Prêts au taux SONIA, au Taux de référence SONIA simple majoré de </w:t>
      </w:r>
      <w:r w:rsidRPr="00B63BD5">
        <w:rPr>
          <w:rStyle w:val="Prompt"/>
          <w:szCs w:val="20"/>
          <w:lang w:val="fr-CA"/>
        </w:rPr>
        <w:sym w:font="Wingdings" w:char="F06C"/>
      </w:r>
      <w:r w:rsidR="00AB0594" w:rsidRPr="00B63BD5">
        <w:rPr>
          <w:lang w:val="fr-CA"/>
        </w:rPr>
        <w:t> </w:t>
      </w:r>
      <w:r w:rsidRPr="00B63BD5">
        <w:rPr>
          <w:lang w:val="fr-CA"/>
        </w:rPr>
        <w:t>% par année en</w:t>
      </w:r>
      <w:r w:rsidR="002A0AB5" w:rsidRPr="00B63BD5">
        <w:rPr>
          <w:lang w:val="fr-CA"/>
        </w:rPr>
        <w:t> </w:t>
      </w:r>
      <w:r w:rsidRPr="00B63BD5">
        <w:rPr>
          <w:lang w:val="fr-CA"/>
        </w:rPr>
        <w:t>fonction d</w:t>
      </w:r>
      <w:r w:rsidR="00564B0C" w:rsidRPr="00B63BD5">
        <w:rPr>
          <w:lang w:val="fr-CA"/>
        </w:rPr>
        <w:t>’</w:t>
      </w:r>
      <w:r w:rsidRPr="00B63BD5">
        <w:rPr>
          <w:lang w:val="fr-CA"/>
        </w:rPr>
        <w:t>une année de 365</w:t>
      </w:r>
      <w:r w:rsidR="00AB0594" w:rsidRPr="00B63BD5">
        <w:rPr>
          <w:lang w:val="fr-CA"/>
        </w:rPr>
        <w:t> </w:t>
      </w:r>
      <w:r w:rsidRPr="00B63BD5">
        <w:rPr>
          <w:lang w:val="fr-CA"/>
        </w:rPr>
        <w:t xml:space="preserve">jours, calculé [mensuellement/trimestriellement] à terme échu sur le solde quotidien et payable selon les directives de la Banque. </w:t>
      </w:r>
      <w:r w:rsidRPr="00B63BD5">
        <w:rPr>
          <w:b/>
          <w:color w:val="00B0F0"/>
          <w:lang w:val="fr-CA"/>
        </w:rPr>
        <w:t>[N.B.</w:t>
      </w:r>
      <w:r w:rsidR="00AC4107" w:rsidRPr="00B63BD5">
        <w:rPr>
          <w:b/>
          <w:color w:val="00B0F0"/>
          <w:lang w:val="fr-CA"/>
        </w:rPr>
        <w:t xml:space="preserve"> </w:t>
      </w:r>
      <w:r w:rsidRPr="00B63BD5">
        <w:rPr>
          <w:b/>
          <w:color w:val="00B0F0"/>
          <w:lang w:val="fr-CA"/>
        </w:rPr>
        <w:t>: Sélectionner la période d</w:t>
      </w:r>
      <w:r w:rsidR="00564B0C" w:rsidRPr="00B63BD5">
        <w:rPr>
          <w:b/>
          <w:color w:val="00B0F0"/>
          <w:lang w:val="fr-CA"/>
        </w:rPr>
        <w:t>’</w:t>
      </w:r>
      <w:r w:rsidRPr="00B63BD5">
        <w:rPr>
          <w:b/>
          <w:color w:val="00B0F0"/>
          <w:lang w:val="fr-CA"/>
        </w:rPr>
        <w:t>intérêt appropriée pour les Prêts au taux SONIA.]</w:t>
      </w:r>
      <w:r w:rsidR="00564B0C" w:rsidRPr="00B63BD5">
        <w:rPr>
          <w:b/>
          <w:color w:val="00B0F0"/>
          <w:lang w:val="fr-CA"/>
        </w:rPr>
        <w:t xml:space="preserve"> </w:t>
      </w:r>
    </w:p>
    <w:p w14:paraId="26E5F3AD" w14:textId="6C8F6DBF" w:rsidR="002C1935" w:rsidRPr="00B63BD5" w:rsidRDefault="002C1935" w:rsidP="00D33630">
      <w:pPr>
        <w:pStyle w:val="04LOLglNew2"/>
      </w:pPr>
      <w:r w:rsidRPr="00B63BD5">
        <w:t>Modalités supplémentaires applicables aux Crédits documentaires et aux Lettres de garanties</w:t>
      </w:r>
    </w:p>
    <w:p w14:paraId="0FEE9242" w14:textId="2570CA55" w:rsidR="002C1935" w:rsidRPr="00B63BD5" w:rsidRDefault="002C1935" w:rsidP="00632863">
      <w:pPr>
        <w:spacing w:after="240"/>
        <w:jc w:val="both"/>
        <w:rPr>
          <w:lang w:val="fr-CA"/>
        </w:rPr>
      </w:pPr>
      <w:r w:rsidRPr="00B63BD5">
        <w:rPr>
          <w:spacing w:val="-2"/>
          <w:lang w:val="fr-CA"/>
        </w:rPr>
        <w:t xml:space="preserve">Les Crédits documentaires et les Lettres de garanties émis en vertu de </w:t>
      </w:r>
      <w:r w:rsidR="004A7C8C" w:rsidRPr="00B63BD5">
        <w:rPr>
          <w:spacing w:val="-2"/>
          <w:lang w:val="fr-CA"/>
        </w:rPr>
        <w:t xml:space="preserve">la </w:t>
      </w:r>
      <w:r w:rsidRPr="00B63BD5">
        <w:rPr>
          <w:spacing w:val="-2"/>
          <w:lang w:val="fr-CA"/>
        </w:rPr>
        <w:t>Facilité de crédit à</w:t>
      </w:r>
      <w:r w:rsidR="00AB0594" w:rsidRPr="00B63BD5">
        <w:rPr>
          <w:spacing w:val="-2"/>
          <w:lang w:val="fr-CA"/>
        </w:rPr>
        <w:t xml:space="preserve"> </w:t>
      </w:r>
      <w:r w:rsidRPr="00B63BD5">
        <w:rPr>
          <w:spacing w:val="-2"/>
          <w:lang w:val="fr-CA"/>
        </w:rPr>
        <w:t>l</w:t>
      </w:r>
      <w:r w:rsidR="00564B0C" w:rsidRPr="00B63BD5">
        <w:rPr>
          <w:spacing w:val="-2"/>
          <w:lang w:val="fr-CA"/>
        </w:rPr>
        <w:t>’</w:t>
      </w:r>
      <w:r w:rsidRPr="00B63BD5">
        <w:rPr>
          <w:spacing w:val="-2"/>
          <w:lang w:val="fr-CA"/>
        </w:rPr>
        <w:t>exploitatio</w:t>
      </w:r>
      <w:r w:rsidRPr="00B63BD5">
        <w:rPr>
          <w:lang w:val="fr-CA"/>
        </w:rPr>
        <w:t>n sont assujettis aux modalités supplémentaires qui sont énoncées dans</w:t>
      </w:r>
      <w:r w:rsidR="00AB0594" w:rsidRPr="00B63BD5">
        <w:rPr>
          <w:lang w:val="fr-CA"/>
        </w:rPr>
        <w:t xml:space="preserve"> </w:t>
      </w:r>
      <w:r w:rsidRPr="00B63BD5">
        <w:rPr>
          <w:lang w:val="fr-CA"/>
        </w:rPr>
        <w:t>les</w:t>
      </w:r>
      <w:r w:rsidR="00AB0594" w:rsidRPr="00B63BD5">
        <w:rPr>
          <w:lang w:val="fr-CA"/>
        </w:rPr>
        <w:t xml:space="preserve"> </w:t>
      </w:r>
      <w:r w:rsidRPr="00B63BD5">
        <w:rPr>
          <w:lang w:val="fr-CA"/>
        </w:rPr>
        <w:t>Conditions commerciales standards dans la mesure où ces conditions ne contreviennent pas</w:t>
      </w:r>
      <w:r w:rsidR="002A0AB5" w:rsidRPr="00B63BD5">
        <w:rPr>
          <w:lang w:val="fr-CA"/>
        </w:rPr>
        <w:t xml:space="preserve"> </w:t>
      </w:r>
      <w:r w:rsidR="00016DCF" w:rsidRPr="00B63BD5">
        <w:rPr>
          <w:lang w:val="fr-CA"/>
        </w:rPr>
        <w:t>aux</w:t>
      </w:r>
      <w:r w:rsidRPr="00B63BD5">
        <w:rPr>
          <w:lang w:val="fr-CA"/>
        </w:rPr>
        <w:t xml:space="preserve"> conditions de la présente Lettre relative aux facilités</w:t>
      </w:r>
      <w:r w:rsidR="00ED3019" w:rsidRPr="00B63BD5">
        <w:rPr>
          <w:lang w:val="fr-CA"/>
        </w:rPr>
        <w:t>.</w:t>
      </w:r>
    </w:p>
    <w:p w14:paraId="3DC42394" w14:textId="63543E14" w:rsidR="009926E7" w:rsidRPr="00B63BD5" w:rsidRDefault="00916387" w:rsidP="00D33630">
      <w:pPr>
        <w:pStyle w:val="04LOLglNew2"/>
      </w:pPr>
      <w:bookmarkStart w:id="2" w:name="_Ref490647753"/>
      <w:r w:rsidRPr="00B63BD5">
        <w:t>Frais</w:t>
      </w:r>
      <w:bookmarkEnd w:id="2"/>
    </w:p>
    <w:p w14:paraId="2895B158" w14:textId="0FC5E27E" w:rsidR="008C59F1" w:rsidRPr="00B63BD5" w:rsidRDefault="008C59F1" w:rsidP="00632863">
      <w:pPr>
        <w:keepNext/>
        <w:spacing w:after="240"/>
        <w:jc w:val="both"/>
        <w:rPr>
          <w:b/>
          <w:color w:val="00B0F0"/>
          <w:lang w:val="fr-CA"/>
        </w:rPr>
      </w:pPr>
      <w:r w:rsidRPr="00B63BD5">
        <w:rPr>
          <w:b/>
          <w:color w:val="00B0F0"/>
          <w:lang w:val="fr-CA"/>
        </w:rPr>
        <w:t>[N.B.</w:t>
      </w:r>
      <w:r w:rsidR="00AC4107" w:rsidRPr="00B63BD5">
        <w:rPr>
          <w:b/>
          <w:color w:val="00B0F0"/>
          <w:lang w:val="fr-CA"/>
        </w:rPr>
        <w:t xml:space="preserve"> </w:t>
      </w:r>
      <w:r w:rsidRPr="00B63BD5">
        <w:rPr>
          <w:b/>
          <w:color w:val="00B0F0"/>
          <w:lang w:val="fr-CA"/>
        </w:rPr>
        <w:t xml:space="preserve">: </w:t>
      </w:r>
      <w:r w:rsidR="00E53ECF" w:rsidRPr="00B63BD5">
        <w:rPr>
          <w:b/>
          <w:color w:val="00B0F0"/>
          <w:lang w:val="fr-CA"/>
        </w:rPr>
        <w:t>S</w:t>
      </w:r>
      <w:r w:rsidR="00564B0C" w:rsidRPr="00B63BD5">
        <w:rPr>
          <w:b/>
          <w:color w:val="00B0F0"/>
          <w:lang w:val="fr-CA"/>
        </w:rPr>
        <w:t>’</w:t>
      </w:r>
      <w:r w:rsidR="00E53ECF" w:rsidRPr="00B63BD5">
        <w:rPr>
          <w:b/>
          <w:color w:val="00B0F0"/>
          <w:lang w:val="fr-CA"/>
        </w:rPr>
        <w:t>il y</w:t>
      </w:r>
      <w:r w:rsidR="00AC4107" w:rsidRPr="00B63BD5">
        <w:rPr>
          <w:b/>
          <w:color w:val="00B0F0"/>
          <w:lang w:val="fr-CA"/>
        </w:rPr>
        <w:t xml:space="preserve"> </w:t>
      </w:r>
      <w:r w:rsidR="00E53ECF" w:rsidRPr="00B63BD5">
        <w:rPr>
          <w:b/>
          <w:color w:val="00B0F0"/>
          <w:lang w:val="fr-CA"/>
        </w:rPr>
        <w:t>a</w:t>
      </w:r>
      <w:r w:rsidR="00AC4107" w:rsidRPr="00B63BD5">
        <w:rPr>
          <w:b/>
          <w:color w:val="00B0F0"/>
          <w:lang w:val="fr-CA"/>
        </w:rPr>
        <w:t xml:space="preserve"> </w:t>
      </w:r>
      <w:r w:rsidR="00E53ECF" w:rsidRPr="00B63BD5">
        <w:rPr>
          <w:b/>
          <w:color w:val="00B0F0"/>
          <w:lang w:val="fr-CA"/>
        </w:rPr>
        <w:t xml:space="preserve">plusieurs </w:t>
      </w:r>
      <w:r w:rsidR="00BF6223" w:rsidRPr="00B63BD5">
        <w:rPr>
          <w:b/>
          <w:color w:val="00B0F0"/>
          <w:lang w:val="fr-CA"/>
        </w:rPr>
        <w:t>Emprunteurs</w:t>
      </w:r>
      <w:r w:rsidR="00571244" w:rsidRPr="00B63BD5">
        <w:rPr>
          <w:b/>
          <w:color w:val="00B0F0"/>
          <w:lang w:val="fr-CA"/>
        </w:rPr>
        <w:t xml:space="preserve"> et qu</w:t>
      </w:r>
      <w:r w:rsidR="00564B0C" w:rsidRPr="00B63BD5">
        <w:rPr>
          <w:b/>
          <w:color w:val="00B0F0"/>
          <w:lang w:val="fr-CA"/>
        </w:rPr>
        <w:t>’</w:t>
      </w:r>
      <w:r w:rsidR="00571244" w:rsidRPr="00B63BD5">
        <w:rPr>
          <w:b/>
          <w:color w:val="00B0F0"/>
          <w:u w:val="single"/>
          <w:lang w:val="fr-CA"/>
        </w:rPr>
        <w:t>un</w:t>
      </w:r>
      <w:r w:rsidR="00571244" w:rsidRPr="00B63BD5">
        <w:rPr>
          <w:b/>
          <w:color w:val="00B0F0"/>
          <w:lang w:val="fr-CA"/>
        </w:rPr>
        <w:t xml:space="preserve"> seul d</w:t>
      </w:r>
      <w:r w:rsidR="00564B0C" w:rsidRPr="00B63BD5">
        <w:rPr>
          <w:b/>
          <w:color w:val="00B0F0"/>
          <w:lang w:val="fr-CA"/>
        </w:rPr>
        <w:t>’</w:t>
      </w:r>
      <w:r w:rsidR="00571244" w:rsidRPr="00B63BD5">
        <w:rPr>
          <w:b/>
          <w:color w:val="00B0F0"/>
          <w:lang w:val="fr-CA"/>
        </w:rPr>
        <w:t xml:space="preserve">entre eux </w:t>
      </w:r>
      <w:r w:rsidR="00830777" w:rsidRPr="00B63BD5">
        <w:rPr>
          <w:b/>
          <w:color w:val="00B0F0"/>
          <w:lang w:val="fr-CA"/>
        </w:rPr>
        <w:t xml:space="preserve">assumera </w:t>
      </w:r>
      <w:r w:rsidR="00E53ECF" w:rsidRPr="00B63BD5">
        <w:rPr>
          <w:b/>
          <w:color w:val="00B0F0"/>
          <w:u w:val="single"/>
          <w:lang w:val="fr-CA"/>
        </w:rPr>
        <w:t>tous</w:t>
      </w:r>
      <w:r w:rsidR="00E53ECF" w:rsidRPr="00B63BD5">
        <w:rPr>
          <w:b/>
          <w:color w:val="00B0F0"/>
          <w:lang w:val="fr-CA"/>
        </w:rPr>
        <w:t xml:space="preserve"> les frais, inscrire le nom de </w:t>
      </w:r>
      <w:r w:rsidR="004B25DA" w:rsidRPr="00B63BD5">
        <w:rPr>
          <w:b/>
          <w:color w:val="00B0F0"/>
          <w:lang w:val="fr-CA"/>
        </w:rPr>
        <w:t>l</w:t>
      </w:r>
      <w:r w:rsidR="00564B0C" w:rsidRPr="00B63BD5">
        <w:rPr>
          <w:b/>
          <w:color w:val="00B0F0"/>
          <w:lang w:val="fr-CA"/>
        </w:rPr>
        <w:t>’</w:t>
      </w:r>
      <w:r w:rsidR="004B25DA" w:rsidRPr="00B63BD5">
        <w:rPr>
          <w:b/>
          <w:color w:val="00B0F0"/>
          <w:lang w:val="fr-CA"/>
        </w:rPr>
        <w:t>entité</w:t>
      </w:r>
      <w:r w:rsidR="00E53ECF" w:rsidRPr="00B63BD5">
        <w:rPr>
          <w:b/>
          <w:color w:val="00B0F0"/>
          <w:lang w:val="fr-CA"/>
        </w:rPr>
        <w:t xml:space="preserve"> qui sera responsable du paiement de tous les frais dans la première phrase (p.</w:t>
      </w:r>
      <w:r w:rsidR="00AC4107" w:rsidRPr="00B63BD5">
        <w:rPr>
          <w:b/>
          <w:color w:val="00B0F0"/>
          <w:lang w:val="fr-CA"/>
        </w:rPr>
        <w:t xml:space="preserve"> </w:t>
      </w:r>
      <w:r w:rsidR="00E53ECF" w:rsidRPr="00B63BD5">
        <w:rPr>
          <w:b/>
          <w:color w:val="00B0F0"/>
          <w:lang w:val="fr-CA"/>
        </w:rPr>
        <w:t>ex.</w:t>
      </w:r>
      <w:r w:rsidR="00AC4107" w:rsidRPr="00B63BD5">
        <w:rPr>
          <w:b/>
          <w:color w:val="00B0F0"/>
          <w:lang w:val="fr-CA"/>
        </w:rPr>
        <w:t xml:space="preserve"> </w:t>
      </w:r>
      <w:r w:rsidR="00E53ECF" w:rsidRPr="00B63BD5">
        <w:rPr>
          <w:b/>
          <w:color w:val="00B0F0"/>
          <w:lang w:val="fr-CA"/>
        </w:rPr>
        <w:t>: «</w:t>
      </w:r>
      <w:r w:rsidR="0094743F" w:rsidRPr="00B63BD5">
        <w:rPr>
          <w:b/>
          <w:color w:val="00B0F0"/>
          <w:lang w:val="fr-CA"/>
        </w:rPr>
        <w:t> </w:t>
      </w:r>
      <w:r w:rsidR="00E53ECF" w:rsidRPr="00B63BD5">
        <w:rPr>
          <w:b/>
          <w:color w:val="00B0F0"/>
          <w:lang w:val="fr-CA"/>
        </w:rPr>
        <w:t xml:space="preserve">● </w:t>
      </w:r>
      <w:r w:rsidR="00830777" w:rsidRPr="00B63BD5">
        <w:rPr>
          <w:b/>
          <w:color w:val="00B0F0"/>
          <w:lang w:val="fr-CA"/>
        </w:rPr>
        <w:t>doit verser</w:t>
      </w:r>
      <w:r w:rsidR="00E53ECF" w:rsidRPr="00B63BD5">
        <w:rPr>
          <w:b/>
          <w:color w:val="00B0F0"/>
          <w:lang w:val="fr-CA"/>
        </w:rPr>
        <w:t xml:space="preserve"> à la Banque</w:t>
      </w:r>
      <w:r w:rsidR="006142A3" w:rsidRPr="00B63BD5">
        <w:rPr>
          <w:b/>
          <w:color w:val="00B0F0"/>
          <w:lang w:val="fr-CA"/>
        </w:rPr>
        <w:t xml:space="preserve"> les commissions et les frais suivants</w:t>
      </w:r>
      <w:r w:rsidR="00AC4107" w:rsidRPr="00B63BD5">
        <w:rPr>
          <w:b/>
          <w:color w:val="00B0F0"/>
          <w:lang w:val="fr-CA"/>
        </w:rPr>
        <w:t xml:space="preserve"> </w:t>
      </w:r>
      <w:r w:rsidR="00E53ECF" w:rsidRPr="00B63BD5">
        <w:rPr>
          <w:b/>
          <w:color w:val="00B0F0"/>
          <w:lang w:val="fr-CA"/>
        </w:rPr>
        <w:t>:</w:t>
      </w:r>
      <w:r w:rsidR="0094743F" w:rsidRPr="00B63BD5">
        <w:rPr>
          <w:b/>
          <w:color w:val="00B0F0"/>
          <w:lang w:val="fr-CA"/>
        </w:rPr>
        <w:t> </w:t>
      </w:r>
      <w:r w:rsidR="00E53ECF" w:rsidRPr="00B63BD5">
        <w:rPr>
          <w:b/>
          <w:color w:val="00B0F0"/>
          <w:lang w:val="fr-CA"/>
        </w:rPr>
        <w:t>»</w:t>
      </w:r>
      <w:r w:rsidR="00571244" w:rsidRPr="00B63BD5">
        <w:rPr>
          <w:b/>
          <w:color w:val="00B0F0"/>
          <w:lang w:val="fr-CA"/>
        </w:rPr>
        <w:t xml:space="preserve"> ET inscrire le nom de cet Emprunteur à la place de la pastille entre crochets dans les alinéas</w:t>
      </w:r>
      <w:r w:rsidR="00AC4107" w:rsidRPr="00B63BD5">
        <w:rPr>
          <w:b/>
          <w:color w:val="00B0F0"/>
          <w:lang w:val="fr-CA"/>
        </w:rPr>
        <w:t xml:space="preserve"> </w:t>
      </w:r>
      <w:r w:rsidR="00571244" w:rsidRPr="00B63BD5">
        <w:rPr>
          <w:b/>
          <w:color w:val="00B0F0"/>
          <w:lang w:val="fr-CA"/>
        </w:rPr>
        <w:t>b), c)</w:t>
      </w:r>
      <w:r w:rsidR="00AC4107" w:rsidRPr="00B63BD5">
        <w:rPr>
          <w:b/>
          <w:color w:val="00B0F0"/>
          <w:lang w:val="fr-CA"/>
        </w:rPr>
        <w:t xml:space="preserve"> </w:t>
      </w:r>
      <w:r w:rsidR="00571244" w:rsidRPr="00B63BD5">
        <w:rPr>
          <w:b/>
          <w:color w:val="00B0F0"/>
          <w:lang w:val="fr-CA"/>
        </w:rPr>
        <w:t>et</w:t>
      </w:r>
      <w:r w:rsidR="00AC4107" w:rsidRPr="00B63BD5">
        <w:rPr>
          <w:b/>
          <w:color w:val="00B0F0"/>
          <w:lang w:val="fr-CA"/>
        </w:rPr>
        <w:t xml:space="preserve"> </w:t>
      </w:r>
      <w:r w:rsidR="00571244" w:rsidRPr="00B63BD5">
        <w:rPr>
          <w:b/>
          <w:color w:val="00B0F0"/>
          <w:lang w:val="fr-CA"/>
        </w:rPr>
        <w:t>d)</w:t>
      </w:r>
      <w:r w:rsidR="00E53ECF" w:rsidRPr="00B63BD5">
        <w:rPr>
          <w:b/>
          <w:color w:val="00B0F0"/>
          <w:lang w:val="fr-CA"/>
        </w:rPr>
        <w:t>.</w:t>
      </w:r>
      <w:r w:rsidRPr="00B63BD5">
        <w:rPr>
          <w:b/>
          <w:color w:val="00B0F0"/>
          <w:lang w:val="fr-CA"/>
        </w:rPr>
        <w:t>]</w:t>
      </w:r>
    </w:p>
    <w:p w14:paraId="774E3D8C" w14:textId="4F101816" w:rsidR="00C7784A" w:rsidRPr="00B63BD5" w:rsidRDefault="00CD489C" w:rsidP="00632863">
      <w:pPr>
        <w:keepNext/>
        <w:spacing w:after="240"/>
        <w:jc w:val="both"/>
        <w:rPr>
          <w:lang w:val="fr-CA"/>
        </w:rPr>
      </w:pPr>
      <w:r w:rsidRPr="00B63BD5">
        <w:rPr>
          <w:lang w:val="fr-CA"/>
        </w:rPr>
        <w:t>[</w:t>
      </w:r>
      <w:r w:rsidR="00916387" w:rsidRPr="00B63BD5">
        <w:rPr>
          <w:lang w:val="fr-CA"/>
        </w:rPr>
        <w:t>L</w:t>
      </w:r>
      <w:r w:rsidR="00564B0C" w:rsidRPr="00B63BD5">
        <w:rPr>
          <w:lang w:val="fr-CA"/>
        </w:rPr>
        <w:t>’</w:t>
      </w:r>
      <w:r w:rsidR="00916387" w:rsidRPr="00B63BD5">
        <w:rPr>
          <w:lang w:val="fr-CA"/>
        </w:rPr>
        <w:t xml:space="preserve">Emprunteur </w:t>
      </w:r>
      <w:r w:rsidR="001934B0" w:rsidRPr="00B63BD5">
        <w:rPr>
          <w:rStyle w:val="Prompt"/>
          <w:b/>
          <w:color w:val="00B0F0"/>
          <w:highlight w:val="yellow"/>
          <w:lang w:val="fr-CA"/>
        </w:rPr>
        <w:t>OU</w:t>
      </w:r>
      <w:r w:rsidRPr="00B63BD5">
        <w:rPr>
          <w:lang w:val="fr-CA"/>
        </w:rPr>
        <w:t xml:space="preserve"> ●] </w:t>
      </w:r>
      <w:r w:rsidR="00916387" w:rsidRPr="00B63BD5">
        <w:rPr>
          <w:lang w:val="fr-CA"/>
        </w:rPr>
        <w:t xml:space="preserve">doit verser à la Banque les </w:t>
      </w:r>
      <w:r w:rsidR="001760DC" w:rsidRPr="00B63BD5">
        <w:rPr>
          <w:lang w:val="fr-CA"/>
        </w:rPr>
        <w:t xml:space="preserve">commissions et les frais </w:t>
      </w:r>
      <w:r w:rsidR="00916387" w:rsidRPr="00B63BD5">
        <w:rPr>
          <w:lang w:val="fr-CA"/>
        </w:rPr>
        <w:t>suivants</w:t>
      </w:r>
      <w:r w:rsidR="00AC4107" w:rsidRPr="00B63BD5">
        <w:rPr>
          <w:lang w:val="fr-CA"/>
        </w:rPr>
        <w:t xml:space="preserve"> </w:t>
      </w:r>
      <w:r w:rsidR="00916387" w:rsidRPr="00B63BD5">
        <w:rPr>
          <w:lang w:val="fr-CA"/>
        </w:rPr>
        <w:t>:</w:t>
      </w:r>
    </w:p>
    <w:p w14:paraId="3F156CED" w14:textId="397213AA" w:rsidR="009926E7" w:rsidRPr="00B63BD5" w:rsidRDefault="00916387" w:rsidP="000B7739">
      <w:pPr>
        <w:pStyle w:val="04LOLglNew3"/>
        <w:rPr>
          <w:lang w:val="fr-CA"/>
        </w:rPr>
      </w:pPr>
      <w:r w:rsidRPr="00B63BD5">
        <w:rPr>
          <w:lang w:val="fr-CA"/>
        </w:rPr>
        <w:t xml:space="preserve">des frais </w:t>
      </w:r>
      <w:r w:rsidR="00BB2D54" w:rsidRPr="00B63BD5">
        <w:rPr>
          <w:lang w:val="fr-CA"/>
        </w:rPr>
        <w:t>de gestion</w:t>
      </w:r>
      <w:r w:rsidR="009926E7" w:rsidRPr="00B63BD5">
        <w:rPr>
          <w:lang w:val="fr-CA"/>
        </w:rPr>
        <w:t xml:space="preserve"> </w:t>
      </w:r>
      <w:r w:rsidRPr="00B63BD5">
        <w:rPr>
          <w:lang w:val="fr-CA"/>
        </w:rPr>
        <w:t>de ●</w:t>
      </w:r>
      <w:r w:rsidR="00B056F9" w:rsidRPr="00B63BD5">
        <w:rPr>
          <w:lang w:val="fr-CA"/>
        </w:rPr>
        <w:t> </w:t>
      </w:r>
      <w:r w:rsidRPr="00B63BD5">
        <w:rPr>
          <w:lang w:val="fr-CA"/>
        </w:rPr>
        <w:t>$</w:t>
      </w:r>
      <w:r w:rsidR="00AC4107" w:rsidRPr="00B63BD5">
        <w:rPr>
          <w:lang w:val="fr-CA"/>
        </w:rPr>
        <w:t xml:space="preserve"> </w:t>
      </w:r>
      <w:r w:rsidRPr="00B63BD5">
        <w:rPr>
          <w:lang w:val="fr-CA"/>
        </w:rPr>
        <w:t xml:space="preserve">CA payables le premier Jour ouvrable de chaque mois </w:t>
      </w:r>
      <w:r w:rsidR="001760DC" w:rsidRPr="00B63BD5">
        <w:rPr>
          <w:lang w:val="fr-CA"/>
        </w:rPr>
        <w:t>à</w:t>
      </w:r>
      <w:r w:rsidR="00C341A7" w:rsidRPr="00B63BD5">
        <w:rPr>
          <w:lang w:val="fr-CA"/>
        </w:rPr>
        <w:t> </w:t>
      </w:r>
      <w:r w:rsidR="001760DC" w:rsidRPr="00B63BD5">
        <w:rPr>
          <w:lang w:val="fr-CA"/>
        </w:rPr>
        <w:t>l</w:t>
      </w:r>
      <w:r w:rsidR="00564B0C" w:rsidRPr="00B63BD5">
        <w:rPr>
          <w:lang w:val="fr-CA"/>
        </w:rPr>
        <w:t>’</w:t>
      </w:r>
      <w:r w:rsidR="001760DC" w:rsidRPr="00B63BD5">
        <w:rPr>
          <w:lang w:val="fr-CA"/>
        </w:rPr>
        <w:t>égard du</w:t>
      </w:r>
      <w:r w:rsidR="002A0AB5" w:rsidRPr="00B63BD5">
        <w:rPr>
          <w:lang w:val="fr-CA"/>
        </w:rPr>
        <w:t> </w:t>
      </w:r>
      <w:r w:rsidRPr="00B63BD5">
        <w:rPr>
          <w:lang w:val="fr-CA"/>
        </w:rPr>
        <w:t>mois</w:t>
      </w:r>
      <w:r w:rsidR="002A0AB5" w:rsidRPr="00B63BD5">
        <w:rPr>
          <w:lang w:val="fr-CA"/>
        </w:rPr>
        <w:t> </w:t>
      </w:r>
      <w:r w:rsidRPr="00B63BD5">
        <w:rPr>
          <w:lang w:val="fr-CA"/>
        </w:rPr>
        <w:t>précéd</w:t>
      </w:r>
      <w:r w:rsidR="001760DC" w:rsidRPr="00B63BD5">
        <w:rPr>
          <w:lang w:val="fr-CA"/>
        </w:rPr>
        <w:t>e</w:t>
      </w:r>
      <w:r w:rsidRPr="00B63BD5">
        <w:rPr>
          <w:lang w:val="fr-CA"/>
        </w:rPr>
        <w:t>nt</w:t>
      </w:r>
      <w:r w:rsidR="009926E7" w:rsidRPr="00B63BD5">
        <w:rPr>
          <w:lang w:val="fr-CA"/>
        </w:rPr>
        <w:t>;</w:t>
      </w:r>
    </w:p>
    <w:p w14:paraId="340098BD" w14:textId="23C679D2" w:rsidR="009926E7" w:rsidRPr="00B63BD5" w:rsidRDefault="00916387" w:rsidP="000B7739">
      <w:pPr>
        <w:pStyle w:val="04LOLglNew3"/>
        <w:rPr>
          <w:lang w:val="fr-CA"/>
        </w:rPr>
      </w:pPr>
      <w:r w:rsidRPr="00B63BD5">
        <w:rPr>
          <w:lang w:val="fr-CA"/>
        </w:rPr>
        <w:t xml:space="preserve">au moment </w:t>
      </w:r>
      <w:r w:rsidR="004D64AF" w:rsidRPr="00B63BD5">
        <w:rPr>
          <w:lang w:val="fr-CA"/>
        </w:rPr>
        <w:t xml:space="preserve">où </w:t>
      </w:r>
      <w:r w:rsidRPr="00B63BD5">
        <w:rPr>
          <w:lang w:val="fr-CA"/>
        </w:rPr>
        <w:t>la Banque</w:t>
      </w:r>
      <w:r w:rsidR="004D64AF" w:rsidRPr="00B63BD5">
        <w:rPr>
          <w:lang w:val="fr-CA"/>
        </w:rPr>
        <w:t xml:space="preserve"> accepte </w:t>
      </w:r>
      <w:r w:rsidRPr="00B63BD5">
        <w:rPr>
          <w:lang w:val="fr-CA"/>
        </w:rPr>
        <w:t>chaque Acceptation</w:t>
      </w:r>
      <w:r w:rsidR="001760DC" w:rsidRPr="00B63BD5">
        <w:rPr>
          <w:lang w:val="fr-CA"/>
        </w:rPr>
        <w:t xml:space="preserve"> bancaire</w:t>
      </w:r>
      <w:r w:rsidRPr="00B63BD5">
        <w:rPr>
          <w:lang w:val="fr-CA"/>
        </w:rPr>
        <w:t xml:space="preserve"> (y</w:t>
      </w:r>
      <w:r w:rsidR="00AC4107" w:rsidRPr="00B63BD5">
        <w:rPr>
          <w:lang w:val="fr-CA"/>
        </w:rPr>
        <w:t xml:space="preserve"> </w:t>
      </w:r>
      <w:r w:rsidRPr="00B63BD5">
        <w:rPr>
          <w:lang w:val="fr-CA"/>
        </w:rPr>
        <w:t>compris le renouvellement d</w:t>
      </w:r>
      <w:r w:rsidR="00564B0C" w:rsidRPr="00B63BD5">
        <w:rPr>
          <w:lang w:val="fr-CA"/>
        </w:rPr>
        <w:t>’</w:t>
      </w:r>
      <w:r w:rsidRPr="00B63BD5">
        <w:rPr>
          <w:lang w:val="fr-CA"/>
        </w:rPr>
        <w:t>une</w:t>
      </w:r>
      <w:r w:rsidR="00AB0594" w:rsidRPr="00B63BD5">
        <w:rPr>
          <w:lang w:val="fr-CA"/>
        </w:rPr>
        <w:t xml:space="preserve"> </w:t>
      </w:r>
      <w:r w:rsidR="001760DC" w:rsidRPr="00B63BD5">
        <w:rPr>
          <w:lang w:val="fr-CA"/>
        </w:rPr>
        <w:t>telle</w:t>
      </w:r>
      <w:r w:rsidRPr="00B63BD5">
        <w:rPr>
          <w:lang w:val="fr-CA"/>
        </w:rPr>
        <w:t xml:space="preserve"> </w:t>
      </w:r>
      <w:r w:rsidR="001760DC" w:rsidRPr="00B63BD5">
        <w:rPr>
          <w:lang w:val="fr-CA"/>
        </w:rPr>
        <w:t>a</w:t>
      </w:r>
      <w:r w:rsidRPr="00B63BD5">
        <w:rPr>
          <w:lang w:val="fr-CA"/>
        </w:rPr>
        <w:t>cceptation), une Commission d</w:t>
      </w:r>
      <w:r w:rsidR="00564B0C" w:rsidRPr="00B63BD5">
        <w:rPr>
          <w:lang w:val="fr-CA"/>
        </w:rPr>
        <w:t>’</w:t>
      </w:r>
      <w:r w:rsidR="00BB2D54" w:rsidRPr="00B63BD5">
        <w:rPr>
          <w:lang w:val="fr-CA"/>
        </w:rPr>
        <w:t>acceptation</w:t>
      </w:r>
      <w:r w:rsidR="009F6152" w:rsidRPr="00B63BD5">
        <w:rPr>
          <w:lang w:val="fr-CA"/>
        </w:rPr>
        <w:t xml:space="preserve"> calculée en multipliant</w:t>
      </w:r>
      <w:r w:rsidRPr="00B63BD5">
        <w:rPr>
          <w:lang w:val="fr-CA"/>
        </w:rPr>
        <w:t xml:space="preserve"> </w:t>
      </w:r>
      <w:r w:rsidR="009F6152" w:rsidRPr="00B63BD5">
        <w:rPr>
          <w:lang w:val="fr-CA"/>
        </w:rPr>
        <w:t>la valeur nominale de l</w:t>
      </w:r>
      <w:r w:rsidR="00564B0C" w:rsidRPr="00B63BD5">
        <w:rPr>
          <w:lang w:val="fr-CA"/>
        </w:rPr>
        <w:t>’</w:t>
      </w:r>
      <w:r w:rsidR="009F6152" w:rsidRPr="00B63BD5">
        <w:rPr>
          <w:lang w:val="fr-CA"/>
        </w:rPr>
        <w:t>Acceptation bancaire</w:t>
      </w:r>
      <w:r w:rsidR="00BB2D54" w:rsidRPr="00B63BD5">
        <w:rPr>
          <w:lang w:val="fr-CA"/>
        </w:rPr>
        <w:t xml:space="preserve"> par ●</w:t>
      </w:r>
      <w:r w:rsidR="00B056F9" w:rsidRPr="00B63BD5">
        <w:rPr>
          <w:lang w:val="fr-CA"/>
        </w:rPr>
        <w:t> </w:t>
      </w:r>
      <w:r w:rsidR="00BB2D54" w:rsidRPr="00B63BD5">
        <w:rPr>
          <w:lang w:val="fr-CA"/>
        </w:rPr>
        <w:t>% par année</w:t>
      </w:r>
      <w:r w:rsidR="005056B1" w:rsidRPr="00B63BD5">
        <w:rPr>
          <w:lang w:val="fr-CA"/>
        </w:rPr>
        <w:t>, puis en multipliant ce</w:t>
      </w:r>
      <w:r w:rsidR="006142A3" w:rsidRPr="00B63BD5">
        <w:rPr>
          <w:lang w:val="fr-CA"/>
        </w:rPr>
        <w:t xml:space="preserve"> produit</w:t>
      </w:r>
      <w:r w:rsidR="005056B1" w:rsidRPr="00B63BD5">
        <w:rPr>
          <w:lang w:val="fr-CA"/>
        </w:rPr>
        <w:t xml:space="preserve"> par le nombre de</w:t>
      </w:r>
      <w:r w:rsidR="00AB0594" w:rsidRPr="00B63BD5">
        <w:rPr>
          <w:lang w:val="fr-CA"/>
        </w:rPr>
        <w:t xml:space="preserve"> </w:t>
      </w:r>
      <w:r w:rsidR="005056B1" w:rsidRPr="00B63BD5">
        <w:rPr>
          <w:lang w:val="fr-CA"/>
        </w:rPr>
        <w:t>jours</w:t>
      </w:r>
      <w:r w:rsidR="00AB0594" w:rsidRPr="00B63BD5">
        <w:rPr>
          <w:lang w:val="fr-CA"/>
        </w:rPr>
        <w:t xml:space="preserve"> </w:t>
      </w:r>
      <w:r w:rsidR="004B25DA" w:rsidRPr="00B63BD5">
        <w:rPr>
          <w:lang w:val="fr-CA"/>
        </w:rPr>
        <w:t xml:space="preserve">compris </w:t>
      </w:r>
      <w:r w:rsidR="005056B1" w:rsidRPr="00B63BD5">
        <w:rPr>
          <w:lang w:val="fr-CA"/>
        </w:rPr>
        <w:t xml:space="preserve">dans </w:t>
      </w:r>
      <w:r w:rsidR="00016DCF" w:rsidRPr="00B63BD5">
        <w:rPr>
          <w:lang w:val="fr-CA"/>
        </w:rPr>
        <w:t>le terme</w:t>
      </w:r>
      <w:r w:rsidR="005056B1" w:rsidRPr="00B63BD5">
        <w:rPr>
          <w:lang w:val="fr-CA"/>
        </w:rPr>
        <w:t xml:space="preserve"> de l</w:t>
      </w:r>
      <w:r w:rsidR="00564B0C" w:rsidRPr="00B63BD5">
        <w:rPr>
          <w:lang w:val="fr-CA"/>
        </w:rPr>
        <w:t>’</w:t>
      </w:r>
      <w:r w:rsidR="005056B1" w:rsidRPr="00B63BD5">
        <w:rPr>
          <w:lang w:val="fr-CA"/>
        </w:rPr>
        <w:t xml:space="preserve">Acceptation bancaire, </w:t>
      </w:r>
      <w:r w:rsidR="006142A3" w:rsidRPr="00B63BD5">
        <w:rPr>
          <w:lang w:val="fr-CA"/>
        </w:rPr>
        <w:t>puis en divisant</w:t>
      </w:r>
      <w:r w:rsidR="005056B1" w:rsidRPr="00B63BD5">
        <w:rPr>
          <w:lang w:val="fr-CA"/>
        </w:rPr>
        <w:t xml:space="preserve"> </w:t>
      </w:r>
      <w:r w:rsidR="006142A3" w:rsidRPr="00B63BD5">
        <w:rPr>
          <w:lang w:val="fr-CA"/>
        </w:rPr>
        <w:t xml:space="preserve">ce produit </w:t>
      </w:r>
      <w:r w:rsidR="005056B1" w:rsidRPr="00B63BD5">
        <w:rPr>
          <w:lang w:val="fr-CA"/>
        </w:rPr>
        <w:t>par</w:t>
      </w:r>
      <w:r w:rsidR="00AB0594" w:rsidRPr="00B63BD5">
        <w:rPr>
          <w:lang w:val="fr-CA"/>
        </w:rPr>
        <w:t xml:space="preserve"> </w:t>
      </w:r>
      <w:r w:rsidR="005056B1" w:rsidRPr="00B63BD5">
        <w:rPr>
          <w:lang w:val="fr-CA"/>
        </w:rPr>
        <w:t>365</w:t>
      </w:r>
      <w:r w:rsidR="002A0AB5" w:rsidRPr="00B63BD5">
        <w:rPr>
          <w:lang w:val="fr-CA"/>
        </w:rPr>
        <w:t> </w:t>
      </w:r>
      <w:r w:rsidR="005056B1" w:rsidRPr="00B63BD5">
        <w:rPr>
          <w:lang w:val="fr-CA"/>
        </w:rPr>
        <w:t>jours</w:t>
      </w:r>
      <w:r w:rsidR="00AB0594" w:rsidRPr="00B63BD5">
        <w:rPr>
          <w:lang w:val="fr-CA"/>
        </w:rPr>
        <w:t xml:space="preserve"> </w:t>
      </w:r>
      <w:r w:rsidR="005056B1" w:rsidRPr="00B63BD5">
        <w:rPr>
          <w:lang w:val="fr-CA"/>
        </w:rPr>
        <w:t>pour</w:t>
      </w:r>
      <w:r w:rsidR="00AB0594" w:rsidRPr="00B63BD5">
        <w:rPr>
          <w:lang w:val="fr-CA"/>
        </w:rPr>
        <w:t xml:space="preserve"> </w:t>
      </w:r>
      <w:r w:rsidR="005056B1" w:rsidRPr="00B63BD5">
        <w:rPr>
          <w:lang w:val="fr-CA"/>
        </w:rPr>
        <w:t>les</w:t>
      </w:r>
      <w:r w:rsidR="00AB0594" w:rsidRPr="00B63BD5">
        <w:rPr>
          <w:lang w:val="fr-CA"/>
        </w:rPr>
        <w:t xml:space="preserve"> </w:t>
      </w:r>
      <w:r w:rsidR="005056B1" w:rsidRPr="00B63BD5">
        <w:rPr>
          <w:lang w:val="fr-CA"/>
        </w:rPr>
        <w:t>Acceptations bancaires</w:t>
      </w:r>
      <w:r w:rsidR="002A2957" w:rsidRPr="00B63BD5">
        <w:rPr>
          <w:lang w:val="fr-CA"/>
        </w:rPr>
        <w:t xml:space="preserve"> libellées en Dollars canadiens ou par 360</w:t>
      </w:r>
      <w:r w:rsidR="00AB0594" w:rsidRPr="00B63BD5">
        <w:rPr>
          <w:lang w:val="fr-CA"/>
        </w:rPr>
        <w:t> </w:t>
      </w:r>
      <w:r w:rsidR="002A2957" w:rsidRPr="00B63BD5">
        <w:rPr>
          <w:lang w:val="fr-CA"/>
        </w:rPr>
        <w:t>jours</w:t>
      </w:r>
      <w:r w:rsidR="00AC4107" w:rsidRPr="00B63BD5">
        <w:rPr>
          <w:lang w:val="fr-CA"/>
        </w:rPr>
        <w:t xml:space="preserve"> </w:t>
      </w:r>
      <w:r w:rsidR="002A2957" w:rsidRPr="00B63BD5">
        <w:rPr>
          <w:lang w:val="fr-CA"/>
        </w:rPr>
        <w:t>pour</w:t>
      </w:r>
      <w:r w:rsidR="00AB0594" w:rsidRPr="00B63BD5">
        <w:rPr>
          <w:lang w:val="fr-CA"/>
        </w:rPr>
        <w:t xml:space="preserve"> </w:t>
      </w:r>
      <w:r w:rsidR="002A2957" w:rsidRPr="00B63BD5">
        <w:rPr>
          <w:lang w:val="fr-CA"/>
        </w:rPr>
        <w:t>les</w:t>
      </w:r>
      <w:r w:rsidR="00AB0594" w:rsidRPr="00B63BD5">
        <w:rPr>
          <w:lang w:val="fr-CA"/>
        </w:rPr>
        <w:t xml:space="preserve"> </w:t>
      </w:r>
      <w:r w:rsidR="002A2957" w:rsidRPr="00B63BD5">
        <w:rPr>
          <w:lang w:val="fr-CA"/>
        </w:rPr>
        <w:t>Acceptations bancaires libellées en Dollars américains</w:t>
      </w:r>
      <w:r w:rsidRPr="00B63BD5">
        <w:rPr>
          <w:lang w:val="fr-CA"/>
        </w:rPr>
        <w:t xml:space="preserve">, </w:t>
      </w:r>
      <w:r w:rsidR="00E53ECF" w:rsidRPr="00B63BD5">
        <w:rPr>
          <w:lang w:val="fr-CA"/>
        </w:rPr>
        <w:t xml:space="preserve">qui </w:t>
      </w:r>
      <w:r w:rsidR="0046367E" w:rsidRPr="00B63BD5">
        <w:rPr>
          <w:lang w:val="fr-CA"/>
        </w:rPr>
        <w:t xml:space="preserve">peut </w:t>
      </w:r>
      <w:r w:rsidR="00E53ECF" w:rsidRPr="00B63BD5">
        <w:rPr>
          <w:lang w:val="fr-CA"/>
        </w:rPr>
        <w:t xml:space="preserve">être facturée au compte </w:t>
      </w:r>
      <w:r w:rsidR="00CD489C" w:rsidRPr="00B63BD5">
        <w:rPr>
          <w:lang w:val="fr-CA"/>
        </w:rPr>
        <w:t>[</w:t>
      </w:r>
      <w:r w:rsidR="006142A3" w:rsidRPr="00B63BD5">
        <w:rPr>
          <w:lang w:val="fr-CA"/>
        </w:rPr>
        <w:t>de</w:t>
      </w:r>
      <w:r w:rsidR="00AB0594" w:rsidRPr="00B63BD5">
        <w:rPr>
          <w:lang w:val="fr-CA"/>
        </w:rPr>
        <w:t xml:space="preserve"> </w:t>
      </w:r>
      <w:r w:rsidR="00CD489C" w:rsidRPr="00B63BD5">
        <w:rPr>
          <w:lang w:val="fr-CA"/>
        </w:rPr>
        <w:t>●</w:t>
      </w:r>
      <w:r w:rsidR="002A0AB5" w:rsidRPr="00B63BD5">
        <w:rPr>
          <w:lang w:val="fr-CA"/>
        </w:rPr>
        <w:t> </w:t>
      </w:r>
      <w:r w:rsidR="001934B0" w:rsidRPr="00B63BD5">
        <w:rPr>
          <w:rStyle w:val="Prompt"/>
          <w:b/>
          <w:color w:val="00B0F0"/>
          <w:highlight w:val="yellow"/>
          <w:lang w:val="fr-CA"/>
        </w:rPr>
        <w:t>OU</w:t>
      </w:r>
      <w:r w:rsidR="00CD489C" w:rsidRPr="00B63BD5">
        <w:rPr>
          <w:lang w:val="fr-CA"/>
        </w:rPr>
        <w:t xml:space="preserve"> </w:t>
      </w:r>
      <w:r w:rsidR="00E53ECF" w:rsidRPr="00B63BD5">
        <w:rPr>
          <w:lang w:val="fr-CA"/>
        </w:rPr>
        <w:t>de l</w:t>
      </w:r>
      <w:r w:rsidR="00564B0C" w:rsidRPr="00B63BD5">
        <w:rPr>
          <w:lang w:val="fr-CA"/>
        </w:rPr>
        <w:t>’</w:t>
      </w:r>
      <w:r w:rsidR="00E53ECF" w:rsidRPr="00B63BD5">
        <w:rPr>
          <w:lang w:val="fr-CA"/>
        </w:rPr>
        <w:t>Emprunteur qui demande l</w:t>
      </w:r>
      <w:r w:rsidR="00564B0C" w:rsidRPr="00B63BD5">
        <w:rPr>
          <w:lang w:val="fr-CA"/>
        </w:rPr>
        <w:t>’</w:t>
      </w:r>
      <w:r w:rsidR="00E53ECF" w:rsidRPr="00B63BD5">
        <w:rPr>
          <w:lang w:val="fr-CA"/>
        </w:rPr>
        <w:t>Acceptation</w:t>
      </w:r>
      <w:r w:rsidR="00C341A7" w:rsidRPr="00B63BD5">
        <w:rPr>
          <w:lang w:val="fr-CA"/>
        </w:rPr>
        <w:t> </w:t>
      </w:r>
      <w:r w:rsidR="00E53ECF" w:rsidRPr="00B63BD5">
        <w:rPr>
          <w:lang w:val="fr-CA"/>
        </w:rPr>
        <w:t>bancaire]</w:t>
      </w:r>
      <w:r w:rsidRPr="00B63BD5">
        <w:rPr>
          <w:lang w:val="fr-CA"/>
        </w:rPr>
        <w:t>;</w:t>
      </w:r>
    </w:p>
    <w:p w14:paraId="15F05FEE" w14:textId="6A0CFB11" w:rsidR="003C7E43" w:rsidRPr="00B63BD5" w:rsidRDefault="003C7E43" w:rsidP="000B7739">
      <w:pPr>
        <w:pStyle w:val="04LOLglNew3"/>
        <w:rPr>
          <w:lang w:val="fr-CA"/>
        </w:rPr>
      </w:pPr>
      <w:r w:rsidRPr="00B63BD5">
        <w:rPr>
          <w:lang w:val="fr-CA"/>
        </w:rPr>
        <w:t>les frais suivants relatifs aux Lettres de garantie</w:t>
      </w:r>
      <w:r w:rsidR="005551FB" w:rsidRPr="00B63BD5">
        <w:rPr>
          <w:lang w:val="fr-CA"/>
        </w:rPr>
        <w:t xml:space="preserve"> émises </w:t>
      </w:r>
      <w:r w:rsidR="00991612" w:rsidRPr="00B63BD5">
        <w:rPr>
          <w:lang w:val="fr-CA"/>
        </w:rPr>
        <w:t>aux termes</w:t>
      </w:r>
      <w:r w:rsidR="005551FB" w:rsidRPr="00B63BD5">
        <w:rPr>
          <w:lang w:val="fr-CA"/>
        </w:rPr>
        <w:t xml:space="preserve"> de la Facilité de crédit à</w:t>
      </w:r>
      <w:r w:rsidR="00AB0594" w:rsidRPr="00B63BD5">
        <w:rPr>
          <w:lang w:val="fr-CA"/>
        </w:rPr>
        <w:t xml:space="preserve"> </w:t>
      </w:r>
      <w:r w:rsidR="005551FB" w:rsidRPr="00B63BD5">
        <w:rPr>
          <w:lang w:val="fr-CA"/>
        </w:rPr>
        <w:t>l</w:t>
      </w:r>
      <w:r w:rsidR="00564B0C" w:rsidRPr="00B63BD5">
        <w:rPr>
          <w:lang w:val="fr-CA"/>
        </w:rPr>
        <w:t>’</w:t>
      </w:r>
      <w:r w:rsidR="005551FB" w:rsidRPr="00B63BD5">
        <w:rPr>
          <w:lang w:val="fr-CA"/>
        </w:rPr>
        <w:t>exploitation</w:t>
      </w:r>
      <w:r w:rsidR="002459F9" w:rsidRPr="00B63BD5">
        <w:rPr>
          <w:lang w:val="fr-CA"/>
        </w:rPr>
        <w:t> :</w:t>
      </w:r>
    </w:p>
    <w:p w14:paraId="419CFC10" w14:textId="339C350C" w:rsidR="003C7E43" w:rsidRPr="00B63BD5" w:rsidRDefault="003C7E43" w:rsidP="002459F9">
      <w:pPr>
        <w:pStyle w:val="04LOLglNew4"/>
        <w:rPr>
          <w:rStyle w:val="Prompt"/>
          <w:color w:val="auto"/>
          <w:szCs w:val="20"/>
          <w:lang w:val="fr-CA"/>
        </w:rPr>
      </w:pPr>
      <w:r w:rsidRPr="00B63BD5">
        <w:rPr>
          <w:rStyle w:val="Prompt"/>
          <w:color w:val="auto"/>
          <w:szCs w:val="20"/>
          <w:lang w:val="fr-CA"/>
        </w:rPr>
        <w:lastRenderedPageBreak/>
        <w:t xml:space="preserve">au moment </w:t>
      </w:r>
      <w:r w:rsidRPr="00B63BD5">
        <w:rPr>
          <w:lang w:val="fr-CA"/>
        </w:rPr>
        <w:t>où</w:t>
      </w:r>
      <w:r w:rsidRPr="00B63BD5">
        <w:rPr>
          <w:rStyle w:val="Prompt"/>
          <w:color w:val="auto"/>
          <w:szCs w:val="20"/>
          <w:lang w:val="fr-CA"/>
        </w:rPr>
        <w:t xml:space="preserve"> la Banque émet chaque Lettre de garantie financière (y</w:t>
      </w:r>
      <w:r w:rsidR="00AC4107" w:rsidRPr="00B63BD5">
        <w:rPr>
          <w:rStyle w:val="Prompt"/>
          <w:color w:val="auto"/>
          <w:szCs w:val="20"/>
          <w:lang w:val="fr-CA"/>
        </w:rPr>
        <w:t xml:space="preserve"> </w:t>
      </w:r>
      <w:r w:rsidRPr="00B63BD5">
        <w:rPr>
          <w:rStyle w:val="Prompt"/>
          <w:color w:val="auto"/>
          <w:szCs w:val="20"/>
          <w:lang w:val="fr-CA"/>
        </w:rPr>
        <w:t>compris au moment du</w:t>
      </w:r>
      <w:r w:rsidR="002A0AB5" w:rsidRPr="00B63BD5">
        <w:rPr>
          <w:rStyle w:val="Prompt"/>
          <w:color w:val="auto"/>
          <w:szCs w:val="20"/>
          <w:lang w:val="fr-CA"/>
        </w:rPr>
        <w:t> </w:t>
      </w:r>
      <w:r w:rsidRPr="00B63BD5">
        <w:rPr>
          <w:rStyle w:val="Prompt"/>
          <w:color w:val="auto"/>
          <w:szCs w:val="20"/>
          <w:lang w:val="fr-CA"/>
        </w:rPr>
        <w:t>renouvellement ou du remplacement d</w:t>
      </w:r>
      <w:r w:rsidR="00564B0C" w:rsidRPr="00B63BD5">
        <w:rPr>
          <w:rStyle w:val="Prompt"/>
          <w:color w:val="auto"/>
          <w:szCs w:val="20"/>
          <w:lang w:val="fr-CA"/>
        </w:rPr>
        <w:t>’</w:t>
      </w:r>
      <w:r w:rsidRPr="00B63BD5">
        <w:rPr>
          <w:rStyle w:val="Prompt"/>
          <w:color w:val="auto"/>
          <w:szCs w:val="20"/>
          <w:lang w:val="fr-CA"/>
        </w:rPr>
        <w:t>une telle lettre, après son échéance ou</w:t>
      </w:r>
      <w:r w:rsidR="00AB0594" w:rsidRPr="00B63BD5">
        <w:rPr>
          <w:rStyle w:val="Prompt"/>
          <w:color w:val="auto"/>
          <w:szCs w:val="20"/>
          <w:lang w:val="fr-CA"/>
        </w:rPr>
        <w:t xml:space="preserve"> </w:t>
      </w:r>
      <w:r w:rsidRPr="00B63BD5">
        <w:rPr>
          <w:rStyle w:val="Prompt"/>
          <w:color w:val="auto"/>
          <w:szCs w:val="20"/>
          <w:lang w:val="fr-CA"/>
        </w:rPr>
        <w:t>son</w:t>
      </w:r>
      <w:r w:rsidR="00AB0594" w:rsidRPr="00B63BD5">
        <w:rPr>
          <w:rStyle w:val="Prompt"/>
          <w:color w:val="auto"/>
          <w:szCs w:val="20"/>
          <w:lang w:val="fr-CA"/>
        </w:rPr>
        <w:t xml:space="preserve"> </w:t>
      </w:r>
      <w:r w:rsidRPr="00B63BD5">
        <w:rPr>
          <w:rStyle w:val="Prompt"/>
          <w:color w:val="auto"/>
          <w:szCs w:val="20"/>
          <w:lang w:val="fr-CA"/>
        </w:rPr>
        <w:t>expiration), des frais correspondant à ●</w:t>
      </w:r>
      <w:r w:rsidR="00AB0594" w:rsidRPr="00B63BD5">
        <w:rPr>
          <w:lang w:val="fr-CA"/>
        </w:rPr>
        <w:t> </w:t>
      </w:r>
      <w:r w:rsidRPr="00B63BD5">
        <w:rPr>
          <w:rStyle w:val="Prompt"/>
          <w:color w:val="auto"/>
          <w:szCs w:val="20"/>
          <w:lang w:val="fr-CA"/>
        </w:rPr>
        <w:t xml:space="preserve">% par année, calculés sur la valeur nominale et sur </w:t>
      </w:r>
      <w:r w:rsidR="00016DCF" w:rsidRPr="00B63BD5">
        <w:rPr>
          <w:rStyle w:val="Prompt"/>
          <w:color w:val="auto"/>
          <w:szCs w:val="20"/>
          <w:lang w:val="fr-CA"/>
        </w:rPr>
        <w:t>le terme</w:t>
      </w:r>
      <w:r w:rsidRPr="00B63BD5">
        <w:rPr>
          <w:rStyle w:val="Prompt"/>
          <w:color w:val="auto"/>
          <w:szCs w:val="20"/>
          <w:lang w:val="fr-CA"/>
        </w:rPr>
        <w:t xml:space="preserve"> de la Lettre de garantie financière, </w:t>
      </w:r>
      <w:r w:rsidR="009B0336" w:rsidRPr="00B63BD5">
        <w:rPr>
          <w:rStyle w:val="Prompt"/>
          <w:color w:val="auto"/>
          <w:szCs w:val="20"/>
          <w:lang w:val="fr-CA"/>
        </w:rPr>
        <w:t>sous réserve de frais minimaux de</w:t>
      </w:r>
      <w:r w:rsidR="00AB0594" w:rsidRPr="00B63BD5">
        <w:rPr>
          <w:rStyle w:val="Prompt"/>
          <w:color w:val="auto"/>
          <w:szCs w:val="20"/>
          <w:lang w:val="fr-CA"/>
        </w:rPr>
        <w:t xml:space="preserve"> </w:t>
      </w:r>
      <w:r w:rsidR="009B0336" w:rsidRPr="00B63BD5">
        <w:rPr>
          <w:rStyle w:val="Prompt"/>
          <w:color w:val="auto"/>
          <w:szCs w:val="20"/>
          <w:lang w:val="fr-CA"/>
        </w:rPr>
        <w:t>●</w:t>
      </w:r>
      <w:r w:rsidR="002A0AB5" w:rsidRPr="00B63BD5">
        <w:rPr>
          <w:rStyle w:val="Prompt"/>
          <w:color w:val="auto"/>
          <w:szCs w:val="20"/>
          <w:lang w:val="fr-CA"/>
        </w:rPr>
        <w:t> </w:t>
      </w:r>
      <w:r w:rsidR="009B0336" w:rsidRPr="00B63BD5">
        <w:rPr>
          <w:rStyle w:val="Prompt"/>
          <w:color w:val="auto"/>
          <w:szCs w:val="20"/>
          <w:lang w:val="fr-CA"/>
        </w:rPr>
        <w:t>$</w:t>
      </w:r>
      <w:r w:rsidR="002A0AB5" w:rsidRPr="00B63BD5">
        <w:rPr>
          <w:rStyle w:val="Prompt"/>
          <w:color w:val="auto"/>
          <w:szCs w:val="20"/>
          <w:lang w:val="fr-CA"/>
        </w:rPr>
        <w:t> </w:t>
      </w:r>
      <w:r w:rsidR="009B0336" w:rsidRPr="00B63BD5">
        <w:rPr>
          <w:rStyle w:val="Prompt"/>
          <w:color w:val="auto"/>
          <w:szCs w:val="20"/>
          <w:lang w:val="fr-CA"/>
        </w:rPr>
        <w:t>par</w:t>
      </w:r>
      <w:r w:rsidR="00AB0594" w:rsidRPr="00B63BD5">
        <w:rPr>
          <w:rStyle w:val="Prompt"/>
          <w:color w:val="auto"/>
          <w:szCs w:val="20"/>
          <w:lang w:val="fr-CA"/>
        </w:rPr>
        <w:t xml:space="preserve"> </w:t>
      </w:r>
      <w:r w:rsidR="009B0336" w:rsidRPr="00B63BD5">
        <w:rPr>
          <w:rStyle w:val="Prompt"/>
          <w:color w:val="auto"/>
          <w:szCs w:val="20"/>
          <w:lang w:val="fr-CA"/>
        </w:rPr>
        <w:t>émission</w:t>
      </w:r>
      <w:r w:rsidRPr="00B63BD5">
        <w:rPr>
          <w:rStyle w:val="Prompt"/>
          <w:color w:val="auto"/>
          <w:szCs w:val="20"/>
          <w:lang w:val="fr-CA"/>
        </w:rPr>
        <w:t>;</w:t>
      </w:r>
    </w:p>
    <w:p w14:paraId="3E7EBA0B" w14:textId="2E6C1752" w:rsidR="003C7E43" w:rsidRPr="00B63BD5" w:rsidRDefault="003C7E43" w:rsidP="002459F9">
      <w:pPr>
        <w:pStyle w:val="04LOLglNew4"/>
        <w:rPr>
          <w:rStyle w:val="Prompt"/>
          <w:color w:val="auto"/>
          <w:szCs w:val="20"/>
          <w:lang w:val="fr-CA"/>
        </w:rPr>
      </w:pPr>
      <w:r w:rsidRPr="00B63BD5">
        <w:rPr>
          <w:rStyle w:val="Prompt"/>
          <w:color w:val="auto"/>
          <w:szCs w:val="20"/>
          <w:lang w:val="fr-CA"/>
        </w:rPr>
        <w:t xml:space="preserve">au moment où la Banque émet chaque Lettre de </w:t>
      </w:r>
      <w:r w:rsidR="00B210C5" w:rsidRPr="00B63BD5">
        <w:rPr>
          <w:rStyle w:val="Prompt"/>
          <w:color w:val="auto"/>
          <w:szCs w:val="20"/>
          <w:lang w:val="fr-CA"/>
        </w:rPr>
        <w:t>garantie de bonne exécution</w:t>
      </w:r>
      <w:r w:rsidRPr="00B63BD5">
        <w:rPr>
          <w:rStyle w:val="Prompt"/>
          <w:color w:val="auto"/>
          <w:szCs w:val="20"/>
          <w:lang w:val="fr-CA"/>
        </w:rPr>
        <w:t xml:space="preserve"> (y</w:t>
      </w:r>
      <w:r w:rsidR="00AB0594" w:rsidRPr="00B63BD5">
        <w:rPr>
          <w:rStyle w:val="Prompt"/>
          <w:color w:val="auto"/>
          <w:szCs w:val="20"/>
          <w:lang w:val="fr-CA"/>
        </w:rPr>
        <w:t xml:space="preserve"> </w:t>
      </w:r>
      <w:r w:rsidRPr="00B63BD5">
        <w:rPr>
          <w:rStyle w:val="Prompt"/>
          <w:color w:val="auto"/>
          <w:szCs w:val="20"/>
          <w:lang w:val="fr-CA"/>
        </w:rPr>
        <w:t>compris au</w:t>
      </w:r>
      <w:r w:rsidR="002A0AB5" w:rsidRPr="00B63BD5">
        <w:rPr>
          <w:rStyle w:val="Prompt"/>
          <w:color w:val="auto"/>
          <w:szCs w:val="20"/>
          <w:lang w:val="fr-CA"/>
        </w:rPr>
        <w:t> </w:t>
      </w:r>
      <w:r w:rsidRPr="00B63BD5">
        <w:rPr>
          <w:rStyle w:val="Prompt"/>
          <w:color w:val="auto"/>
          <w:szCs w:val="20"/>
          <w:lang w:val="fr-CA"/>
        </w:rPr>
        <w:t>moment du renouvellement ou du remplacement d</w:t>
      </w:r>
      <w:r w:rsidR="00564B0C" w:rsidRPr="00B63BD5">
        <w:rPr>
          <w:rStyle w:val="Prompt"/>
          <w:color w:val="auto"/>
          <w:szCs w:val="20"/>
          <w:lang w:val="fr-CA"/>
        </w:rPr>
        <w:t>’</w:t>
      </w:r>
      <w:r w:rsidRPr="00B63BD5">
        <w:rPr>
          <w:rStyle w:val="Prompt"/>
          <w:color w:val="auto"/>
          <w:szCs w:val="20"/>
          <w:lang w:val="fr-CA"/>
        </w:rPr>
        <w:t>une telle lettre, après son échéance ou</w:t>
      </w:r>
      <w:r w:rsidR="00AB0594" w:rsidRPr="00B63BD5">
        <w:rPr>
          <w:rStyle w:val="Prompt"/>
          <w:color w:val="auto"/>
          <w:szCs w:val="20"/>
          <w:lang w:val="fr-CA"/>
        </w:rPr>
        <w:t xml:space="preserve"> </w:t>
      </w:r>
      <w:r w:rsidRPr="00B63BD5">
        <w:rPr>
          <w:rStyle w:val="Prompt"/>
          <w:color w:val="auto"/>
          <w:szCs w:val="20"/>
          <w:lang w:val="fr-CA"/>
        </w:rPr>
        <w:t>son expiration), des frais correspondant à ●</w:t>
      </w:r>
      <w:r w:rsidR="00AB0594" w:rsidRPr="00B63BD5">
        <w:rPr>
          <w:lang w:val="fr-CA"/>
        </w:rPr>
        <w:t> </w:t>
      </w:r>
      <w:r w:rsidRPr="00B63BD5">
        <w:rPr>
          <w:rStyle w:val="Prompt"/>
          <w:color w:val="auto"/>
          <w:szCs w:val="20"/>
          <w:lang w:val="fr-CA"/>
        </w:rPr>
        <w:t xml:space="preserve">% par année, calculés sur la valeur nominale et sur </w:t>
      </w:r>
      <w:r w:rsidR="00016DCF" w:rsidRPr="00B63BD5">
        <w:rPr>
          <w:rStyle w:val="Prompt"/>
          <w:color w:val="auto"/>
          <w:szCs w:val="20"/>
          <w:lang w:val="fr-CA"/>
        </w:rPr>
        <w:t>le terme</w:t>
      </w:r>
      <w:r w:rsidRPr="00B63BD5">
        <w:rPr>
          <w:rStyle w:val="Prompt"/>
          <w:color w:val="auto"/>
          <w:szCs w:val="20"/>
          <w:lang w:val="fr-CA"/>
        </w:rPr>
        <w:t xml:space="preserve"> de la Lettre de </w:t>
      </w:r>
      <w:r w:rsidR="00B210C5" w:rsidRPr="00B63BD5">
        <w:rPr>
          <w:rStyle w:val="Prompt"/>
          <w:color w:val="auto"/>
          <w:szCs w:val="20"/>
          <w:lang w:val="fr-CA"/>
        </w:rPr>
        <w:t>garantie de bonne exécution</w:t>
      </w:r>
      <w:r w:rsidRPr="00B63BD5">
        <w:rPr>
          <w:rStyle w:val="Prompt"/>
          <w:color w:val="auto"/>
          <w:szCs w:val="20"/>
          <w:lang w:val="fr-CA"/>
        </w:rPr>
        <w:t xml:space="preserve">, </w:t>
      </w:r>
      <w:r w:rsidR="009B0336" w:rsidRPr="00B63BD5">
        <w:rPr>
          <w:rStyle w:val="Prompt"/>
          <w:color w:val="auto"/>
          <w:szCs w:val="20"/>
          <w:lang w:val="fr-CA"/>
        </w:rPr>
        <w:t>sous réserve de frais minimaux de ●</w:t>
      </w:r>
      <w:r w:rsidR="00AB0594" w:rsidRPr="00B63BD5">
        <w:rPr>
          <w:lang w:val="fr-CA"/>
        </w:rPr>
        <w:t> </w:t>
      </w:r>
      <w:r w:rsidR="009B0336" w:rsidRPr="00B63BD5">
        <w:rPr>
          <w:rStyle w:val="Prompt"/>
          <w:color w:val="auto"/>
          <w:szCs w:val="20"/>
          <w:lang w:val="fr-CA"/>
        </w:rPr>
        <w:t>$ par</w:t>
      </w:r>
      <w:r w:rsidR="00AB0594" w:rsidRPr="00B63BD5">
        <w:rPr>
          <w:rStyle w:val="Prompt"/>
          <w:color w:val="auto"/>
          <w:szCs w:val="20"/>
          <w:lang w:val="fr-CA"/>
        </w:rPr>
        <w:t xml:space="preserve"> </w:t>
      </w:r>
      <w:r w:rsidR="009B0336" w:rsidRPr="00B63BD5">
        <w:rPr>
          <w:rStyle w:val="Prompt"/>
          <w:color w:val="auto"/>
          <w:szCs w:val="20"/>
          <w:lang w:val="fr-CA"/>
        </w:rPr>
        <w:t>émission;</w:t>
      </w:r>
    </w:p>
    <w:p w14:paraId="1EB415BC" w14:textId="7A134D60" w:rsidR="003C7E43" w:rsidRPr="00B63BD5" w:rsidRDefault="003C7E43" w:rsidP="002459F9">
      <w:pPr>
        <w:pStyle w:val="04LOLglNew4"/>
        <w:rPr>
          <w:rStyle w:val="Prompt"/>
          <w:color w:val="auto"/>
          <w:szCs w:val="20"/>
          <w:lang w:val="fr-CA"/>
        </w:rPr>
      </w:pPr>
      <w:r w:rsidRPr="00B63BD5">
        <w:rPr>
          <w:rStyle w:val="Prompt"/>
          <w:color w:val="auto"/>
          <w:szCs w:val="20"/>
          <w:lang w:val="fr-CA"/>
        </w:rPr>
        <w:t>s</w:t>
      </w:r>
      <w:r w:rsidR="00564B0C" w:rsidRPr="00B63BD5">
        <w:rPr>
          <w:rStyle w:val="Prompt"/>
          <w:color w:val="auto"/>
          <w:szCs w:val="20"/>
          <w:lang w:val="fr-CA"/>
        </w:rPr>
        <w:t>’</w:t>
      </w:r>
      <w:r w:rsidRPr="00B63BD5">
        <w:rPr>
          <w:rStyle w:val="Prompt"/>
          <w:color w:val="auto"/>
          <w:szCs w:val="20"/>
          <w:lang w:val="fr-CA"/>
        </w:rPr>
        <w:t>il y</w:t>
      </w:r>
      <w:r w:rsidR="00AC4107" w:rsidRPr="00B63BD5">
        <w:rPr>
          <w:rStyle w:val="Prompt"/>
          <w:color w:val="auto"/>
          <w:szCs w:val="20"/>
          <w:lang w:val="fr-CA"/>
        </w:rPr>
        <w:t xml:space="preserve"> </w:t>
      </w:r>
      <w:r w:rsidRPr="00B63BD5">
        <w:rPr>
          <w:rStyle w:val="Prompt"/>
          <w:color w:val="auto"/>
          <w:szCs w:val="20"/>
          <w:lang w:val="fr-CA"/>
        </w:rPr>
        <w:t>a</w:t>
      </w:r>
      <w:r w:rsidR="00AC4107" w:rsidRPr="00B63BD5">
        <w:rPr>
          <w:rStyle w:val="Prompt"/>
          <w:color w:val="auto"/>
          <w:szCs w:val="20"/>
          <w:lang w:val="fr-CA"/>
        </w:rPr>
        <w:t xml:space="preserve"> </w:t>
      </w:r>
      <w:r w:rsidRPr="00B63BD5">
        <w:rPr>
          <w:rStyle w:val="Prompt"/>
          <w:color w:val="auto"/>
          <w:szCs w:val="20"/>
          <w:lang w:val="fr-CA"/>
        </w:rPr>
        <w:t xml:space="preserve">lieu, les frais supplémentaires qui sont indiqués </w:t>
      </w:r>
      <w:r w:rsidR="009B0336" w:rsidRPr="00B63BD5">
        <w:rPr>
          <w:rStyle w:val="Prompt"/>
          <w:color w:val="auto"/>
          <w:szCs w:val="20"/>
          <w:lang w:val="fr-CA"/>
        </w:rPr>
        <w:t xml:space="preserve">dans le document intitulé </w:t>
      </w:r>
      <w:r w:rsidR="00F04C70" w:rsidRPr="00B63BD5">
        <w:rPr>
          <w:rStyle w:val="Prompt"/>
          <w:color w:val="auto"/>
          <w:szCs w:val="20"/>
          <w:lang w:val="fr-CA"/>
        </w:rPr>
        <w:t>«</w:t>
      </w:r>
      <w:r w:rsidR="0094743F" w:rsidRPr="00B63BD5">
        <w:rPr>
          <w:rStyle w:val="Prompt"/>
          <w:color w:val="auto"/>
          <w:szCs w:val="20"/>
          <w:lang w:val="fr-CA"/>
        </w:rPr>
        <w:t> </w:t>
      </w:r>
      <w:r w:rsidR="00F04C70" w:rsidRPr="00B63BD5">
        <w:rPr>
          <w:lang w:val="fr-CA"/>
        </w:rPr>
        <w:t xml:space="preserve">Commerce international et financement des comptes clients (Canada) </w:t>
      </w:r>
      <w:r w:rsidR="00D72F28" w:rsidRPr="00B63BD5">
        <w:rPr>
          <w:lang w:val="fr-CA"/>
        </w:rPr>
        <w:t>–</w:t>
      </w:r>
      <w:r w:rsidR="001E1971" w:rsidRPr="00B63BD5">
        <w:rPr>
          <w:lang w:val="fr-CA"/>
        </w:rPr>
        <w:t xml:space="preserve"> </w:t>
      </w:r>
      <w:r w:rsidR="00F04C70" w:rsidRPr="00B63BD5">
        <w:rPr>
          <w:lang w:val="fr-CA"/>
        </w:rPr>
        <w:t>Barème des frais applicables</w:t>
      </w:r>
      <w:r w:rsidR="0094743F" w:rsidRPr="00B63BD5">
        <w:rPr>
          <w:lang w:val="fr-CA"/>
        </w:rPr>
        <w:t> </w:t>
      </w:r>
      <w:r w:rsidR="0053279C" w:rsidRPr="00B63BD5">
        <w:rPr>
          <w:lang w:val="fr-CA"/>
        </w:rPr>
        <w:t>»</w:t>
      </w:r>
      <w:r w:rsidR="009B0336" w:rsidRPr="00B63BD5">
        <w:rPr>
          <w:rStyle w:val="Prompt"/>
          <w:color w:val="auto"/>
          <w:szCs w:val="20"/>
          <w:lang w:val="fr-CA"/>
        </w:rPr>
        <w:t>, tel</w:t>
      </w:r>
      <w:r w:rsidR="00AB0594" w:rsidRPr="00B63BD5">
        <w:rPr>
          <w:rStyle w:val="Prompt"/>
          <w:color w:val="auto"/>
          <w:szCs w:val="20"/>
          <w:lang w:val="fr-CA"/>
        </w:rPr>
        <w:t xml:space="preserve"> </w:t>
      </w:r>
      <w:r w:rsidR="009B0336" w:rsidRPr="00B63BD5">
        <w:rPr>
          <w:rStyle w:val="Prompt"/>
          <w:color w:val="auto"/>
          <w:szCs w:val="20"/>
          <w:lang w:val="fr-CA"/>
        </w:rPr>
        <w:t>qu</w:t>
      </w:r>
      <w:r w:rsidR="00564B0C" w:rsidRPr="00B63BD5">
        <w:rPr>
          <w:rStyle w:val="Prompt"/>
          <w:color w:val="auto"/>
          <w:szCs w:val="20"/>
          <w:lang w:val="fr-CA"/>
        </w:rPr>
        <w:t>’</w:t>
      </w:r>
      <w:r w:rsidR="009B0336" w:rsidRPr="00B63BD5">
        <w:rPr>
          <w:rStyle w:val="Prompt"/>
          <w:color w:val="auto"/>
          <w:szCs w:val="20"/>
          <w:lang w:val="fr-CA"/>
        </w:rPr>
        <w:t>il pourrait être modifié</w:t>
      </w:r>
      <w:r w:rsidR="00C810CE" w:rsidRPr="00B63BD5">
        <w:rPr>
          <w:rStyle w:val="Prompt"/>
          <w:color w:val="auto"/>
          <w:szCs w:val="20"/>
          <w:lang w:val="fr-CA"/>
        </w:rPr>
        <w:t xml:space="preserve"> par la Banque</w:t>
      </w:r>
      <w:r w:rsidRPr="00B63BD5">
        <w:rPr>
          <w:rStyle w:val="Prompt"/>
          <w:color w:val="auto"/>
          <w:szCs w:val="20"/>
          <w:lang w:val="fr-CA"/>
        </w:rPr>
        <w:t xml:space="preserve">, </w:t>
      </w:r>
      <w:r w:rsidR="009B0336" w:rsidRPr="00B63BD5">
        <w:rPr>
          <w:rStyle w:val="Prompt"/>
          <w:color w:val="auto"/>
          <w:szCs w:val="20"/>
          <w:lang w:val="fr-CA"/>
        </w:rPr>
        <w:t xml:space="preserve">à </w:t>
      </w:r>
      <w:r w:rsidR="00C810CE" w:rsidRPr="00B63BD5">
        <w:rPr>
          <w:rStyle w:val="Prompt"/>
          <w:color w:val="auto"/>
          <w:szCs w:val="20"/>
          <w:lang w:val="fr-CA"/>
        </w:rPr>
        <w:t xml:space="preserve">son </w:t>
      </w:r>
      <w:r w:rsidR="009B0336" w:rsidRPr="00B63BD5">
        <w:rPr>
          <w:rStyle w:val="Prompt"/>
          <w:color w:val="auto"/>
          <w:szCs w:val="20"/>
          <w:lang w:val="fr-CA"/>
        </w:rPr>
        <w:t>entière discrétion</w:t>
      </w:r>
      <w:r w:rsidRPr="00B63BD5">
        <w:rPr>
          <w:rStyle w:val="Prompt"/>
          <w:color w:val="auto"/>
          <w:szCs w:val="20"/>
          <w:lang w:val="fr-CA"/>
        </w:rPr>
        <w:t>.</w:t>
      </w:r>
    </w:p>
    <w:p w14:paraId="7DB289B0" w14:textId="50219051" w:rsidR="009926E7" w:rsidRPr="00B63BD5" w:rsidRDefault="00916387" w:rsidP="000B7739">
      <w:pPr>
        <w:pStyle w:val="04LOLglNew3"/>
        <w:rPr>
          <w:lang w:val="fr-CA"/>
        </w:rPr>
      </w:pPr>
      <w:r w:rsidRPr="00B63BD5">
        <w:rPr>
          <w:lang w:val="fr-CA"/>
        </w:rPr>
        <w:t xml:space="preserve">au moment </w:t>
      </w:r>
      <w:r w:rsidR="004D64AF" w:rsidRPr="00B63BD5">
        <w:rPr>
          <w:lang w:val="fr-CA"/>
        </w:rPr>
        <w:t xml:space="preserve">où </w:t>
      </w:r>
      <w:r w:rsidRPr="00B63BD5">
        <w:rPr>
          <w:lang w:val="fr-CA"/>
        </w:rPr>
        <w:t xml:space="preserve">chaque Crédit documentaire </w:t>
      </w:r>
      <w:r w:rsidR="004D64AF" w:rsidRPr="00B63BD5">
        <w:rPr>
          <w:lang w:val="fr-CA"/>
        </w:rPr>
        <w:t xml:space="preserve">est émis </w:t>
      </w:r>
      <w:r w:rsidRPr="00B63BD5">
        <w:rPr>
          <w:lang w:val="fr-CA"/>
        </w:rPr>
        <w:t xml:space="preserve">aux termes de la Facilité de </w:t>
      </w:r>
      <w:r w:rsidR="001760DC" w:rsidRPr="00B63BD5">
        <w:rPr>
          <w:lang w:val="fr-CA"/>
        </w:rPr>
        <w:t>crédit à</w:t>
      </w:r>
      <w:r w:rsidR="00AB0594" w:rsidRPr="00B63BD5">
        <w:rPr>
          <w:lang w:val="fr-CA"/>
        </w:rPr>
        <w:t xml:space="preserve"> </w:t>
      </w:r>
      <w:r w:rsidR="001760DC" w:rsidRPr="00B63BD5">
        <w:rPr>
          <w:lang w:val="fr-CA"/>
        </w:rPr>
        <w:t>l</w:t>
      </w:r>
      <w:r w:rsidR="00564B0C" w:rsidRPr="00B63BD5">
        <w:rPr>
          <w:lang w:val="fr-CA"/>
        </w:rPr>
        <w:t>’</w:t>
      </w:r>
      <w:r w:rsidRPr="00B63BD5">
        <w:rPr>
          <w:lang w:val="fr-CA"/>
        </w:rPr>
        <w:t xml:space="preserve">exploitation, </w:t>
      </w:r>
      <w:r w:rsidR="00857BCD" w:rsidRPr="00B63BD5">
        <w:rPr>
          <w:lang w:val="fr-CA"/>
        </w:rPr>
        <w:t>les frais</w:t>
      </w:r>
      <w:r w:rsidRPr="00B63BD5">
        <w:rPr>
          <w:lang w:val="fr-CA"/>
        </w:rPr>
        <w:t xml:space="preserve"> prévus </w:t>
      </w:r>
      <w:r w:rsidR="00857BCD" w:rsidRPr="00B63BD5">
        <w:rPr>
          <w:lang w:val="fr-CA"/>
        </w:rPr>
        <w:t>dans le document intitulé «</w:t>
      </w:r>
      <w:r w:rsidR="0094743F" w:rsidRPr="00B63BD5">
        <w:rPr>
          <w:lang w:val="fr-CA"/>
        </w:rPr>
        <w:t> </w:t>
      </w:r>
      <w:r w:rsidR="00F04C70" w:rsidRPr="00B63BD5">
        <w:rPr>
          <w:lang w:val="fr-CA"/>
        </w:rPr>
        <w:t xml:space="preserve">Commerce international et financement des comptes clients (Canada) </w:t>
      </w:r>
      <w:r w:rsidR="00D72F28" w:rsidRPr="00B63BD5">
        <w:rPr>
          <w:lang w:val="fr-CA"/>
        </w:rPr>
        <w:t>–</w:t>
      </w:r>
      <w:r w:rsidR="001E1971" w:rsidRPr="00B63BD5">
        <w:rPr>
          <w:lang w:val="fr-CA"/>
        </w:rPr>
        <w:t xml:space="preserve"> </w:t>
      </w:r>
      <w:r w:rsidR="00F04C70" w:rsidRPr="00B63BD5">
        <w:rPr>
          <w:lang w:val="fr-CA"/>
        </w:rPr>
        <w:t>Barème des frais applicables</w:t>
      </w:r>
      <w:r w:rsidR="0094743F" w:rsidRPr="00B63BD5">
        <w:rPr>
          <w:lang w:val="fr-CA"/>
        </w:rPr>
        <w:t> </w:t>
      </w:r>
      <w:r w:rsidR="0053279C" w:rsidRPr="00B63BD5">
        <w:rPr>
          <w:lang w:val="fr-CA"/>
        </w:rPr>
        <w:t>»</w:t>
      </w:r>
      <w:r w:rsidRPr="00B63BD5">
        <w:rPr>
          <w:lang w:val="fr-CA"/>
        </w:rPr>
        <w:t>,</w:t>
      </w:r>
      <w:r w:rsidR="00E53ECF" w:rsidRPr="00B63BD5">
        <w:rPr>
          <w:lang w:val="fr-CA"/>
        </w:rPr>
        <w:t xml:space="preserve"> </w:t>
      </w:r>
      <w:r w:rsidR="006142A3" w:rsidRPr="00B63BD5">
        <w:rPr>
          <w:lang w:val="fr-CA"/>
        </w:rPr>
        <w:t>tel qu</w:t>
      </w:r>
      <w:r w:rsidR="00564B0C" w:rsidRPr="00B63BD5">
        <w:rPr>
          <w:lang w:val="fr-CA"/>
        </w:rPr>
        <w:t>’</w:t>
      </w:r>
      <w:r w:rsidR="00857BCD" w:rsidRPr="00B63BD5">
        <w:rPr>
          <w:lang w:val="fr-CA"/>
        </w:rPr>
        <w:t>il</w:t>
      </w:r>
      <w:r w:rsidR="006142A3" w:rsidRPr="00B63BD5">
        <w:rPr>
          <w:lang w:val="fr-CA"/>
        </w:rPr>
        <w:t xml:space="preserve"> pourrait être</w:t>
      </w:r>
      <w:r w:rsidR="00857BCD" w:rsidRPr="00B63BD5">
        <w:rPr>
          <w:lang w:val="fr-CA"/>
        </w:rPr>
        <w:t xml:space="preserve"> modifié</w:t>
      </w:r>
      <w:r w:rsidR="001F7623" w:rsidRPr="00B63BD5">
        <w:rPr>
          <w:lang w:val="fr-CA"/>
        </w:rPr>
        <w:t xml:space="preserve"> par</w:t>
      </w:r>
      <w:r w:rsidR="00AB0594" w:rsidRPr="00B63BD5">
        <w:rPr>
          <w:lang w:val="fr-CA"/>
        </w:rPr>
        <w:t xml:space="preserve"> </w:t>
      </w:r>
      <w:r w:rsidR="00E53ECF" w:rsidRPr="00B63BD5">
        <w:rPr>
          <w:lang w:val="fr-CA"/>
        </w:rPr>
        <w:t>la</w:t>
      </w:r>
      <w:r w:rsidR="00AB0594" w:rsidRPr="00B63BD5">
        <w:rPr>
          <w:lang w:val="fr-CA"/>
        </w:rPr>
        <w:t xml:space="preserve"> </w:t>
      </w:r>
      <w:r w:rsidR="00E53ECF" w:rsidRPr="00B63BD5">
        <w:rPr>
          <w:lang w:val="fr-CA"/>
        </w:rPr>
        <w:t>Banque</w:t>
      </w:r>
      <w:r w:rsidR="001F7623" w:rsidRPr="00B63BD5">
        <w:rPr>
          <w:lang w:val="fr-CA"/>
        </w:rPr>
        <w:t xml:space="preserve">, </w:t>
      </w:r>
      <w:r w:rsidR="002A2957" w:rsidRPr="00B63BD5">
        <w:rPr>
          <w:lang w:val="fr-CA"/>
        </w:rPr>
        <w:t xml:space="preserve">à son entière discrétion, </w:t>
      </w:r>
      <w:r w:rsidRPr="00B63BD5">
        <w:rPr>
          <w:lang w:val="fr-CA"/>
        </w:rPr>
        <w:t xml:space="preserve">calculés sur la valeur nominale et </w:t>
      </w:r>
      <w:r w:rsidR="001760DC" w:rsidRPr="00B63BD5">
        <w:rPr>
          <w:lang w:val="fr-CA"/>
        </w:rPr>
        <w:t xml:space="preserve">sur </w:t>
      </w:r>
      <w:r w:rsidR="00016DCF" w:rsidRPr="00B63BD5">
        <w:rPr>
          <w:lang w:val="fr-CA"/>
        </w:rPr>
        <w:t>le terme</w:t>
      </w:r>
      <w:r w:rsidRPr="00B63BD5">
        <w:rPr>
          <w:lang w:val="fr-CA"/>
        </w:rPr>
        <w:t xml:space="preserve"> du Crédit documentaire, sous réserve de</w:t>
      </w:r>
      <w:r w:rsidR="00E53ECF" w:rsidRPr="00B63BD5">
        <w:rPr>
          <w:lang w:val="fr-CA"/>
        </w:rPr>
        <w:t>s</w:t>
      </w:r>
      <w:r w:rsidRPr="00B63BD5">
        <w:rPr>
          <w:lang w:val="fr-CA"/>
        </w:rPr>
        <w:t xml:space="preserve"> frais </w:t>
      </w:r>
      <w:r w:rsidR="00E53ECF" w:rsidRPr="00B63BD5">
        <w:rPr>
          <w:lang w:val="fr-CA"/>
        </w:rPr>
        <w:t>d</w:t>
      </w:r>
      <w:r w:rsidR="00564B0C" w:rsidRPr="00B63BD5">
        <w:rPr>
          <w:lang w:val="fr-CA"/>
        </w:rPr>
        <w:t>’</w:t>
      </w:r>
      <w:r w:rsidR="00E53ECF" w:rsidRPr="00B63BD5">
        <w:rPr>
          <w:lang w:val="fr-CA"/>
        </w:rPr>
        <w:t>émission</w:t>
      </w:r>
      <w:r w:rsidR="001F7623" w:rsidRPr="00B63BD5">
        <w:rPr>
          <w:lang w:val="fr-CA"/>
        </w:rPr>
        <w:t xml:space="preserve"> minimaux</w:t>
      </w:r>
      <w:r w:rsidR="00E53ECF" w:rsidRPr="00B63BD5">
        <w:rPr>
          <w:lang w:val="fr-CA"/>
        </w:rPr>
        <w:t xml:space="preserve"> stipulés</w:t>
      </w:r>
      <w:r w:rsidR="00142D9B" w:rsidRPr="00B63BD5">
        <w:rPr>
          <w:lang w:val="fr-CA"/>
        </w:rPr>
        <w:t xml:space="preserve">, </w:t>
      </w:r>
      <w:r w:rsidR="00E53ECF" w:rsidRPr="00B63BD5">
        <w:rPr>
          <w:lang w:val="fr-CA"/>
        </w:rPr>
        <w:t>et qui pourrai</w:t>
      </w:r>
      <w:r w:rsidR="001F7623" w:rsidRPr="00B63BD5">
        <w:rPr>
          <w:lang w:val="fr-CA"/>
        </w:rPr>
        <w:t>en</w:t>
      </w:r>
      <w:r w:rsidR="00E53ECF" w:rsidRPr="00B63BD5">
        <w:rPr>
          <w:lang w:val="fr-CA"/>
        </w:rPr>
        <w:t>t être facturé</w:t>
      </w:r>
      <w:r w:rsidR="001F7623" w:rsidRPr="00B63BD5">
        <w:rPr>
          <w:lang w:val="fr-CA"/>
        </w:rPr>
        <w:t>s</w:t>
      </w:r>
      <w:r w:rsidR="00E53ECF" w:rsidRPr="00B63BD5">
        <w:rPr>
          <w:lang w:val="fr-CA"/>
        </w:rPr>
        <w:t xml:space="preserve"> au compte</w:t>
      </w:r>
      <w:r w:rsidR="00E53ECF" w:rsidRPr="00B63BD5">
        <w:rPr>
          <w:b/>
          <w:lang w:val="fr-CA"/>
        </w:rPr>
        <w:t xml:space="preserve"> </w:t>
      </w:r>
      <w:r w:rsidR="00CD489C" w:rsidRPr="00B63BD5">
        <w:rPr>
          <w:lang w:val="fr-CA"/>
        </w:rPr>
        <w:t>[</w:t>
      </w:r>
      <w:r w:rsidR="002A2957" w:rsidRPr="00B63BD5">
        <w:rPr>
          <w:lang w:val="fr-CA"/>
        </w:rPr>
        <w:t xml:space="preserve">de </w:t>
      </w:r>
      <w:r w:rsidR="00CD489C" w:rsidRPr="00B63BD5">
        <w:rPr>
          <w:lang w:val="fr-CA"/>
        </w:rPr>
        <w:t xml:space="preserve">● </w:t>
      </w:r>
      <w:r w:rsidR="001934B0" w:rsidRPr="00B63BD5">
        <w:rPr>
          <w:rStyle w:val="Prompt"/>
          <w:b/>
          <w:color w:val="00B0F0"/>
          <w:highlight w:val="yellow"/>
          <w:lang w:val="fr-CA"/>
        </w:rPr>
        <w:t>OU</w:t>
      </w:r>
      <w:r w:rsidR="00CD489C" w:rsidRPr="00B63BD5">
        <w:rPr>
          <w:lang w:val="fr-CA"/>
        </w:rPr>
        <w:t xml:space="preserve"> de l</w:t>
      </w:r>
      <w:r w:rsidR="00564B0C" w:rsidRPr="00B63BD5">
        <w:rPr>
          <w:lang w:val="fr-CA"/>
        </w:rPr>
        <w:t>’</w:t>
      </w:r>
      <w:r w:rsidR="00CD489C" w:rsidRPr="00B63BD5">
        <w:rPr>
          <w:lang w:val="fr-CA"/>
        </w:rPr>
        <w:t xml:space="preserve">Emprunteur qui demande </w:t>
      </w:r>
      <w:r w:rsidR="00E53ECF" w:rsidRPr="00B63BD5">
        <w:rPr>
          <w:lang w:val="fr-CA"/>
        </w:rPr>
        <w:t>le Crédit documentaire]</w:t>
      </w:r>
      <w:r w:rsidRPr="00B63BD5">
        <w:rPr>
          <w:lang w:val="fr-CA"/>
        </w:rPr>
        <w:t>;</w:t>
      </w:r>
    </w:p>
    <w:p w14:paraId="7B4725D4" w14:textId="77777777" w:rsidR="00403593" w:rsidRPr="00B63BD5" w:rsidRDefault="00916387" w:rsidP="000B7739">
      <w:pPr>
        <w:pStyle w:val="04LOLglNew3"/>
        <w:rPr>
          <w:rStyle w:val="Prompt"/>
          <w:color w:val="auto"/>
          <w:lang w:val="fr-CA"/>
        </w:rPr>
      </w:pPr>
      <w:r w:rsidRPr="00B63BD5">
        <w:rPr>
          <w:lang w:val="fr-CA"/>
        </w:rPr>
        <w:t xml:space="preserve">des frais </w:t>
      </w:r>
      <w:r w:rsidR="003E257C" w:rsidRPr="00B63BD5">
        <w:rPr>
          <w:lang w:val="fr-CA"/>
        </w:rPr>
        <w:t>d</w:t>
      </w:r>
      <w:r w:rsidR="00564B0C" w:rsidRPr="00B63BD5">
        <w:rPr>
          <w:lang w:val="fr-CA"/>
        </w:rPr>
        <w:t>’</w:t>
      </w:r>
      <w:r w:rsidR="003E257C" w:rsidRPr="00B63BD5">
        <w:rPr>
          <w:lang w:val="fr-CA"/>
        </w:rPr>
        <w:t>établissement</w:t>
      </w:r>
      <w:r w:rsidRPr="00B63BD5">
        <w:rPr>
          <w:lang w:val="fr-CA"/>
        </w:rPr>
        <w:t xml:space="preserve"> de ●</w:t>
      </w:r>
      <w:r w:rsidR="00AB0594" w:rsidRPr="00B63BD5">
        <w:rPr>
          <w:lang w:val="fr-CA"/>
        </w:rPr>
        <w:t> </w:t>
      </w:r>
      <w:r w:rsidRPr="00B63BD5">
        <w:rPr>
          <w:lang w:val="fr-CA"/>
        </w:rPr>
        <w:t>$</w:t>
      </w:r>
      <w:r w:rsidR="00AC4107" w:rsidRPr="00B63BD5">
        <w:rPr>
          <w:lang w:val="fr-CA"/>
        </w:rPr>
        <w:t xml:space="preserve"> </w:t>
      </w:r>
      <w:r w:rsidRPr="00B63BD5">
        <w:rPr>
          <w:lang w:val="fr-CA"/>
        </w:rPr>
        <w:t xml:space="preserve">CA </w:t>
      </w:r>
      <w:r w:rsidR="00ED1020" w:rsidRPr="00B63BD5">
        <w:rPr>
          <w:rStyle w:val="Prompt"/>
          <w:color w:val="auto"/>
          <w:lang w:val="fr-CA"/>
        </w:rPr>
        <w:t>[payable</w:t>
      </w:r>
      <w:r w:rsidRPr="00B63BD5">
        <w:rPr>
          <w:rStyle w:val="Prompt"/>
          <w:color w:val="auto"/>
          <w:lang w:val="fr-CA"/>
        </w:rPr>
        <w:t>s</w:t>
      </w:r>
      <w:r w:rsidR="00ED1020" w:rsidRPr="00B63BD5">
        <w:rPr>
          <w:rStyle w:val="Prompt"/>
          <w:color w:val="auto"/>
          <w:lang w:val="fr-CA"/>
        </w:rPr>
        <w:t xml:space="preserve"> </w:t>
      </w:r>
      <w:r w:rsidRPr="00B63BD5">
        <w:rPr>
          <w:rStyle w:val="Prompt"/>
          <w:color w:val="auto"/>
          <w:lang w:val="fr-CA"/>
        </w:rPr>
        <w:t>au moment de l</w:t>
      </w:r>
      <w:r w:rsidR="00564B0C" w:rsidRPr="00B63BD5">
        <w:rPr>
          <w:rStyle w:val="Prompt"/>
          <w:color w:val="auto"/>
          <w:lang w:val="fr-CA"/>
        </w:rPr>
        <w:t>’</w:t>
      </w:r>
      <w:r w:rsidRPr="00B63BD5">
        <w:rPr>
          <w:rStyle w:val="Prompt"/>
          <w:color w:val="auto"/>
          <w:lang w:val="fr-CA"/>
        </w:rPr>
        <w:t xml:space="preserve">acceptation de la présente Lettre </w:t>
      </w:r>
      <w:r w:rsidR="001760DC" w:rsidRPr="00B63BD5">
        <w:rPr>
          <w:rStyle w:val="Prompt"/>
          <w:color w:val="auto"/>
          <w:lang w:val="fr-CA"/>
        </w:rPr>
        <w:t>relative aux facilités</w:t>
      </w:r>
      <w:r w:rsidR="00CD489C" w:rsidRPr="00B63BD5">
        <w:rPr>
          <w:rStyle w:val="Prompt"/>
          <w:color w:val="auto"/>
          <w:lang w:val="fr-CA"/>
        </w:rPr>
        <w:t xml:space="preserve"> </w:t>
      </w:r>
      <w:r w:rsidR="001934B0" w:rsidRPr="00B63BD5">
        <w:rPr>
          <w:rStyle w:val="Prompt"/>
          <w:b/>
          <w:color w:val="00B0F0"/>
          <w:highlight w:val="yellow"/>
          <w:lang w:val="fr-CA"/>
        </w:rPr>
        <w:t>OU</w:t>
      </w:r>
      <w:r w:rsidR="00CD489C" w:rsidRPr="00B63BD5">
        <w:rPr>
          <w:rStyle w:val="Prompt"/>
          <w:color w:val="auto"/>
          <w:lang w:val="fr-CA"/>
        </w:rPr>
        <w:t xml:space="preserve"> </w:t>
      </w:r>
      <w:r w:rsidRPr="00B63BD5">
        <w:rPr>
          <w:rStyle w:val="Prompt"/>
          <w:color w:val="auto"/>
          <w:lang w:val="fr-CA"/>
        </w:rPr>
        <w:t>qui ont</w:t>
      </w:r>
      <w:r w:rsidR="001760DC" w:rsidRPr="00B63BD5">
        <w:rPr>
          <w:rStyle w:val="Prompt"/>
          <w:color w:val="auto"/>
          <w:lang w:val="fr-CA"/>
        </w:rPr>
        <w:t xml:space="preserve"> déjà</w:t>
      </w:r>
      <w:r w:rsidRPr="00B63BD5">
        <w:rPr>
          <w:rStyle w:val="Prompt"/>
          <w:color w:val="auto"/>
          <w:lang w:val="fr-CA"/>
        </w:rPr>
        <w:t xml:space="preserve"> été versés à la Banque </w:t>
      </w:r>
      <w:r w:rsidR="001760DC" w:rsidRPr="00B63BD5">
        <w:rPr>
          <w:rStyle w:val="Prompt"/>
          <w:color w:val="auto"/>
          <w:lang w:val="fr-CA"/>
        </w:rPr>
        <w:t>et dont celle</w:t>
      </w:r>
      <w:r w:rsidR="001760DC" w:rsidRPr="00B63BD5">
        <w:rPr>
          <w:rStyle w:val="Prompt"/>
          <w:color w:val="auto"/>
          <w:lang w:val="fr-CA"/>
        </w:rPr>
        <w:noBreakHyphen/>
        <w:t xml:space="preserve">ci </w:t>
      </w:r>
      <w:r w:rsidRPr="00B63BD5">
        <w:rPr>
          <w:rStyle w:val="Prompt"/>
          <w:color w:val="auto"/>
          <w:lang w:val="fr-CA"/>
        </w:rPr>
        <w:t>accuse réception pa</w:t>
      </w:r>
      <w:r w:rsidR="00B056F9" w:rsidRPr="00B63BD5">
        <w:rPr>
          <w:rStyle w:val="Prompt"/>
          <w:color w:val="auto"/>
          <w:lang w:val="fr-CA"/>
        </w:rPr>
        <w:t xml:space="preserve">r </w:t>
      </w:r>
      <w:r w:rsidRPr="00B63BD5">
        <w:rPr>
          <w:rStyle w:val="Prompt"/>
          <w:color w:val="auto"/>
          <w:lang w:val="fr-CA"/>
        </w:rPr>
        <w:t>les</w:t>
      </w:r>
      <w:r w:rsidR="00B056F9" w:rsidRPr="00B63BD5">
        <w:rPr>
          <w:rStyle w:val="Prompt"/>
          <w:color w:val="auto"/>
          <w:lang w:val="fr-CA"/>
        </w:rPr>
        <w:t xml:space="preserve"> </w:t>
      </w:r>
      <w:r w:rsidRPr="00B63BD5">
        <w:rPr>
          <w:rStyle w:val="Prompt"/>
          <w:color w:val="auto"/>
          <w:lang w:val="fr-CA"/>
        </w:rPr>
        <w:t>présentes]</w:t>
      </w:r>
      <w:r w:rsidR="008834D7" w:rsidRPr="00B63BD5">
        <w:rPr>
          <w:rStyle w:val="Prompt"/>
          <w:color w:val="auto"/>
          <w:lang w:val="fr-CA"/>
        </w:rPr>
        <w:t>;</w:t>
      </w:r>
    </w:p>
    <w:p w14:paraId="04830F67" w14:textId="44FEF754" w:rsidR="008834D7" w:rsidRPr="00B63BD5" w:rsidRDefault="004D64AF" w:rsidP="000B7739">
      <w:pPr>
        <w:pStyle w:val="04LOLglNew3"/>
        <w:rPr>
          <w:lang w:val="fr-CA"/>
        </w:rPr>
      </w:pPr>
      <w:r w:rsidRPr="00B63BD5">
        <w:rPr>
          <w:lang w:val="fr-CA"/>
        </w:rPr>
        <w:t>une commission d</w:t>
      </w:r>
      <w:r w:rsidR="00564B0C" w:rsidRPr="00B63BD5">
        <w:rPr>
          <w:lang w:val="fr-CA"/>
        </w:rPr>
        <w:t>’</w:t>
      </w:r>
      <w:r w:rsidR="003E257C" w:rsidRPr="00B63BD5">
        <w:rPr>
          <w:lang w:val="fr-CA"/>
        </w:rPr>
        <w:t>engagement</w:t>
      </w:r>
      <w:r w:rsidRPr="00B63BD5">
        <w:rPr>
          <w:lang w:val="fr-CA"/>
        </w:rPr>
        <w:t xml:space="preserve"> </w:t>
      </w:r>
      <w:r w:rsidR="00916387" w:rsidRPr="00B63BD5">
        <w:rPr>
          <w:lang w:val="fr-CA"/>
        </w:rPr>
        <w:t>correspondant à ●</w:t>
      </w:r>
      <w:r w:rsidR="00AB0594" w:rsidRPr="00B63BD5">
        <w:rPr>
          <w:lang w:val="fr-CA"/>
        </w:rPr>
        <w:t> </w:t>
      </w:r>
      <w:r w:rsidR="00916387" w:rsidRPr="00B63BD5">
        <w:rPr>
          <w:lang w:val="fr-CA"/>
        </w:rPr>
        <w:t xml:space="preserve">% par année de la tranche </w:t>
      </w:r>
      <w:r w:rsidRPr="00B63BD5">
        <w:rPr>
          <w:lang w:val="fr-CA"/>
        </w:rPr>
        <w:t xml:space="preserve">inutilisée </w:t>
      </w:r>
      <w:r w:rsidR="00916387" w:rsidRPr="00B63BD5">
        <w:rPr>
          <w:lang w:val="fr-CA"/>
        </w:rPr>
        <w:t xml:space="preserve">quotidienne </w:t>
      </w:r>
      <w:r w:rsidR="0034793D" w:rsidRPr="00B63BD5">
        <w:rPr>
          <w:lang w:val="fr-CA"/>
        </w:rPr>
        <w:t>du montant</w:t>
      </w:r>
      <w:r w:rsidR="00916387" w:rsidRPr="00B63BD5">
        <w:rPr>
          <w:lang w:val="fr-CA"/>
        </w:rPr>
        <w:t xml:space="preserve"> disponible </w:t>
      </w:r>
      <w:r w:rsidR="0034793D" w:rsidRPr="00B63BD5">
        <w:rPr>
          <w:lang w:val="fr-CA"/>
        </w:rPr>
        <w:t>de la Facilité de crédit à l</w:t>
      </w:r>
      <w:r w:rsidR="00564B0C" w:rsidRPr="00B63BD5">
        <w:rPr>
          <w:lang w:val="fr-CA"/>
        </w:rPr>
        <w:t>’</w:t>
      </w:r>
      <w:r w:rsidR="0034793D" w:rsidRPr="00B63BD5">
        <w:rPr>
          <w:lang w:val="fr-CA"/>
        </w:rPr>
        <w:t xml:space="preserve">exploitation </w:t>
      </w:r>
      <w:r w:rsidR="00916387" w:rsidRPr="00B63BD5">
        <w:rPr>
          <w:lang w:val="fr-CA"/>
        </w:rPr>
        <w:t xml:space="preserve">(sans </w:t>
      </w:r>
      <w:r w:rsidR="00172947" w:rsidRPr="00B63BD5">
        <w:rPr>
          <w:lang w:val="fr-CA"/>
        </w:rPr>
        <w:t xml:space="preserve">tenir compte de </w:t>
      </w:r>
      <w:r w:rsidR="00916387" w:rsidRPr="00B63BD5">
        <w:rPr>
          <w:lang w:val="fr-CA"/>
        </w:rPr>
        <w:t>l</w:t>
      </w:r>
      <w:r w:rsidR="00564B0C" w:rsidRPr="00B63BD5">
        <w:rPr>
          <w:lang w:val="fr-CA"/>
        </w:rPr>
        <w:t>’</w:t>
      </w:r>
      <w:r w:rsidR="00916387" w:rsidRPr="00B63BD5">
        <w:rPr>
          <w:lang w:val="fr-CA"/>
        </w:rPr>
        <w:t>effet des</w:t>
      </w:r>
      <w:r w:rsidR="00B056F9" w:rsidRPr="00B63BD5">
        <w:rPr>
          <w:lang w:val="fr-CA"/>
        </w:rPr>
        <w:t xml:space="preserve"> </w:t>
      </w:r>
      <w:r w:rsidR="00916387" w:rsidRPr="00B63BD5">
        <w:rPr>
          <w:lang w:val="fr-CA"/>
        </w:rPr>
        <w:t xml:space="preserve">Exigences </w:t>
      </w:r>
      <w:r w:rsidR="006E27E9" w:rsidRPr="00B63BD5">
        <w:rPr>
          <w:lang w:val="fr-CA"/>
        </w:rPr>
        <w:t>relatives à</w:t>
      </w:r>
      <w:r w:rsidR="00916387" w:rsidRPr="00B63BD5">
        <w:rPr>
          <w:lang w:val="fr-CA"/>
        </w:rPr>
        <w:t xml:space="preserve"> marge), calculé</w:t>
      </w:r>
      <w:r w:rsidRPr="00B63BD5">
        <w:rPr>
          <w:lang w:val="fr-CA"/>
        </w:rPr>
        <w:t>e</w:t>
      </w:r>
      <w:r w:rsidR="00916387" w:rsidRPr="00B63BD5">
        <w:rPr>
          <w:lang w:val="fr-CA"/>
        </w:rPr>
        <w:t xml:space="preserve"> mensuellement à terme échu le dernier Jour ouvrable de chaque mois et payable le premier Jour ouvrable du mois suivant;</w:t>
      </w:r>
    </w:p>
    <w:p w14:paraId="32F29778" w14:textId="2FFA830E" w:rsidR="002A2957" w:rsidRPr="00B63BD5" w:rsidRDefault="002A2957" w:rsidP="000B7739">
      <w:pPr>
        <w:pStyle w:val="04LOLglNew3"/>
        <w:rPr>
          <w:lang w:val="fr-CA"/>
        </w:rPr>
      </w:pPr>
      <w:r w:rsidRPr="00B63BD5">
        <w:rPr>
          <w:lang w:val="fr-CA"/>
        </w:rPr>
        <w:t>des frais de modification de ●</w:t>
      </w:r>
      <w:r w:rsidR="00B056F9" w:rsidRPr="00B63BD5">
        <w:rPr>
          <w:lang w:val="fr-CA"/>
        </w:rPr>
        <w:t> </w:t>
      </w:r>
      <w:r w:rsidRPr="00B63BD5">
        <w:rPr>
          <w:lang w:val="fr-CA"/>
        </w:rPr>
        <w:t>$</w:t>
      </w:r>
      <w:r w:rsidR="00AC4107" w:rsidRPr="00B63BD5">
        <w:rPr>
          <w:lang w:val="fr-CA"/>
        </w:rPr>
        <w:t xml:space="preserve"> </w:t>
      </w:r>
      <w:r w:rsidRPr="00B63BD5">
        <w:rPr>
          <w:lang w:val="fr-CA"/>
        </w:rPr>
        <w:t>CA payables si l</w:t>
      </w:r>
      <w:r w:rsidR="00564B0C" w:rsidRPr="00B63BD5">
        <w:rPr>
          <w:lang w:val="fr-CA"/>
        </w:rPr>
        <w:t>’</w:t>
      </w:r>
      <w:r w:rsidRPr="00B63BD5">
        <w:rPr>
          <w:lang w:val="fr-CA"/>
        </w:rPr>
        <w:t xml:space="preserve">Emprunteur demande </w:t>
      </w:r>
      <w:r w:rsidR="004B25DA" w:rsidRPr="00B63BD5">
        <w:rPr>
          <w:lang w:val="fr-CA"/>
        </w:rPr>
        <w:t>que</w:t>
      </w:r>
      <w:r w:rsidRPr="00B63BD5">
        <w:rPr>
          <w:lang w:val="fr-CA"/>
        </w:rPr>
        <w:t xml:space="preserve"> la présente Lettre</w:t>
      </w:r>
      <w:r w:rsidR="002A0AB5" w:rsidRPr="00B63BD5">
        <w:rPr>
          <w:lang w:val="fr-CA"/>
        </w:rPr>
        <w:t> </w:t>
      </w:r>
      <w:r w:rsidRPr="00B63BD5">
        <w:rPr>
          <w:lang w:val="fr-CA"/>
        </w:rPr>
        <w:t>relative aux facilités</w:t>
      </w:r>
      <w:r w:rsidR="004B25DA" w:rsidRPr="00B63BD5">
        <w:rPr>
          <w:lang w:val="fr-CA"/>
        </w:rPr>
        <w:t xml:space="preserve"> soit modifiée</w:t>
      </w:r>
      <w:r w:rsidRPr="00B63BD5">
        <w:rPr>
          <w:lang w:val="fr-CA"/>
        </w:rPr>
        <w:t>;</w:t>
      </w:r>
    </w:p>
    <w:p w14:paraId="1FA9A126" w14:textId="34F8728C" w:rsidR="00E53ECF" w:rsidRPr="00B63BD5" w:rsidRDefault="00E53ECF" w:rsidP="000B7739">
      <w:pPr>
        <w:pStyle w:val="04LOLglNew3"/>
        <w:rPr>
          <w:lang w:val="fr-CA"/>
        </w:rPr>
      </w:pPr>
      <w:r w:rsidRPr="00B63BD5">
        <w:rPr>
          <w:lang w:val="fr-CA"/>
        </w:rPr>
        <w:t xml:space="preserve">des frais de </w:t>
      </w:r>
      <w:r w:rsidR="003E257C" w:rsidRPr="00B63BD5">
        <w:rPr>
          <w:lang w:val="fr-CA"/>
        </w:rPr>
        <w:t>soumission</w:t>
      </w:r>
      <w:r w:rsidR="00AD6A2A" w:rsidRPr="00B63BD5">
        <w:rPr>
          <w:lang w:val="fr-CA"/>
        </w:rPr>
        <w:t xml:space="preserve"> tardive</w:t>
      </w:r>
      <w:r w:rsidR="000D0E47" w:rsidRPr="00B63BD5">
        <w:rPr>
          <w:lang w:val="fr-CA"/>
        </w:rPr>
        <w:t xml:space="preserve"> </w:t>
      </w:r>
      <w:r w:rsidRPr="00B63BD5">
        <w:rPr>
          <w:lang w:val="fr-CA"/>
        </w:rPr>
        <w:t>de ●</w:t>
      </w:r>
      <w:r w:rsidR="00B056F9" w:rsidRPr="00B63BD5">
        <w:rPr>
          <w:lang w:val="fr-CA"/>
        </w:rPr>
        <w:t> </w:t>
      </w:r>
      <w:r w:rsidRPr="00B63BD5">
        <w:rPr>
          <w:lang w:val="fr-CA"/>
        </w:rPr>
        <w:t>$</w:t>
      </w:r>
      <w:r w:rsidR="00AC4107" w:rsidRPr="00B63BD5">
        <w:rPr>
          <w:lang w:val="fr-CA"/>
        </w:rPr>
        <w:t xml:space="preserve"> </w:t>
      </w:r>
      <w:r w:rsidRPr="00B63BD5">
        <w:rPr>
          <w:lang w:val="fr-CA"/>
        </w:rPr>
        <w:t xml:space="preserve">CA </w:t>
      </w:r>
      <w:r w:rsidR="001F7623" w:rsidRPr="00B63BD5">
        <w:rPr>
          <w:lang w:val="fr-CA"/>
        </w:rPr>
        <w:t xml:space="preserve">imputés </w:t>
      </w:r>
      <w:r w:rsidR="00AB250E" w:rsidRPr="00B63BD5">
        <w:rPr>
          <w:lang w:val="fr-CA"/>
        </w:rPr>
        <w:t xml:space="preserve">[hebdomadairement </w:t>
      </w:r>
      <w:r w:rsidR="001934B0" w:rsidRPr="00B63BD5">
        <w:rPr>
          <w:rStyle w:val="Prompt"/>
          <w:b/>
          <w:color w:val="00B0F0"/>
          <w:highlight w:val="yellow"/>
          <w:lang w:val="fr-CA"/>
        </w:rPr>
        <w:t>OU</w:t>
      </w:r>
      <w:r w:rsidRPr="00B63BD5">
        <w:rPr>
          <w:lang w:val="fr-CA"/>
        </w:rPr>
        <w:t xml:space="preserve"> mensuellement] </w:t>
      </w:r>
      <w:r w:rsidR="00830777" w:rsidRPr="00B63BD5">
        <w:rPr>
          <w:lang w:val="fr-CA"/>
        </w:rPr>
        <w:t>si</w:t>
      </w:r>
      <w:r w:rsidR="002A0AB5" w:rsidRPr="00B63BD5">
        <w:rPr>
          <w:lang w:val="fr-CA"/>
        </w:rPr>
        <w:t> </w:t>
      </w:r>
      <w:r w:rsidRPr="00B63BD5">
        <w:rPr>
          <w:lang w:val="fr-CA"/>
        </w:rPr>
        <w:t>l</w:t>
      </w:r>
      <w:r w:rsidR="00564B0C" w:rsidRPr="00B63BD5">
        <w:rPr>
          <w:lang w:val="fr-CA"/>
        </w:rPr>
        <w:t>’</w:t>
      </w:r>
      <w:r w:rsidRPr="00B63BD5">
        <w:rPr>
          <w:lang w:val="fr-CA"/>
        </w:rPr>
        <w:t xml:space="preserve">Emprunteur ne </w:t>
      </w:r>
      <w:r w:rsidR="00830777" w:rsidRPr="00B63BD5">
        <w:rPr>
          <w:lang w:val="fr-CA"/>
        </w:rPr>
        <w:t xml:space="preserve">produit </w:t>
      </w:r>
      <w:r w:rsidRPr="00B63BD5">
        <w:rPr>
          <w:lang w:val="fr-CA"/>
        </w:rPr>
        <w:t xml:space="preserve">pas les </w:t>
      </w:r>
      <w:r w:rsidR="00830777" w:rsidRPr="00B63BD5">
        <w:rPr>
          <w:lang w:val="fr-CA"/>
        </w:rPr>
        <w:t xml:space="preserve">rapports financiers </w:t>
      </w:r>
      <w:r w:rsidRPr="00B63BD5">
        <w:rPr>
          <w:lang w:val="fr-CA"/>
        </w:rPr>
        <w:t>requis aux termes de la présente Lettre relative aux facilités dans le délai stipulé;</w:t>
      </w:r>
    </w:p>
    <w:p w14:paraId="6C5D2E07" w14:textId="41EDFD78" w:rsidR="00326109" w:rsidRPr="00B63BD5" w:rsidRDefault="005D05FB" w:rsidP="000B7739">
      <w:pPr>
        <w:pStyle w:val="04LOLglNew3"/>
        <w:rPr>
          <w:lang w:val="fr-CA"/>
        </w:rPr>
      </w:pPr>
      <w:r w:rsidRPr="00B63BD5">
        <w:rPr>
          <w:lang w:val="fr-CA"/>
        </w:rPr>
        <w:t>des frais d</w:t>
      </w:r>
      <w:r w:rsidR="00564B0C" w:rsidRPr="00B63BD5">
        <w:rPr>
          <w:lang w:val="fr-CA"/>
        </w:rPr>
        <w:t>’</w:t>
      </w:r>
      <w:r w:rsidRPr="00B63BD5">
        <w:rPr>
          <w:lang w:val="fr-CA"/>
        </w:rPr>
        <w:t xml:space="preserve">examen annuels </w:t>
      </w:r>
      <w:r w:rsidR="00E53ECF" w:rsidRPr="00B63BD5">
        <w:rPr>
          <w:lang w:val="fr-CA"/>
        </w:rPr>
        <w:t>[</w:t>
      </w:r>
      <w:r w:rsidRPr="00B63BD5">
        <w:rPr>
          <w:lang w:val="fr-CA"/>
        </w:rPr>
        <w:t>de ●</w:t>
      </w:r>
      <w:r w:rsidR="00B056F9" w:rsidRPr="00B63BD5">
        <w:rPr>
          <w:lang w:val="fr-CA"/>
        </w:rPr>
        <w:t> </w:t>
      </w:r>
      <w:r w:rsidR="00E53ECF" w:rsidRPr="00B63BD5">
        <w:rPr>
          <w:lang w:val="fr-CA"/>
        </w:rPr>
        <w:t>$</w:t>
      </w:r>
      <w:r w:rsidR="00AC4107" w:rsidRPr="00B63BD5">
        <w:rPr>
          <w:lang w:val="fr-CA"/>
        </w:rPr>
        <w:t xml:space="preserve"> </w:t>
      </w:r>
      <w:r w:rsidR="00E53ECF" w:rsidRPr="00B63BD5">
        <w:rPr>
          <w:lang w:val="fr-CA"/>
        </w:rPr>
        <w:t>CA</w:t>
      </w:r>
      <w:r w:rsidR="001F7623" w:rsidRPr="00B63BD5">
        <w:rPr>
          <w:lang w:val="fr-CA"/>
        </w:rPr>
        <w:t xml:space="preserve"> </w:t>
      </w:r>
      <w:r w:rsidR="001934B0" w:rsidRPr="00B63BD5">
        <w:rPr>
          <w:rStyle w:val="Prompt"/>
          <w:b/>
          <w:color w:val="00B0F0"/>
          <w:highlight w:val="yellow"/>
          <w:lang w:val="fr-CA"/>
        </w:rPr>
        <w:t>OU</w:t>
      </w:r>
      <w:r w:rsidR="00AB250E" w:rsidRPr="00B63BD5">
        <w:rPr>
          <w:lang w:val="fr-CA"/>
        </w:rPr>
        <w:t xml:space="preserve"> </w:t>
      </w:r>
      <w:r w:rsidR="00830777" w:rsidRPr="00B63BD5">
        <w:rPr>
          <w:lang w:val="fr-CA"/>
        </w:rPr>
        <w:t>correspondant</w:t>
      </w:r>
      <w:r w:rsidR="00E53ECF" w:rsidRPr="00B63BD5">
        <w:rPr>
          <w:lang w:val="fr-CA"/>
        </w:rPr>
        <w:t xml:space="preserve"> à </w:t>
      </w:r>
      <w:r w:rsidR="00AB250E" w:rsidRPr="00B63BD5">
        <w:rPr>
          <w:lang w:val="fr-CA"/>
        </w:rPr>
        <w:t>●</w:t>
      </w:r>
      <w:r w:rsidR="00AB0594" w:rsidRPr="00B63BD5">
        <w:rPr>
          <w:lang w:val="fr-CA"/>
        </w:rPr>
        <w:t> </w:t>
      </w:r>
      <w:r w:rsidR="006142A3" w:rsidRPr="00B63BD5">
        <w:rPr>
          <w:lang w:val="fr-CA"/>
        </w:rPr>
        <w:t>%</w:t>
      </w:r>
      <w:r w:rsidR="00E53ECF" w:rsidRPr="00B63BD5">
        <w:rPr>
          <w:lang w:val="fr-CA"/>
        </w:rPr>
        <w:t xml:space="preserve"> du montant global [des</w:t>
      </w:r>
      <w:r w:rsidR="00B056F9" w:rsidRPr="00B63BD5">
        <w:rPr>
          <w:lang w:val="fr-CA"/>
        </w:rPr>
        <w:t xml:space="preserve"> </w:t>
      </w:r>
      <w:r w:rsidR="00E53ECF" w:rsidRPr="00B63BD5">
        <w:rPr>
          <w:lang w:val="fr-CA"/>
        </w:rPr>
        <w:t>Facilités</w:t>
      </w:r>
      <w:r w:rsidR="00B056F9" w:rsidRPr="00B63BD5">
        <w:rPr>
          <w:lang w:val="fr-CA"/>
        </w:rPr>
        <w:t xml:space="preserve"> </w:t>
      </w:r>
      <w:r w:rsidR="00E53ECF" w:rsidRPr="00B63BD5">
        <w:rPr>
          <w:lang w:val="fr-CA"/>
        </w:rPr>
        <w:t>de</w:t>
      </w:r>
      <w:r w:rsidR="00B056F9" w:rsidRPr="00B63BD5">
        <w:rPr>
          <w:lang w:val="fr-CA"/>
        </w:rPr>
        <w:t xml:space="preserve"> </w:t>
      </w:r>
      <w:r w:rsidR="00E53ECF" w:rsidRPr="00B63BD5">
        <w:rPr>
          <w:lang w:val="fr-CA"/>
        </w:rPr>
        <w:t>crédit</w:t>
      </w:r>
      <w:r w:rsidR="00AB250E" w:rsidRPr="00B63BD5">
        <w:rPr>
          <w:lang w:val="fr-CA"/>
        </w:rPr>
        <w:t xml:space="preserve"> </w:t>
      </w:r>
      <w:r w:rsidR="001934B0" w:rsidRPr="00B63BD5">
        <w:rPr>
          <w:rStyle w:val="Prompt"/>
          <w:b/>
          <w:color w:val="00B0F0"/>
          <w:highlight w:val="yellow"/>
          <w:lang w:val="fr-CA"/>
        </w:rPr>
        <w:t>OU</w:t>
      </w:r>
      <w:r w:rsidR="00AB250E" w:rsidRPr="00B63BD5">
        <w:rPr>
          <w:rStyle w:val="Prompt"/>
          <w:color w:val="00B0F0"/>
          <w:lang w:val="fr-CA"/>
        </w:rPr>
        <w:t xml:space="preserve"> </w:t>
      </w:r>
      <w:r w:rsidR="00E53ECF" w:rsidRPr="00B63BD5">
        <w:rPr>
          <w:lang w:val="fr-CA"/>
        </w:rPr>
        <w:t>de la Facilité de crédit à l</w:t>
      </w:r>
      <w:r w:rsidR="00564B0C" w:rsidRPr="00B63BD5">
        <w:rPr>
          <w:lang w:val="fr-CA"/>
        </w:rPr>
        <w:t>’</w:t>
      </w:r>
      <w:r w:rsidR="00E53ECF" w:rsidRPr="00B63BD5">
        <w:rPr>
          <w:lang w:val="fr-CA"/>
        </w:rPr>
        <w:t>exploitation]</w:t>
      </w:r>
      <w:r w:rsidR="00063ADA" w:rsidRPr="00B63BD5">
        <w:rPr>
          <w:lang w:val="fr-CA"/>
        </w:rPr>
        <w:t xml:space="preserve"> autorisé</w:t>
      </w:r>
      <w:r w:rsidR="00830777" w:rsidRPr="00B63BD5">
        <w:rPr>
          <w:lang w:val="fr-CA"/>
        </w:rPr>
        <w:t>e</w:t>
      </w:r>
      <w:r w:rsidR="00063ADA" w:rsidRPr="00B63BD5">
        <w:rPr>
          <w:lang w:val="fr-CA"/>
        </w:rPr>
        <w:t>[</w:t>
      </w:r>
      <w:r w:rsidR="00830777" w:rsidRPr="00B63BD5">
        <w:rPr>
          <w:lang w:val="fr-CA"/>
        </w:rPr>
        <w:t>s</w:t>
      </w:r>
      <w:r w:rsidR="00063ADA" w:rsidRPr="00B63BD5">
        <w:rPr>
          <w:lang w:val="fr-CA"/>
        </w:rPr>
        <w:t>]</w:t>
      </w:r>
      <w:r w:rsidR="00366950" w:rsidRPr="00B63BD5">
        <w:rPr>
          <w:lang w:val="fr-CA"/>
        </w:rPr>
        <w:t>]</w:t>
      </w:r>
      <w:r w:rsidRPr="00B63BD5">
        <w:rPr>
          <w:lang w:val="fr-CA"/>
        </w:rPr>
        <w:t>.</w:t>
      </w:r>
    </w:p>
    <w:p w14:paraId="6706A554" w14:textId="3C5DBA97" w:rsidR="009926E7" w:rsidRPr="00B63BD5" w:rsidRDefault="00366950" w:rsidP="009027EF">
      <w:pPr>
        <w:pStyle w:val="04LOLglNew1"/>
        <w:rPr>
          <w:lang w:val="fr-CA"/>
        </w:rPr>
      </w:pPr>
      <w:bookmarkStart w:id="3" w:name="_Ref477246173"/>
      <w:r w:rsidRPr="00B63BD5">
        <w:rPr>
          <w:lang w:val="fr-CA"/>
        </w:rPr>
        <w:t>[</w:t>
      </w:r>
      <w:r w:rsidR="005D05FB" w:rsidRPr="00B63BD5">
        <w:rPr>
          <w:lang w:val="fr-CA"/>
        </w:rPr>
        <w:t>Facilité</w:t>
      </w:r>
      <w:r w:rsidRPr="00B63BD5">
        <w:rPr>
          <w:lang w:val="fr-CA"/>
        </w:rPr>
        <w:t xml:space="preserve"> OU Facilités</w:t>
      </w:r>
      <w:r w:rsidR="005D05FB" w:rsidRPr="00B63BD5">
        <w:rPr>
          <w:lang w:val="fr-CA"/>
        </w:rPr>
        <w:t xml:space="preserve"> de </w:t>
      </w:r>
      <w:r w:rsidR="00BB2901" w:rsidRPr="00B63BD5">
        <w:rPr>
          <w:lang w:val="fr-CA"/>
        </w:rPr>
        <w:t xml:space="preserve">prêt </w:t>
      </w:r>
      <w:r w:rsidRPr="00B63BD5">
        <w:rPr>
          <w:lang w:val="fr-CA"/>
        </w:rPr>
        <w:t>[</w:t>
      </w:r>
      <w:r w:rsidR="00BB2901" w:rsidRPr="00B63BD5">
        <w:rPr>
          <w:lang w:val="fr-CA"/>
        </w:rPr>
        <w:t>relative</w:t>
      </w:r>
      <w:r w:rsidRPr="00B63BD5">
        <w:rPr>
          <w:lang w:val="fr-CA"/>
        </w:rPr>
        <w:t xml:space="preserve"> OU relative</w:t>
      </w:r>
      <w:r w:rsidR="00E53ECF" w:rsidRPr="00B63BD5">
        <w:rPr>
          <w:lang w:val="fr-CA"/>
        </w:rPr>
        <w:t>s</w:t>
      </w:r>
      <w:r w:rsidRPr="00B63BD5">
        <w:rPr>
          <w:lang w:val="fr-CA"/>
        </w:rPr>
        <w:t>]</w:t>
      </w:r>
      <w:r w:rsidR="00BB2901" w:rsidRPr="00B63BD5">
        <w:rPr>
          <w:lang w:val="fr-CA"/>
        </w:rPr>
        <w:t xml:space="preserve"> aux </w:t>
      </w:r>
      <w:r w:rsidR="00172947" w:rsidRPr="00B63BD5">
        <w:rPr>
          <w:lang w:val="fr-CA"/>
        </w:rPr>
        <w:t>immobilisations</w:t>
      </w:r>
      <w:bookmarkEnd w:id="3"/>
      <w:r w:rsidR="00877DCF" w:rsidRPr="00B63BD5">
        <w:rPr>
          <w:lang w:val="fr-CA"/>
        </w:rPr>
        <w:t>]</w:t>
      </w:r>
    </w:p>
    <w:p w14:paraId="05017C68" w14:textId="539AAF46" w:rsidR="00840FFB" w:rsidRPr="00B63BD5" w:rsidRDefault="00840FFB" w:rsidP="00632863">
      <w:pPr>
        <w:widowControl w:val="0"/>
        <w:spacing w:after="240"/>
        <w:jc w:val="both"/>
        <w:rPr>
          <w:b/>
          <w:color w:val="00B0F0"/>
          <w:lang w:val="fr-CA"/>
        </w:rPr>
      </w:pPr>
      <w:r w:rsidRPr="00B63BD5">
        <w:rPr>
          <w:b/>
          <w:color w:val="00B0F0"/>
          <w:lang w:val="fr-CA"/>
        </w:rPr>
        <w:t>[</w:t>
      </w:r>
      <w:r w:rsidR="00EC3CB5" w:rsidRPr="00B63BD5">
        <w:rPr>
          <w:b/>
          <w:color w:val="00B0F0"/>
          <w:lang w:val="fr-CA"/>
        </w:rPr>
        <w:t>N.B. :</w:t>
      </w:r>
      <w:r w:rsidRPr="00B63BD5">
        <w:rPr>
          <w:b/>
          <w:color w:val="00B0F0"/>
          <w:lang w:val="fr-CA"/>
        </w:rPr>
        <w:t xml:space="preserve"> </w:t>
      </w:r>
      <w:r w:rsidR="008C59F1" w:rsidRPr="00B63BD5">
        <w:rPr>
          <w:b/>
          <w:color w:val="00B0F0"/>
          <w:lang w:val="fr-CA"/>
        </w:rPr>
        <w:t>(1)</w:t>
      </w:r>
      <w:r w:rsidR="00AC4107" w:rsidRPr="00B63BD5">
        <w:rPr>
          <w:b/>
          <w:color w:val="00B0F0"/>
          <w:lang w:val="fr-CA"/>
        </w:rPr>
        <w:t xml:space="preserve"> </w:t>
      </w:r>
      <w:r w:rsidR="001F7623" w:rsidRPr="00B63BD5">
        <w:rPr>
          <w:b/>
          <w:color w:val="00B0F0"/>
          <w:lang w:val="fr-CA"/>
        </w:rPr>
        <w:t>L</w:t>
      </w:r>
      <w:r w:rsidR="005D05FB" w:rsidRPr="00B63BD5">
        <w:rPr>
          <w:b/>
          <w:color w:val="00B0F0"/>
          <w:lang w:val="fr-CA"/>
        </w:rPr>
        <w:t xml:space="preserve">e Prêt </w:t>
      </w:r>
      <w:r w:rsidR="00BB2901" w:rsidRPr="00B63BD5">
        <w:rPr>
          <w:b/>
          <w:color w:val="00B0F0"/>
          <w:lang w:val="fr-CA"/>
        </w:rPr>
        <w:t xml:space="preserve">relatif aux </w:t>
      </w:r>
      <w:r w:rsidR="00747C00" w:rsidRPr="00B63BD5">
        <w:rPr>
          <w:b/>
          <w:color w:val="00B0F0"/>
          <w:lang w:val="fr-CA"/>
        </w:rPr>
        <w:t xml:space="preserve">immobilisations </w:t>
      </w:r>
      <w:r w:rsidR="005D05FB" w:rsidRPr="00B63BD5">
        <w:rPr>
          <w:b/>
          <w:color w:val="00B0F0"/>
          <w:lang w:val="fr-CA"/>
        </w:rPr>
        <w:t>est consenti dans le cadre</w:t>
      </w:r>
      <w:r w:rsidR="00AD6A2A" w:rsidRPr="00B63BD5">
        <w:rPr>
          <w:b/>
          <w:color w:val="00B0F0"/>
          <w:lang w:val="fr-CA"/>
        </w:rPr>
        <w:t xml:space="preserve"> d</w:t>
      </w:r>
      <w:r w:rsidR="00564B0C" w:rsidRPr="00B63BD5">
        <w:rPr>
          <w:b/>
          <w:color w:val="00B0F0"/>
          <w:lang w:val="fr-CA"/>
        </w:rPr>
        <w:t>’</w:t>
      </w:r>
      <w:r w:rsidR="00AD6A2A" w:rsidRPr="00B63BD5">
        <w:rPr>
          <w:b/>
          <w:color w:val="00B0F0"/>
          <w:lang w:val="fr-CA"/>
        </w:rPr>
        <w:t>un ensemble de</w:t>
      </w:r>
      <w:r w:rsidR="005D05FB" w:rsidRPr="00B63BD5">
        <w:rPr>
          <w:b/>
          <w:color w:val="00B0F0"/>
          <w:lang w:val="fr-CA"/>
        </w:rPr>
        <w:t xml:space="preserve"> prêt</w:t>
      </w:r>
      <w:r w:rsidR="00747C00" w:rsidRPr="00B63BD5">
        <w:rPr>
          <w:b/>
          <w:color w:val="00B0F0"/>
          <w:lang w:val="fr-CA"/>
        </w:rPr>
        <w:t>s</w:t>
      </w:r>
      <w:r w:rsidR="005D05FB" w:rsidRPr="00B63BD5">
        <w:rPr>
          <w:b/>
          <w:color w:val="00B0F0"/>
          <w:lang w:val="fr-CA"/>
        </w:rPr>
        <w:t xml:space="preserve"> </w:t>
      </w:r>
      <w:r w:rsidR="005D05FB" w:rsidRPr="00B63BD5">
        <w:rPr>
          <w:b/>
          <w:color w:val="00B0F0"/>
          <w:u w:val="single"/>
          <w:lang w:val="fr-CA"/>
        </w:rPr>
        <w:t>à</w:t>
      </w:r>
      <w:r w:rsidR="008E1EED" w:rsidRPr="00B63BD5">
        <w:rPr>
          <w:b/>
          <w:color w:val="00B0F0"/>
          <w:u w:val="single"/>
          <w:lang w:val="fr-CA"/>
        </w:rPr>
        <w:t> </w:t>
      </w:r>
      <w:r w:rsidR="00AD6A2A" w:rsidRPr="00B63BD5">
        <w:rPr>
          <w:b/>
          <w:color w:val="00B0F0"/>
          <w:u w:val="single"/>
          <w:lang w:val="fr-CA"/>
        </w:rPr>
        <w:t>demande</w:t>
      </w:r>
      <w:r w:rsidR="00747C00" w:rsidRPr="00B63BD5">
        <w:rPr>
          <w:b/>
          <w:color w:val="00B0F0"/>
          <w:lang w:val="fr-CA"/>
        </w:rPr>
        <w:t xml:space="preserve"> offerts</w:t>
      </w:r>
      <w:r w:rsidR="005D05FB" w:rsidRPr="00B63BD5">
        <w:rPr>
          <w:b/>
          <w:color w:val="00B0F0"/>
          <w:lang w:val="fr-CA"/>
        </w:rPr>
        <w:t xml:space="preserve"> et n</w:t>
      </w:r>
      <w:r w:rsidR="00564B0C" w:rsidRPr="00B63BD5">
        <w:rPr>
          <w:b/>
          <w:color w:val="00B0F0"/>
          <w:lang w:val="fr-CA"/>
        </w:rPr>
        <w:t>’</w:t>
      </w:r>
      <w:r w:rsidR="00BB2901" w:rsidRPr="00B63BD5">
        <w:rPr>
          <w:b/>
          <w:color w:val="00B0F0"/>
          <w:lang w:val="fr-CA"/>
        </w:rPr>
        <w:t xml:space="preserve">est pas destiné </w:t>
      </w:r>
      <w:r w:rsidR="005D05FB" w:rsidRPr="00B63BD5">
        <w:rPr>
          <w:b/>
          <w:color w:val="00B0F0"/>
          <w:lang w:val="fr-CA"/>
        </w:rPr>
        <w:t xml:space="preserve">à constituer un prêt à </w:t>
      </w:r>
      <w:r w:rsidR="002A566D" w:rsidRPr="00B63BD5">
        <w:rPr>
          <w:b/>
          <w:color w:val="00B0F0"/>
          <w:lang w:val="fr-CA"/>
        </w:rPr>
        <w:t>terme</w:t>
      </w:r>
      <w:r w:rsidR="005D05FB" w:rsidRPr="00B63BD5">
        <w:rPr>
          <w:b/>
          <w:color w:val="00B0F0"/>
          <w:lang w:val="fr-CA"/>
        </w:rPr>
        <w:t xml:space="preserve"> (une lettre </w:t>
      </w:r>
      <w:r w:rsidR="00747C00" w:rsidRPr="00B63BD5">
        <w:rPr>
          <w:b/>
          <w:color w:val="00B0F0"/>
          <w:lang w:val="fr-CA"/>
        </w:rPr>
        <w:t xml:space="preserve">relative aux facilités </w:t>
      </w:r>
      <w:r w:rsidR="005D05FB" w:rsidRPr="00B63BD5">
        <w:rPr>
          <w:b/>
          <w:color w:val="00B0F0"/>
          <w:lang w:val="fr-CA"/>
        </w:rPr>
        <w:t>distincte devrait être utilisée</w:t>
      </w:r>
      <w:r w:rsidR="00BB2901" w:rsidRPr="00B63BD5">
        <w:rPr>
          <w:b/>
          <w:color w:val="00B0F0"/>
          <w:lang w:val="fr-CA"/>
        </w:rPr>
        <w:t xml:space="preserve"> à cette fin</w:t>
      </w:r>
      <w:r w:rsidR="005D05FB" w:rsidRPr="00B63BD5">
        <w:rPr>
          <w:b/>
          <w:color w:val="00B0F0"/>
          <w:lang w:val="fr-CA"/>
        </w:rPr>
        <w:t>). Supprimer l</w:t>
      </w:r>
      <w:r w:rsidR="00564B0C" w:rsidRPr="00B63BD5">
        <w:rPr>
          <w:b/>
          <w:color w:val="00B0F0"/>
          <w:lang w:val="fr-CA"/>
        </w:rPr>
        <w:t>’</w:t>
      </w:r>
      <w:r w:rsidR="005D05FB" w:rsidRPr="00B63BD5">
        <w:rPr>
          <w:b/>
          <w:color w:val="00B0F0"/>
          <w:lang w:val="fr-CA"/>
        </w:rPr>
        <w:t>article</w:t>
      </w:r>
      <w:r w:rsidR="00B056F9" w:rsidRPr="00B63BD5">
        <w:rPr>
          <w:b/>
          <w:color w:val="00B0F0"/>
          <w:lang w:val="fr-CA"/>
        </w:rPr>
        <w:t> </w:t>
      </w:r>
      <w:r w:rsidR="00BB2901" w:rsidRPr="00B63BD5">
        <w:rPr>
          <w:b/>
          <w:color w:val="00B0F0"/>
          <w:lang w:val="fr-CA"/>
        </w:rPr>
        <w:fldChar w:fldCharType="begin"/>
      </w:r>
      <w:r w:rsidR="00BB2901" w:rsidRPr="00B63BD5">
        <w:rPr>
          <w:b/>
          <w:color w:val="00B0F0"/>
          <w:lang w:val="fr-CA"/>
        </w:rPr>
        <w:instrText xml:space="preserve"> REF _Ref477246173 \r \h </w:instrText>
      </w:r>
      <w:r w:rsidR="00B30CF1" w:rsidRPr="00B63BD5">
        <w:rPr>
          <w:b/>
          <w:color w:val="00B0F0"/>
          <w:lang w:val="fr-CA"/>
        </w:rPr>
        <w:instrText xml:space="preserve"> \* MERGEFORMAT </w:instrText>
      </w:r>
      <w:r w:rsidR="00BB2901" w:rsidRPr="00B63BD5">
        <w:rPr>
          <w:b/>
          <w:color w:val="00B0F0"/>
          <w:lang w:val="fr-CA"/>
        </w:rPr>
      </w:r>
      <w:r w:rsidR="00BB2901" w:rsidRPr="00B63BD5">
        <w:rPr>
          <w:b/>
          <w:color w:val="00B0F0"/>
          <w:lang w:val="fr-CA"/>
        </w:rPr>
        <w:fldChar w:fldCharType="separate"/>
      </w:r>
      <w:r w:rsidR="000F2F99" w:rsidRPr="00B63BD5">
        <w:rPr>
          <w:b/>
          <w:color w:val="00B0F0"/>
          <w:lang w:val="fr-CA"/>
        </w:rPr>
        <w:t>2</w:t>
      </w:r>
      <w:r w:rsidR="00BB2901" w:rsidRPr="00B63BD5">
        <w:rPr>
          <w:b/>
          <w:color w:val="00B0F0"/>
          <w:lang w:val="fr-CA"/>
        </w:rPr>
        <w:fldChar w:fldCharType="end"/>
      </w:r>
      <w:r w:rsidR="005D05FB" w:rsidRPr="00B63BD5">
        <w:rPr>
          <w:b/>
          <w:color w:val="00B0F0"/>
          <w:lang w:val="fr-CA"/>
        </w:rPr>
        <w:t xml:space="preserve"> s</w:t>
      </w:r>
      <w:r w:rsidR="00564B0C" w:rsidRPr="00B63BD5">
        <w:rPr>
          <w:b/>
          <w:color w:val="00B0F0"/>
          <w:lang w:val="fr-CA"/>
        </w:rPr>
        <w:t>’</w:t>
      </w:r>
      <w:r w:rsidR="005D05FB" w:rsidRPr="00B63BD5">
        <w:rPr>
          <w:b/>
          <w:color w:val="00B0F0"/>
          <w:lang w:val="fr-CA"/>
        </w:rPr>
        <w:t>il n</w:t>
      </w:r>
      <w:r w:rsidR="00564B0C" w:rsidRPr="00B63BD5">
        <w:rPr>
          <w:b/>
          <w:color w:val="00B0F0"/>
          <w:lang w:val="fr-CA"/>
        </w:rPr>
        <w:t>’</w:t>
      </w:r>
      <w:r w:rsidR="005D05FB" w:rsidRPr="00B63BD5">
        <w:rPr>
          <w:b/>
          <w:color w:val="00B0F0"/>
          <w:lang w:val="fr-CA"/>
        </w:rPr>
        <w:t>est pas applicable.</w:t>
      </w:r>
      <w:r w:rsidR="008C59F1" w:rsidRPr="00B63BD5">
        <w:rPr>
          <w:b/>
          <w:color w:val="00B0F0"/>
          <w:lang w:val="fr-CA"/>
        </w:rPr>
        <w:t xml:space="preserve"> (2)</w:t>
      </w:r>
      <w:r w:rsidR="00AC4107" w:rsidRPr="00B63BD5">
        <w:rPr>
          <w:b/>
          <w:color w:val="00B0F0"/>
          <w:lang w:val="fr-CA"/>
        </w:rPr>
        <w:t xml:space="preserve"> </w:t>
      </w:r>
      <w:r w:rsidR="00E53ECF" w:rsidRPr="00B63BD5">
        <w:rPr>
          <w:b/>
          <w:color w:val="00B0F0"/>
          <w:lang w:val="fr-CA"/>
        </w:rPr>
        <w:t>S</w:t>
      </w:r>
      <w:r w:rsidR="00564B0C" w:rsidRPr="00B63BD5">
        <w:rPr>
          <w:b/>
          <w:color w:val="00B0F0"/>
          <w:lang w:val="fr-CA"/>
        </w:rPr>
        <w:t>’</w:t>
      </w:r>
      <w:r w:rsidR="00E53ECF" w:rsidRPr="00B63BD5">
        <w:rPr>
          <w:b/>
          <w:color w:val="00B0F0"/>
          <w:lang w:val="fr-CA"/>
        </w:rPr>
        <w:t>il</w:t>
      </w:r>
      <w:r w:rsidR="00AB0594" w:rsidRPr="00B63BD5">
        <w:rPr>
          <w:b/>
          <w:color w:val="00B0F0"/>
          <w:lang w:val="fr-CA"/>
        </w:rPr>
        <w:t xml:space="preserve"> </w:t>
      </w:r>
      <w:r w:rsidR="00E53ECF" w:rsidRPr="00B63BD5">
        <w:rPr>
          <w:b/>
          <w:color w:val="00B0F0"/>
          <w:lang w:val="fr-CA"/>
        </w:rPr>
        <w:t>y</w:t>
      </w:r>
      <w:r w:rsidR="00AB0594" w:rsidRPr="00B63BD5">
        <w:rPr>
          <w:b/>
          <w:color w:val="00B0F0"/>
          <w:lang w:val="fr-CA"/>
        </w:rPr>
        <w:t xml:space="preserve"> </w:t>
      </w:r>
      <w:r w:rsidR="00E53ECF" w:rsidRPr="00B63BD5">
        <w:rPr>
          <w:b/>
          <w:color w:val="00B0F0"/>
          <w:lang w:val="fr-CA"/>
        </w:rPr>
        <w:t>a</w:t>
      </w:r>
      <w:r w:rsidR="00AB0594" w:rsidRPr="00B63BD5">
        <w:rPr>
          <w:b/>
          <w:color w:val="00B0F0"/>
          <w:lang w:val="fr-CA"/>
        </w:rPr>
        <w:t xml:space="preserve"> </w:t>
      </w:r>
      <w:r w:rsidR="00E53ECF" w:rsidRPr="00B63BD5">
        <w:rPr>
          <w:b/>
          <w:color w:val="00B0F0"/>
          <w:lang w:val="fr-CA"/>
        </w:rPr>
        <w:t>plusieurs types de prêts relatifs aux immobilisations, inscrire «</w:t>
      </w:r>
      <w:r w:rsidR="0094743F" w:rsidRPr="00B63BD5">
        <w:rPr>
          <w:b/>
          <w:color w:val="00B0F0"/>
          <w:lang w:val="fr-CA"/>
        </w:rPr>
        <w:t> </w:t>
      </w:r>
      <w:r w:rsidR="00E53ECF" w:rsidRPr="00B63BD5">
        <w:rPr>
          <w:b/>
          <w:color w:val="00B0F0"/>
          <w:lang w:val="fr-CA"/>
        </w:rPr>
        <w:t>Facilité de prêt relative aux</w:t>
      </w:r>
      <w:r w:rsidR="008E1EED" w:rsidRPr="00B63BD5">
        <w:rPr>
          <w:b/>
          <w:color w:val="00B0F0"/>
          <w:lang w:val="fr-CA"/>
        </w:rPr>
        <w:t> </w:t>
      </w:r>
      <w:r w:rsidR="00E53ECF" w:rsidRPr="00B63BD5">
        <w:rPr>
          <w:b/>
          <w:color w:val="00B0F0"/>
          <w:lang w:val="fr-CA"/>
        </w:rPr>
        <w:t>immobilisations</w:t>
      </w:r>
      <w:r w:rsidR="00B056F9" w:rsidRPr="00B63BD5">
        <w:rPr>
          <w:b/>
          <w:color w:val="00B0F0"/>
          <w:lang w:val="fr-CA"/>
        </w:rPr>
        <w:t> </w:t>
      </w:r>
      <w:r w:rsidR="00E53ECF" w:rsidRPr="00B63BD5">
        <w:rPr>
          <w:b/>
          <w:color w:val="00B0F0"/>
          <w:lang w:val="fr-CA"/>
        </w:rPr>
        <w:t>1</w:t>
      </w:r>
      <w:r w:rsidR="0094743F" w:rsidRPr="00B63BD5">
        <w:rPr>
          <w:b/>
          <w:color w:val="00B0F0"/>
          <w:lang w:val="fr-CA"/>
        </w:rPr>
        <w:t> </w:t>
      </w:r>
      <w:r w:rsidR="00E53ECF" w:rsidRPr="00B63BD5">
        <w:rPr>
          <w:b/>
          <w:color w:val="00B0F0"/>
          <w:lang w:val="fr-CA"/>
        </w:rPr>
        <w:t>» avant l</w:t>
      </w:r>
      <w:r w:rsidR="00564B0C" w:rsidRPr="00B63BD5">
        <w:rPr>
          <w:b/>
          <w:color w:val="00B0F0"/>
          <w:lang w:val="fr-CA"/>
        </w:rPr>
        <w:t>’</w:t>
      </w:r>
      <w:r w:rsidR="00E53ECF" w:rsidRPr="00B63BD5">
        <w:rPr>
          <w:b/>
          <w:color w:val="00B0F0"/>
          <w:lang w:val="fr-CA"/>
        </w:rPr>
        <w:t>alinéa</w:t>
      </w:r>
      <w:r w:rsidR="00B056F9" w:rsidRPr="00B63BD5">
        <w:rPr>
          <w:b/>
          <w:color w:val="00B0F0"/>
          <w:lang w:val="fr-CA"/>
        </w:rPr>
        <w:t> </w:t>
      </w:r>
      <w:r w:rsidR="00E53ECF" w:rsidRPr="00B63BD5">
        <w:rPr>
          <w:b/>
          <w:color w:val="00B0F0"/>
          <w:lang w:val="fr-CA"/>
        </w:rPr>
        <w:t>2.1.1 et ajouter les renseignements pertinents aux alinéas</w:t>
      </w:r>
      <w:r w:rsidR="00B056F9" w:rsidRPr="00B63BD5">
        <w:rPr>
          <w:b/>
          <w:color w:val="00B0F0"/>
          <w:lang w:val="fr-CA"/>
        </w:rPr>
        <w:t> </w:t>
      </w:r>
      <w:r w:rsidR="00E53ECF" w:rsidRPr="00B63BD5">
        <w:rPr>
          <w:b/>
          <w:color w:val="00B0F0"/>
          <w:lang w:val="fr-CA"/>
        </w:rPr>
        <w:t xml:space="preserve">2.1.1 à 2.1.6 pour la facilité en question en </w:t>
      </w:r>
      <w:r w:rsidR="001F7623" w:rsidRPr="00B63BD5">
        <w:rPr>
          <w:b/>
          <w:color w:val="00B0F0"/>
          <w:lang w:val="fr-CA"/>
        </w:rPr>
        <w:t>y</w:t>
      </w:r>
      <w:r w:rsidR="00AC4107" w:rsidRPr="00B63BD5">
        <w:rPr>
          <w:b/>
          <w:color w:val="00B0F0"/>
          <w:lang w:val="fr-CA"/>
        </w:rPr>
        <w:t xml:space="preserve"> </w:t>
      </w:r>
      <w:r w:rsidR="00E53ECF" w:rsidRPr="00B63BD5">
        <w:rPr>
          <w:b/>
          <w:color w:val="00B0F0"/>
          <w:lang w:val="fr-CA"/>
        </w:rPr>
        <w:t>utilisant le terme «</w:t>
      </w:r>
      <w:r w:rsidR="0094743F" w:rsidRPr="00B63BD5">
        <w:rPr>
          <w:b/>
          <w:color w:val="00B0F0"/>
          <w:lang w:val="fr-CA"/>
        </w:rPr>
        <w:t> </w:t>
      </w:r>
      <w:r w:rsidR="00E53ECF" w:rsidRPr="00B63BD5">
        <w:rPr>
          <w:b/>
          <w:color w:val="00B0F0"/>
          <w:lang w:val="fr-CA"/>
        </w:rPr>
        <w:t>Facilité de prêt relative aux</w:t>
      </w:r>
      <w:r w:rsidR="00AB0594" w:rsidRPr="00B63BD5">
        <w:rPr>
          <w:b/>
          <w:color w:val="00B0F0"/>
          <w:lang w:val="fr-CA"/>
        </w:rPr>
        <w:t xml:space="preserve"> </w:t>
      </w:r>
      <w:r w:rsidR="00E53ECF" w:rsidRPr="00B63BD5">
        <w:rPr>
          <w:b/>
          <w:color w:val="00B0F0"/>
          <w:lang w:val="fr-CA"/>
        </w:rPr>
        <w:t>immobilisations</w:t>
      </w:r>
      <w:r w:rsidR="00B056F9" w:rsidRPr="00B63BD5">
        <w:rPr>
          <w:b/>
          <w:color w:val="00B0F0"/>
          <w:lang w:val="fr-CA"/>
        </w:rPr>
        <w:t> </w:t>
      </w:r>
      <w:r w:rsidR="00E53ECF" w:rsidRPr="00B63BD5">
        <w:rPr>
          <w:b/>
          <w:color w:val="00B0F0"/>
          <w:lang w:val="fr-CA"/>
        </w:rPr>
        <w:t>1</w:t>
      </w:r>
      <w:r w:rsidR="0094743F" w:rsidRPr="00B63BD5">
        <w:rPr>
          <w:b/>
          <w:color w:val="00B0F0"/>
          <w:lang w:val="fr-CA"/>
        </w:rPr>
        <w:t> </w:t>
      </w:r>
      <w:r w:rsidR="00E53ECF" w:rsidRPr="00B63BD5">
        <w:rPr>
          <w:b/>
          <w:color w:val="00B0F0"/>
          <w:lang w:val="fr-CA"/>
        </w:rPr>
        <w:t>»</w:t>
      </w:r>
      <w:r w:rsidR="001F7623" w:rsidRPr="00B63BD5">
        <w:rPr>
          <w:b/>
          <w:color w:val="00B0F0"/>
          <w:lang w:val="fr-CA"/>
        </w:rPr>
        <w:t>.</w:t>
      </w:r>
      <w:r w:rsidR="00E53ECF" w:rsidRPr="00B63BD5">
        <w:rPr>
          <w:b/>
          <w:color w:val="00B0F0"/>
          <w:lang w:val="fr-CA"/>
        </w:rPr>
        <w:t xml:space="preserve"> Ajouter ensuite un titre pour la «</w:t>
      </w:r>
      <w:r w:rsidR="0094743F" w:rsidRPr="00B63BD5">
        <w:rPr>
          <w:b/>
          <w:color w:val="00B0F0"/>
          <w:lang w:val="fr-CA"/>
        </w:rPr>
        <w:t> </w:t>
      </w:r>
      <w:r w:rsidR="00E53ECF" w:rsidRPr="00B63BD5">
        <w:rPr>
          <w:b/>
          <w:color w:val="00B0F0"/>
          <w:lang w:val="fr-CA"/>
        </w:rPr>
        <w:t>Facilité de prêt relative aux</w:t>
      </w:r>
      <w:r w:rsidR="00AB0594" w:rsidRPr="00B63BD5">
        <w:rPr>
          <w:b/>
          <w:color w:val="00B0F0"/>
          <w:lang w:val="fr-CA"/>
        </w:rPr>
        <w:t xml:space="preserve"> </w:t>
      </w:r>
      <w:r w:rsidR="00E53ECF" w:rsidRPr="00B63BD5">
        <w:rPr>
          <w:b/>
          <w:color w:val="00B0F0"/>
          <w:lang w:val="fr-CA"/>
        </w:rPr>
        <w:t>immobilisations</w:t>
      </w:r>
      <w:r w:rsidR="00B056F9" w:rsidRPr="00B63BD5">
        <w:rPr>
          <w:b/>
          <w:color w:val="00B0F0"/>
          <w:lang w:val="fr-CA"/>
        </w:rPr>
        <w:t> </w:t>
      </w:r>
      <w:r w:rsidR="00E53ECF" w:rsidRPr="00B63BD5">
        <w:rPr>
          <w:b/>
          <w:color w:val="00B0F0"/>
          <w:lang w:val="fr-CA"/>
        </w:rPr>
        <w:t>2</w:t>
      </w:r>
      <w:r w:rsidR="0094743F" w:rsidRPr="00B63BD5">
        <w:rPr>
          <w:b/>
          <w:color w:val="00B0F0"/>
          <w:lang w:val="fr-CA"/>
        </w:rPr>
        <w:t> </w:t>
      </w:r>
      <w:r w:rsidR="00E53ECF" w:rsidRPr="00B63BD5">
        <w:rPr>
          <w:b/>
          <w:color w:val="00B0F0"/>
          <w:lang w:val="fr-CA"/>
        </w:rPr>
        <w:t>» et suiv</w:t>
      </w:r>
      <w:r w:rsidR="009A0F33" w:rsidRPr="00B63BD5">
        <w:rPr>
          <w:b/>
          <w:color w:val="00B0F0"/>
          <w:lang w:val="fr-CA"/>
        </w:rPr>
        <w:t>re</w:t>
      </w:r>
      <w:r w:rsidR="00E53ECF" w:rsidRPr="00B63BD5">
        <w:rPr>
          <w:b/>
          <w:color w:val="00B0F0"/>
          <w:lang w:val="fr-CA"/>
        </w:rPr>
        <w:t xml:space="preserve"> le même processus, en numérotant les sous</w:t>
      </w:r>
      <w:r w:rsidR="00E53ECF" w:rsidRPr="00B63BD5">
        <w:rPr>
          <w:b/>
          <w:color w:val="00B0F0"/>
          <w:lang w:val="fr-CA"/>
        </w:rPr>
        <w:noBreakHyphen/>
        <w:t>alinéas</w:t>
      </w:r>
      <w:r w:rsidR="00B056F9" w:rsidRPr="00B63BD5">
        <w:rPr>
          <w:b/>
          <w:color w:val="00B0F0"/>
          <w:lang w:val="fr-CA"/>
        </w:rPr>
        <w:t> </w:t>
      </w:r>
      <w:r w:rsidR="00E53ECF" w:rsidRPr="00B63BD5">
        <w:rPr>
          <w:b/>
          <w:color w:val="00B0F0"/>
          <w:lang w:val="fr-CA"/>
        </w:rPr>
        <w:t>2.2.1, etc. Inscrire le nom de l</w:t>
      </w:r>
      <w:r w:rsidR="00564B0C" w:rsidRPr="00B63BD5">
        <w:rPr>
          <w:b/>
          <w:color w:val="00B0F0"/>
          <w:lang w:val="fr-CA"/>
        </w:rPr>
        <w:t>’</w:t>
      </w:r>
      <w:r w:rsidR="00E53ECF" w:rsidRPr="00B63BD5">
        <w:rPr>
          <w:b/>
          <w:color w:val="00B0F0"/>
          <w:lang w:val="fr-CA"/>
        </w:rPr>
        <w:t>Emprunteur uniquement s</w:t>
      </w:r>
      <w:r w:rsidR="00564B0C" w:rsidRPr="00B63BD5">
        <w:rPr>
          <w:b/>
          <w:color w:val="00B0F0"/>
          <w:lang w:val="fr-CA"/>
        </w:rPr>
        <w:t>’</w:t>
      </w:r>
      <w:r w:rsidR="00E53ECF" w:rsidRPr="00B63BD5">
        <w:rPr>
          <w:b/>
          <w:color w:val="00B0F0"/>
          <w:lang w:val="fr-CA"/>
        </w:rPr>
        <w:t>il y a plusieurs emprunteurs.</w:t>
      </w:r>
      <w:r w:rsidRPr="00B63BD5">
        <w:rPr>
          <w:b/>
          <w:color w:val="00B0F0"/>
          <w:lang w:val="fr-CA"/>
        </w:rPr>
        <w:t>]</w:t>
      </w:r>
    </w:p>
    <w:p w14:paraId="250E630C" w14:textId="1D7C5AE0" w:rsidR="00E53ECF" w:rsidRPr="00B63BD5" w:rsidRDefault="00E53ECF" w:rsidP="00D33630">
      <w:pPr>
        <w:pStyle w:val="04LOLglNew2"/>
      </w:pPr>
      <w:r w:rsidRPr="00B63BD5">
        <w:t>[Facilité de prêt relative aux immobilisations</w:t>
      </w:r>
      <w:r w:rsidR="00B056F9" w:rsidRPr="00B63BD5">
        <w:t> </w:t>
      </w:r>
      <w:r w:rsidRPr="00B63BD5">
        <w:t>1 – Mise à la disposition de [inscrire le nom de</w:t>
      </w:r>
      <w:r w:rsidR="008E1EED" w:rsidRPr="00B63BD5">
        <w:t> </w:t>
      </w:r>
      <w:r w:rsidRPr="00B63BD5">
        <w:t>l</w:t>
      </w:r>
      <w:r w:rsidR="00564B0C" w:rsidRPr="00B63BD5">
        <w:t>’</w:t>
      </w:r>
      <w:r w:rsidRPr="00B63BD5">
        <w:t>Emprunteur]</w:t>
      </w:r>
    </w:p>
    <w:p w14:paraId="782C0AEA" w14:textId="745E354A" w:rsidR="00CE03F7" w:rsidRPr="00B63BD5" w:rsidRDefault="00CE03F7" w:rsidP="00632863">
      <w:pPr>
        <w:pStyle w:val="Heading3"/>
        <w:keepNext w:val="0"/>
        <w:widowControl w:val="0"/>
        <w:numPr>
          <w:ilvl w:val="2"/>
          <w:numId w:val="1"/>
        </w:numPr>
        <w:tabs>
          <w:tab w:val="clear" w:pos="851"/>
          <w:tab w:val="clear" w:pos="1440"/>
        </w:tabs>
        <w:ind w:firstLine="0"/>
        <w:jc w:val="both"/>
      </w:pPr>
      <w:r w:rsidRPr="00B63BD5">
        <w:t>Montant</w:t>
      </w:r>
    </w:p>
    <w:p w14:paraId="2BE15394" w14:textId="01DB5E55" w:rsidR="00D4379C" w:rsidRPr="00B63BD5" w:rsidRDefault="00D4379C" w:rsidP="00632863">
      <w:pPr>
        <w:widowControl w:val="0"/>
        <w:spacing w:after="240"/>
        <w:jc w:val="both"/>
        <w:rPr>
          <w:b/>
          <w:color w:val="00B0F0"/>
          <w:lang w:val="fr-CA"/>
        </w:rPr>
      </w:pPr>
      <w:r w:rsidRPr="00B63BD5">
        <w:rPr>
          <w:b/>
          <w:color w:val="00B0F0"/>
          <w:lang w:val="fr-CA"/>
        </w:rPr>
        <w:t>[N.B.</w:t>
      </w:r>
      <w:r w:rsidR="00AC4107" w:rsidRPr="00B63BD5">
        <w:rPr>
          <w:b/>
          <w:color w:val="00B0F0"/>
          <w:lang w:val="fr-CA"/>
        </w:rPr>
        <w:t xml:space="preserve"> </w:t>
      </w:r>
      <w:r w:rsidRPr="00B63BD5">
        <w:rPr>
          <w:b/>
          <w:color w:val="00B0F0"/>
          <w:lang w:val="fr-CA"/>
        </w:rPr>
        <w:t xml:space="preserve">: Utiliser uniquement la </w:t>
      </w:r>
      <w:r w:rsidR="001F7623" w:rsidRPr="00B63BD5">
        <w:rPr>
          <w:b/>
          <w:color w:val="00B0F0"/>
          <w:lang w:val="fr-CA"/>
        </w:rPr>
        <w:t xml:space="preserve">monnaie </w:t>
      </w:r>
      <w:r w:rsidRPr="00B63BD5">
        <w:rPr>
          <w:b/>
          <w:color w:val="00B0F0"/>
          <w:lang w:val="fr-CA"/>
        </w:rPr>
        <w:t>dans laquelle la limite est exprimée (</w:t>
      </w:r>
      <w:r w:rsidR="001F7623" w:rsidRPr="00B63BD5">
        <w:rPr>
          <w:b/>
          <w:color w:val="00B0F0"/>
          <w:lang w:val="fr-CA"/>
        </w:rPr>
        <w:t xml:space="preserve">vérifier </w:t>
      </w:r>
      <w:r w:rsidR="00DF1381" w:rsidRPr="00B63BD5">
        <w:rPr>
          <w:b/>
          <w:color w:val="00B0F0"/>
          <w:lang w:val="fr-CA"/>
        </w:rPr>
        <w:t>dans CARM</w:t>
      </w:r>
      <w:r w:rsidR="006142A3" w:rsidRPr="00B63BD5">
        <w:rPr>
          <w:b/>
          <w:color w:val="00B0F0"/>
          <w:lang w:val="fr-CA"/>
        </w:rPr>
        <w:t xml:space="preserve">) dans </w:t>
      </w:r>
      <w:r w:rsidR="008C3103" w:rsidRPr="00B63BD5">
        <w:rPr>
          <w:b/>
          <w:color w:val="00B0F0"/>
          <w:lang w:val="fr-CA"/>
        </w:rPr>
        <w:t>le présent article</w:t>
      </w:r>
      <w:r w:rsidRPr="00B63BD5">
        <w:rPr>
          <w:b/>
          <w:color w:val="00B0F0"/>
          <w:lang w:val="fr-CA"/>
        </w:rPr>
        <w:t>.</w:t>
      </w:r>
      <w:r w:rsidR="00ED5AC5" w:rsidRPr="00B63BD5">
        <w:rPr>
          <w:b/>
          <w:color w:val="00B0F0"/>
          <w:lang w:val="fr-CA"/>
        </w:rPr>
        <w:t xml:space="preserve"> S</w:t>
      </w:r>
      <w:r w:rsidR="00564B0C" w:rsidRPr="00B63BD5">
        <w:rPr>
          <w:b/>
          <w:color w:val="00B0F0"/>
          <w:lang w:val="fr-CA"/>
        </w:rPr>
        <w:t>’</w:t>
      </w:r>
      <w:r w:rsidR="00ED5AC5" w:rsidRPr="00B63BD5">
        <w:rPr>
          <w:b/>
          <w:color w:val="00B0F0"/>
          <w:lang w:val="fr-CA"/>
        </w:rPr>
        <w:t>il s</w:t>
      </w:r>
      <w:r w:rsidR="00564B0C" w:rsidRPr="00B63BD5">
        <w:rPr>
          <w:b/>
          <w:color w:val="00B0F0"/>
          <w:lang w:val="fr-CA"/>
        </w:rPr>
        <w:t>’</w:t>
      </w:r>
      <w:r w:rsidR="00ED5AC5" w:rsidRPr="00B63BD5">
        <w:rPr>
          <w:b/>
          <w:color w:val="00B0F0"/>
          <w:lang w:val="fr-CA"/>
        </w:rPr>
        <w:t>agit de reformuler une lettre relative aux facilités existante, inscrire le</w:t>
      </w:r>
      <w:r w:rsidR="008E1EED" w:rsidRPr="00B63BD5">
        <w:rPr>
          <w:b/>
          <w:color w:val="00B0F0"/>
          <w:lang w:val="fr-CA"/>
        </w:rPr>
        <w:t> </w:t>
      </w:r>
      <w:r w:rsidR="002A566D" w:rsidRPr="00B63BD5">
        <w:rPr>
          <w:b/>
          <w:color w:val="00B0F0"/>
          <w:lang w:val="fr-CA"/>
        </w:rPr>
        <w:t xml:space="preserve">montant du </w:t>
      </w:r>
      <w:r w:rsidR="00ED5AC5" w:rsidRPr="00B63BD5">
        <w:rPr>
          <w:b/>
          <w:color w:val="00B0F0"/>
          <w:lang w:val="fr-CA"/>
        </w:rPr>
        <w:lastRenderedPageBreak/>
        <w:t xml:space="preserve">capital impayé du prêt indiqué dans le système HUB), et non la limite indiquée dans </w:t>
      </w:r>
      <w:r w:rsidR="00DF1381" w:rsidRPr="00B63BD5">
        <w:rPr>
          <w:b/>
          <w:color w:val="00B0F0"/>
          <w:lang w:val="fr-CA"/>
        </w:rPr>
        <w:t>CARM</w:t>
      </w:r>
      <w:r w:rsidR="00ED5AC5" w:rsidRPr="00B63BD5">
        <w:rPr>
          <w:b/>
          <w:color w:val="00B0F0"/>
          <w:lang w:val="fr-CA"/>
        </w:rPr>
        <w:t>, et ajouter la mention «</w:t>
      </w:r>
      <w:r w:rsidR="0094743F" w:rsidRPr="00B63BD5">
        <w:rPr>
          <w:b/>
          <w:color w:val="00B0F0"/>
          <w:lang w:val="fr-CA"/>
        </w:rPr>
        <w:t> </w:t>
      </w:r>
      <w:r w:rsidR="002A566D" w:rsidRPr="00B63BD5">
        <w:rPr>
          <w:b/>
          <w:color w:val="00B0F0"/>
          <w:lang w:val="fr-CA"/>
        </w:rPr>
        <w:t xml:space="preserve">montant du </w:t>
      </w:r>
      <w:r w:rsidR="00ED5AC5" w:rsidRPr="00B63BD5">
        <w:rPr>
          <w:b/>
          <w:color w:val="00B0F0"/>
          <w:lang w:val="fr-CA"/>
        </w:rPr>
        <w:t>capital de</w:t>
      </w:r>
      <w:r w:rsidR="0094743F" w:rsidRPr="00B63BD5">
        <w:rPr>
          <w:b/>
          <w:color w:val="00B0F0"/>
          <w:lang w:val="fr-CA"/>
        </w:rPr>
        <w:t> </w:t>
      </w:r>
      <w:r w:rsidR="00ED5AC5" w:rsidRPr="00B63BD5">
        <w:rPr>
          <w:b/>
          <w:color w:val="00B0F0"/>
          <w:lang w:val="fr-CA"/>
        </w:rPr>
        <w:t>» avant le m</w:t>
      </w:r>
      <w:r w:rsidR="00A67C26" w:rsidRPr="00B63BD5">
        <w:rPr>
          <w:b/>
          <w:color w:val="00B0F0"/>
          <w:lang w:val="fr-CA"/>
        </w:rPr>
        <w:t>ontant.]</w:t>
      </w:r>
    </w:p>
    <w:p w14:paraId="7E501B32" w14:textId="012D18C2" w:rsidR="009926E7" w:rsidRPr="00B63BD5" w:rsidRDefault="005D05FB" w:rsidP="00632863">
      <w:pPr>
        <w:widowControl w:val="0"/>
        <w:spacing w:after="240"/>
        <w:jc w:val="both"/>
        <w:rPr>
          <w:lang w:val="fr-CA"/>
        </w:rPr>
      </w:pPr>
      <w:r w:rsidRPr="00B63BD5">
        <w:rPr>
          <w:lang w:val="fr-CA"/>
        </w:rPr>
        <w:t xml:space="preserve">Facilité de </w:t>
      </w:r>
      <w:r w:rsidR="00BB2901" w:rsidRPr="00B63BD5">
        <w:rPr>
          <w:lang w:val="fr-CA"/>
        </w:rPr>
        <w:t xml:space="preserve">prêt </w:t>
      </w:r>
      <w:r w:rsidR="00AD6A2A" w:rsidRPr="00B63BD5">
        <w:rPr>
          <w:lang w:val="fr-CA"/>
        </w:rPr>
        <w:t xml:space="preserve">à demande </w:t>
      </w:r>
      <w:r w:rsidRPr="00B63BD5">
        <w:rPr>
          <w:lang w:val="fr-CA"/>
        </w:rPr>
        <w:t>non renouvelable</w:t>
      </w:r>
      <w:r w:rsidR="000D0E47" w:rsidRPr="00B63BD5">
        <w:rPr>
          <w:lang w:val="fr-CA"/>
        </w:rPr>
        <w:t xml:space="preserve"> </w:t>
      </w:r>
      <w:r w:rsidRPr="00B63BD5">
        <w:rPr>
          <w:lang w:val="fr-CA"/>
        </w:rPr>
        <w:t xml:space="preserve">de </w:t>
      </w:r>
      <w:r w:rsidR="00ED5AC5" w:rsidRPr="00B63BD5">
        <w:rPr>
          <w:lang w:val="fr-CA"/>
        </w:rPr>
        <w:t>[</w:t>
      </w:r>
      <w:r w:rsidRPr="00B63BD5">
        <w:rPr>
          <w:lang w:val="fr-CA"/>
        </w:rPr>
        <w:t>●</w:t>
      </w:r>
      <w:r w:rsidR="00AB0594" w:rsidRPr="00B63BD5">
        <w:rPr>
          <w:lang w:val="fr-CA"/>
        </w:rPr>
        <w:t> </w:t>
      </w:r>
      <w:r w:rsidRPr="00B63BD5">
        <w:rPr>
          <w:lang w:val="fr-CA"/>
        </w:rPr>
        <w:t>$</w:t>
      </w:r>
      <w:r w:rsidR="00AC4107" w:rsidRPr="00B63BD5">
        <w:rPr>
          <w:lang w:val="fr-CA"/>
        </w:rPr>
        <w:t xml:space="preserve"> </w:t>
      </w:r>
      <w:r w:rsidRPr="00B63BD5">
        <w:rPr>
          <w:lang w:val="fr-CA"/>
        </w:rPr>
        <w:t>CA</w:t>
      </w:r>
      <w:r w:rsidR="00604BFA" w:rsidRPr="00B63BD5">
        <w:rPr>
          <w:rStyle w:val="Prompt"/>
          <w:color w:val="auto"/>
          <w:lang w:val="fr-CA"/>
        </w:rPr>
        <w:t xml:space="preserve"> </w:t>
      </w:r>
      <w:r w:rsidR="001934B0" w:rsidRPr="00B63BD5">
        <w:rPr>
          <w:rStyle w:val="Prompt"/>
          <w:b/>
          <w:color w:val="00B0F0"/>
          <w:highlight w:val="yellow"/>
          <w:lang w:val="fr-CA"/>
        </w:rPr>
        <w:t>OU</w:t>
      </w:r>
      <w:r w:rsidR="00AC4107" w:rsidRPr="00B63BD5">
        <w:rPr>
          <w:rStyle w:val="Prompt"/>
          <w:color w:val="auto"/>
          <w:lang w:val="fr-CA"/>
        </w:rPr>
        <w:t xml:space="preserve"> </w:t>
      </w:r>
      <w:r w:rsidRPr="00B63BD5">
        <w:rPr>
          <w:rStyle w:val="Prompt"/>
          <w:color w:val="auto"/>
          <w:lang w:val="fr-CA"/>
        </w:rPr>
        <w:t>●</w:t>
      </w:r>
      <w:r w:rsidR="00AB0594" w:rsidRPr="00B63BD5">
        <w:rPr>
          <w:lang w:val="fr-CA"/>
        </w:rPr>
        <w:t> </w:t>
      </w:r>
      <w:r w:rsidRPr="00B63BD5">
        <w:rPr>
          <w:rStyle w:val="Prompt"/>
          <w:color w:val="auto"/>
          <w:lang w:val="fr-CA"/>
        </w:rPr>
        <w:t>$</w:t>
      </w:r>
      <w:r w:rsidR="00AC4107" w:rsidRPr="00B63BD5">
        <w:rPr>
          <w:rStyle w:val="Prompt"/>
          <w:color w:val="auto"/>
          <w:lang w:val="fr-CA"/>
        </w:rPr>
        <w:t xml:space="preserve"> </w:t>
      </w:r>
      <w:r w:rsidRPr="00B63BD5">
        <w:rPr>
          <w:rStyle w:val="Prompt"/>
          <w:color w:val="auto"/>
          <w:lang w:val="fr-CA"/>
        </w:rPr>
        <w:t>US</w:t>
      </w:r>
      <w:r w:rsidR="005D44A7" w:rsidRPr="00B63BD5">
        <w:rPr>
          <w:rStyle w:val="Prompt"/>
          <w:color w:val="auto"/>
          <w:lang w:val="fr-CA"/>
        </w:rPr>
        <w:t>]</w:t>
      </w:r>
      <w:r w:rsidR="00254B73" w:rsidRPr="00B63BD5">
        <w:rPr>
          <w:rStyle w:val="Prompt"/>
          <w:color w:val="auto"/>
          <w:lang w:val="fr-CA"/>
        </w:rPr>
        <w:t xml:space="preserve"> </w:t>
      </w:r>
      <w:r w:rsidR="009926E7" w:rsidRPr="00B63BD5">
        <w:rPr>
          <w:lang w:val="fr-CA"/>
        </w:rPr>
        <w:t>(</w:t>
      </w:r>
      <w:r w:rsidRPr="00B63BD5">
        <w:rPr>
          <w:lang w:val="fr-CA"/>
        </w:rPr>
        <w:t>la</w:t>
      </w:r>
      <w:r w:rsidR="00AC4107" w:rsidRPr="00B63BD5">
        <w:rPr>
          <w:lang w:val="fr-CA"/>
        </w:rPr>
        <w:t xml:space="preserve"> </w:t>
      </w:r>
      <w:r w:rsidRPr="00B63BD5">
        <w:rPr>
          <w:lang w:val="fr-CA"/>
        </w:rPr>
        <w:t>«</w:t>
      </w:r>
      <w:r w:rsidR="0094743F" w:rsidRPr="00B63BD5">
        <w:rPr>
          <w:lang w:val="fr-CA"/>
        </w:rPr>
        <w:t> </w:t>
      </w:r>
      <w:r w:rsidRPr="00B63BD5">
        <w:rPr>
          <w:b/>
          <w:lang w:val="fr-CA"/>
        </w:rPr>
        <w:t xml:space="preserve">Facilité de </w:t>
      </w:r>
      <w:r w:rsidR="00BB2901" w:rsidRPr="00B63BD5">
        <w:rPr>
          <w:b/>
          <w:lang w:val="fr-CA"/>
        </w:rPr>
        <w:t>prêt relative aux</w:t>
      </w:r>
      <w:r w:rsidR="008E1EED" w:rsidRPr="00B63BD5">
        <w:rPr>
          <w:b/>
          <w:lang w:val="fr-CA"/>
        </w:rPr>
        <w:t> </w:t>
      </w:r>
      <w:r w:rsidRPr="00B63BD5">
        <w:rPr>
          <w:b/>
          <w:lang w:val="fr-CA"/>
        </w:rPr>
        <w:t>immobilisations</w:t>
      </w:r>
      <w:r w:rsidR="00AC4107" w:rsidRPr="00B63BD5">
        <w:rPr>
          <w:b/>
          <w:lang w:val="fr-CA"/>
        </w:rPr>
        <w:t xml:space="preserve"> </w:t>
      </w:r>
      <w:r w:rsidR="00D4379C" w:rsidRPr="00B63BD5">
        <w:rPr>
          <w:b/>
          <w:lang w:val="fr-CA"/>
        </w:rPr>
        <w:t>[1]</w:t>
      </w:r>
      <w:r w:rsidR="0094743F" w:rsidRPr="00B63BD5">
        <w:rPr>
          <w:lang w:val="fr-CA"/>
        </w:rPr>
        <w:t> </w:t>
      </w:r>
      <w:r w:rsidRPr="00B63BD5">
        <w:rPr>
          <w:lang w:val="fr-CA"/>
        </w:rPr>
        <w:t>»</w:t>
      </w:r>
      <w:r w:rsidR="00ED5AC5" w:rsidRPr="00B63BD5">
        <w:rPr>
          <w:lang w:val="fr-CA"/>
        </w:rPr>
        <w:t>)</w:t>
      </w:r>
      <w:r w:rsidR="00D4379C" w:rsidRPr="00B63BD5">
        <w:rPr>
          <w:lang w:val="fr-CA"/>
        </w:rPr>
        <w:t xml:space="preserve"> mise à la disposition de [inscrire le nom de l</w:t>
      </w:r>
      <w:r w:rsidR="00564B0C" w:rsidRPr="00B63BD5">
        <w:rPr>
          <w:lang w:val="fr-CA"/>
        </w:rPr>
        <w:t>’</w:t>
      </w:r>
      <w:r w:rsidR="00D4379C" w:rsidRPr="00B63BD5">
        <w:rPr>
          <w:lang w:val="fr-CA"/>
        </w:rPr>
        <w:t xml:space="preserve">Emprunteur]. </w:t>
      </w:r>
    </w:p>
    <w:p w14:paraId="62304379" w14:textId="49847DD6" w:rsidR="009926E7" w:rsidRPr="00B63BD5" w:rsidRDefault="00B6688C" w:rsidP="00632863">
      <w:pPr>
        <w:pStyle w:val="Heading3"/>
        <w:keepNext w:val="0"/>
        <w:widowControl w:val="0"/>
        <w:numPr>
          <w:ilvl w:val="2"/>
          <w:numId w:val="1"/>
        </w:numPr>
        <w:tabs>
          <w:tab w:val="clear" w:pos="851"/>
          <w:tab w:val="clear" w:pos="1440"/>
        </w:tabs>
        <w:ind w:firstLine="0"/>
        <w:jc w:val="both"/>
      </w:pPr>
      <w:r w:rsidRPr="00B63BD5">
        <w:t>Objet</w:t>
      </w:r>
    </w:p>
    <w:p w14:paraId="709971F7" w14:textId="7EA8F1ED" w:rsidR="009926E7" w:rsidRPr="00B63BD5" w:rsidRDefault="00D4379C" w:rsidP="00632863">
      <w:pPr>
        <w:spacing w:after="240"/>
        <w:jc w:val="both"/>
        <w:rPr>
          <w:lang w:val="fr-CA"/>
        </w:rPr>
      </w:pPr>
      <w:r w:rsidRPr="00B63BD5">
        <w:rPr>
          <w:lang w:val="fr-CA"/>
        </w:rPr>
        <w:t>[</w:t>
      </w:r>
      <w:r w:rsidR="008E429F" w:rsidRPr="00B63BD5">
        <w:rPr>
          <w:lang w:val="fr-CA"/>
        </w:rPr>
        <w:t xml:space="preserve">Servir au </w:t>
      </w:r>
      <w:r w:rsidR="00B6688C" w:rsidRPr="00B63BD5">
        <w:rPr>
          <w:lang w:val="fr-CA"/>
        </w:rPr>
        <w:t>finance</w:t>
      </w:r>
      <w:r w:rsidR="008E429F" w:rsidRPr="00B63BD5">
        <w:rPr>
          <w:lang w:val="fr-CA"/>
        </w:rPr>
        <w:t>ment</w:t>
      </w:r>
      <w:r w:rsidR="00B6688C" w:rsidRPr="00B63BD5">
        <w:rPr>
          <w:lang w:val="fr-CA"/>
        </w:rPr>
        <w:t xml:space="preserve"> </w:t>
      </w:r>
      <w:r w:rsidR="008E429F" w:rsidRPr="00B63BD5">
        <w:rPr>
          <w:lang w:val="fr-CA"/>
        </w:rPr>
        <w:t>d</w:t>
      </w:r>
      <w:r w:rsidR="00B6688C" w:rsidRPr="00B63BD5">
        <w:rPr>
          <w:lang w:val="fr-CA"/>
        </w:rPr>
        <w:t>es dépenses en immobilisations de l</w:t>
      </w:r>
      <w:r w:rsidR="00564B0C" w:rsidRPr="00B63BD5">
        <w:rPr>
          <w:lang w:val="fr-CA"/>
        </w:rPr>
        <w:t>’</w:t>
      </w:r>
      <w:r w:rsidR="00B6688C" w:rsidRPr="00B63BD5">
        <w:rPr>
          <w:lang w:val="fr-CA"/>
        </w:rPr>
        <w:t>Emprunteur aux fins de l</w:t>
      </w:r>
      <w:r w:rsidR="00564B0C" w:rsidRPr="00B63BD5">
        <w:rPr>
          <w:lang w:val="fr-CA"/>
        </w:rPr>
        <w:t>’</w:t>
      </w:r>
      <w:r w:rsidR="00B6688C" w:rsidRPr="00B63BD5">
        <w:rPr>
          <w:lang w:val="fr-CA"/>
        </w:rPr>
        <w:t>acquisition de ●</w:t>
      </w:r>
      <w:r w:rsidR="001F7623" w:rsidRPr="00B63BD5">
        <w:rPr>
          <w:lang w:val="fr-CA"/>
        </w:rPr>
        <w:t>.</w:t>
      </w:r>
      <w:r w:rsidRPr="00B63BD5">
        <w:rPr>
          <w:lang w:val="fr-CA"/>
        </w:rPr>
        <w:t xml:space="preserve">] </w:t>
      </w:r>
      <w:r w:rsidR="001934B0" w:rsidRPr="00B63BD5">
        <w:rPr>
          <w:rStyle w:val="Prompt"/>
          <w:b/>
          <w:color w:val="00B0F0"/>
          <w:highlight w:val="yellow"/>
          <w:lang w:val="fr-CA"/>
        </w:rPr>
        <w:t>OU</w:t>
      </w:r>
      <w:r w:rsidR="00AC4107" w:rsidRPr="00B63BD5">
        <w:rPr>
          <w:rStyle w:val="Prompt"/>
          <w:color w:val="auto"/>
          <w:lang w:val="fr-CA"/>
        </w:rPr>
        <w:t xml:space="preserve"> </w:t>
      </w:r>
      <w:r w:rsidRPr="00B63BD5">
        <w:rPr>
          <w:lang w:val="fr-CA"/>
        </w:rPr>
        <w:t>[</w:t>
      </w:r>
      <w:r w:rsidR="001F7623" w:rsidRPr="00B63BD5">
        <w:rPr>
          <w:lang w:val="fr-CA"/>
        </w:rPr>
        <w:t>S</w:t>
      </w:r>
      <w:r w:rsidRPr="00B63BD5">
        <w:rPr>
          <w:lang w:val="fr-CA"/>
        </w:rPr>
        <w:t xml:space="preserve">ervir au </w:t>
      </w:r>
      <w:r w:rsidR="00B6688C" w:rsidRPr="00B63BD5">
        <w:rPr>
          <w:lang w:val="fr-CA"/>
        </w:rPr>
        <w:t>refinancement de la dette</w:t>
      </w:r>
      <w:r w:rsidR="008E429F" w:rsidRPr="00B63BD5">
        <w:rPr>
          <w:lang w:val="fr-CA"/>
        </w:rPr>
        <w:t xml:space="preserve"> existante</w:t>
      </w:r>
      <w:r w:rsidR="00B6688C" w:rsidRPr="00B63BD5">
        <w:rPr>
          <w:lang w:val="fr-CA"/>
        </w:rPr>
        <w:t xml:space="preserve"> de l</w:t>
      </w:r>
      <w:r w:rsidR="00564B0C" w:rsidRPr="00B63BD5">
        <w:rPr>
          <w:lang w:val="fr-CA"/>
        </w:rPr>
        <w:t>’</w:t>
      </w:r>
      <w:r w:rsidR="00B6688C" w:rsidRPr="00B63BD5">
        <w:rPr>
          <w:lang w:val="fr-CA"/>
        </w:rPr>
        <w:t>Emprunteur envers ●</w:t>
      </w:r>
      <w:r w:rsidR="001F7623" w:rsidRPr="00B63BD5">
        <w:rPr>
          <w:lang w:val="fr-CA"/>
        </w:rPr>
        <w:t>.</w:t>
      </w:r>
      <w:r w:rsidR="009926E7" w:rsidRPr="00B63BD5">
        <w:rPr>
          <w:lang w:val="fr-CA"/>
        </w:rPr>
        <w:t>]</w:t>
      </w:r>
    </w:p>
    <w:p w14:paraId="49B5F7FB" w14:textId="7ADC4405" w:rsidR="009926E7" w:rsidRPr="00B63BD5" w:rsidRDefault="00B6688C" w:rsidP="00632863">
      <w:pPr>
        <w:pStyle w:val="Heading3"/>
        <w:keepNext w:val="0"/>
        <w:widowControl w:val="0"/>
        <w:numPr>
          <w:ilvl w:val="2"/>
          <w:numId w:val="1"/>
        </w:numPr>
        <w:tabs>
          <w:tab w:val="clear" w:pos="851"/>
          <w:tab w:val="clear" w:pos="1440"/>
        </w:tabs>
        <w:ind w:firstLine="0"/>
        <w:jc w:val="both"/>
      </w:pPr>
      <w:r w:rsidRPr="00B63BD5">
        <w:t>Disponibilité</w:t>
      </w:r>
    </w:p>
    <w:p w14:paraId="64F73DB6" w14:textId="104E9BC3" w:rsidR="009926E7" w:rsidRPr="00B63BD5" w:rsidRDefault="00B6688C" w:rsidP="00632863">
      <w:pPr>
        <w:keepNext/>
        <w:spacing w:after="240"/>
        <w:jc w:val="both"/>
        <w:rPr>
          <w:lang w:val="fr-CA"/>
        </w:rPr>
      </w:pPr>
      <w:r w:rsidRPr="00B63BD5">
        <w:rPr>
          <w:lang w:val="fr-CA"/>
        </w:rPr>
        <w:t>L</w:t>
      </w:r>
      <w:r w:rsidR="00D4379C" w:rsidRPr="00B63BD5">
        <w:rPr>
          <w:lang w:val="fr-CA"/>
        </w:rPr>
        <w:t xml:space="preserve">a Facilité de prêt relative aux </w:t>
      </w:r>
      <w:r w:rsidR="005A40D7" w:rsidRPr="00B63BD5">
        <w:rPr>
          <w:lang w:val="fr-CA"/>
        </w:rPr>
        <w:t xml:space="preserve">immobilisations </w:t>
      </w:r>
      <w:r w:rsidR="002A566D" w:rsidRPr="00B63BD5">
        <w:rPr>
          <w:lang w:val="fr-CA"/>
        </w:rPr>
        <w:t>[</w:t>
      </w:r>
      <w:r w:rsidR="00AD6A2A" w:rsidRPr="00B63BD5">
        <w:rPr>
          <w:lang w:val="fr-CA"/>
        </w:rPr>
        <w:t xml:space="preserve">est disponible </w:t>
      </w:r>
      <w:r w:rsidR="006142A3" w:rsidRPr="00B63BD5">
        <w:rPr>
          <w:lang w:val="fr-CA"/>
        </w:rPr>
        <w:t xml:space="preserve">en </w:t>
      </w:r>
      <w:r w:rsidR="008E429F" w:rsidRPr="00B63BD5">
        <w:rPr>
          <w:lang w:val="fr-CA"/>
        </w:rPr>
        <w:t xml:space="preserve">une seule </w:t>
      </w:r>
      <w:r w:rsidR="005A40D7" w:rsidRPr="00B63BD5">
        <w:rPr>
          <w:lang w:val="fr-CA"/>
        </w:rPr>
        <w:t>av</w:t>
      </w:r>
      <w:r w:rsidR="00A67C26" w:rsidRPr="00B63BD5">
        <w:rPr>
          <w:lang w:val="fr-CA"/>
        </w:rPr>
        <w:t>ance</w:t>
      </w:r>
      <w:r w:rsidR="00D4379C" w:rsidRPr="00B63BD5">
        <w:rPr>
          <w:lang w:val="fr-CA"/>
        </w:rPr>
        <w:t xml:space="preserve"> </w:t>
      </w:r>
      <w:r w:rsidR="001934B0" w:rsidRPr="00B63BD5">
        <w:rPr>
          <w:rStyle w:val="Prompt"/>
          <w:b/>
          <w:color w:val="00B0F0"/>
          <w:highlight w:val="yellow"/>
          <w:lang w:val="fr-CA"/>
        </w:rPr>
        <w:t>OU</w:t>
      </w:r>
      <w:r w:rsidR="00AC4107" w:rsidRPr="00B63BD5">
        <w:rPr>
          <w:rStyle w:val="Prompt"/>
          <w:color w:val="auto"/>
          <w:lang w:val="fr-CA"/>
        </w:rPr>
        <w:t xml:space="preserve"> </w:t>
      </w:r>
      <w:r w:rsidR="00A67C26" w:rsidRPr="00B63BD5">
        <w:rPr>
          <w:rStyle w:val="Prompt"/>
          <w:color w:val="auto"/>
          <w:lang w:val="fr-CA"/>
        </w:rPr>
        <w:t>e</w:t>
      </w:r>
      <w:r w:rsidR="00D4379C" w:rsidRPr="00B63BD5">
        <w:rPr>
          <w:lang w:val="fr-CA"/>
        </w:rPr>
        <w:t>n plusieurs avances</w:t>
      </w:r>
      <w:r w:rsidR="00D4379C" w:rsidRPr="00B63BD5">
        <w:rPr>
          <w:b/>
          <w:lang w:val="fr-CA"/>
        </w:rPr>
        <w:t xml:space="preserve"> </w:t>
      </w:r>
      <w:r w:rsidR="00D4379C" w:rsidRPr="00B63BD5">
        <w:rPr>
          <w:lang w:val="fr-CA"/>
        </w:rPr>
        <w:t>d</w:t>
      </w:r>
      <w:r w:rsidR="00564B0C" w:rsidRPr="00B63BD5">
        <w:rPr>
          <w:lang w:val="fr-CA"/>
        </w:rPr>
        <w:t>’</w:t>
      </w:r>
      <w:r w:rsidR="00D4379C" w:rsidRPr="00B63BD5">
        <w:rPr>
          <w:lang w:val="fr-CA"/>
        </w:rPr>
        <w:t xml:space="preserve">un </w:t>
      </w:r>
      <w:r w:rsidR="00AD6A2A" w:rsidRPr="00B63BD5">
        <w:rPr>
          <w:lang w:val="fr-CA"/>
        </w:rPr>
        <w:t xml:space="preserve">montant en </w:t>
      </w:r>
      <w:r w:rsidR="00D4379C" w:rsidRPr="00B63BD5">
        <w:rPr>
          <w:lang w:val="fr-CA"/>
        </w:rPr>
        <w:t xml:space="preserve">capital minimal de </w:t>
      </w:r>
      <w:r w:rsidR="009F6E69" w:rsidRPr="00B63BD5">
        <w:rPr>
          <w:lang w:val="fr-CA"/>
        </w:rPr>
        <w:t>[●</w:t>
      </w:r>
      <w:r w:rsidR="00AB0594" w:rsidRPr="00B63BD5">
        <w:rPr>
          <w:lang w:val="fr-CA"/>
        </w:rPr>
        <w:t> </w:t>
      </w:r>
      <w:r w:rsidR="009F6E69" w:rsidRPr="00B63BD5">
        <w:rPr>
          <w:lang w:val="fr-CA"/>
        </w:rPr>
        <w:t>$</w:t>
      </w:r>
      <w:r w:rsidR="00AC4107" w:rsidRPr="00B63BD5">
        <w:rPr>
          <w:lang w:val="fr-CA"/>
        </w:rPr>
        <w:t xml:space="preserve"> </w:t>
      </w:r>
      <w:r w:rsidR="009F6E69" w:rsidRPr="00B63BD5">
        <w:rPr>
          <w:lang w:val="fr-CA"/>
        </w:rPr>
        <w:t xml:space="preserve">CA </w:t>
      </w:r>
      <w:r w:rsidR="00A67C26" w:rsidRPr="00B63BD5">
        <w:rPr>
          <w:rStyle w:val="Prompt"/>
          <w:b/>
          <w:color w:val="00B0F0"/>
          <w:highlight w:val="yellow"/>
          <w:lang w:val="fr-CA"/>
        </w:rPr>
        <w:t>OU</w:t>
      </w:r>
      <w:r w:rsidR="00AC4107" w:rsidRPr="00B63BD5">
        <w:rPr>
          <w:rStyle w:val="Prompt"/>
          <w:color w:val="auto"/>
          <w:lang w:val="fr-CA"/>
        </w:rPr>
        <w:t xml:space="preserve"> </w:t>
      </w:r>
      <w:r w:rsidR="009F6E69" w:rsidRPr="00B63BD5">
        <w:rPr>
          <w:lang w:val="fr-CA"/>
        </w:rPr>
        <w:t>●</w:t>
      </w:r>
      <w:r w:rsidR="00AB0594" w:rsidRPr="00B63BD5">
        <w:rPr>
          <w:lang w:val="fr-CA"/>
        </w:rPr>
        <w:t> </w:t>
      </w:r>
      <w:r w:rsidR="009F6E69" w:rsidRPr="00B63BD5">
        <w:rPr>
          <w:lang w:val="fr-CA"/>
        </w:rPr>
        <w:t>$</w:t>
      </w:r>
      <w:r w:rsidR="00AC4107" w:rsidRPr="00B63BD5">
        <w:rPr>
          <w:lang w:val="fr-CA"/>
        </w:rPr>
        <w:t xml:space="preserve"> </w:t>
      </w:r>
      <w:r w:rsidR="009F6E69" w:rsidRPr="00B63BD5">
        <w:rPr>
          <w:lang w:val="fr-CA"/>
        </w:rPr>
        <w:t>US]</w:t>
      </w:r>
      <w:r w:rsidR="005A40D7" w:rsidRPr="00B63BD5">
        <w:rPr>
          <w:lang w:val="fr-CA"/>
        </w:rPr>
        <w:t xml:space="preserve"> </w:t>
      </w:r>
      <w:r w:rsidR="00052CB0" w:rsidRPr="00B63BD5">
        <w:rPr>
          <w:lang w:val="fr-CA"/>
        </w:rPr>
        <w:t xml:space="preserve">que </w:t>
      </w:r>
      <w:r w:rsidR="005A40D7" w:rsidRPr="00B63BD5">
        <w:rPr>
          <w:lang w:val="fr-CA"/>
        </w:rPr>
        <w:t>l</w:t>
      </w:r>
      <w:r w:rsidR="00564B0C" w:rsidRPr="00B63BD5">
        <w:rPr>
          <w:lang w:val="fr-CA"/>
        </w:rPr>
        <w:t>’</w:t>
      </w:r>
      <w:r w:rsidR="005A40D7" w:rsidRPr="00B63BD5">
        <w:rPr>
          <w:lang w:val="fr-CA"/>
        </w:rPr>
        <w:t xml:space="preserve">Emprunteur </w:t>
      </w:r>
      <w:r w:rsidR="00052CB0" w:rsidRPr="00B63BD5">
        <w:rPr>
          <w:lang w:val="fr-CA"/>
        </w:rPr>
        <w:t>doit demander en</w:t>
      </w:r>
      <w:r w:rsidR="008E1EED" w:rsidRPr="00B63BD5">
        <w:rPr>
          <w:lang w:val="fr-CA"/>
        </w:rPr>
        <w:t> </w:t>
      </w:r>
      <w:r w:rsidR="00D22D70" w:rsidRPr="00B63BD5">
        <w:rPr>
          <w:lang w:val="fr-CA"/>
        </w:rPr>
        <w:t>donnant un Avis</w:t>
      </w:r>
      <w:r w:rsidR="00363F9D" w:rsidRPr="00B63BD5">
        <w:rPr>
          <w:lang w:val="fr-CA"/>
        </w:rPr>
        <w:t> </w:t>
      </w:r>
      <w:r w:rsidR="00D22D70" w:rsidRPr="00B63BD5">
        <w:rPr>
          <w:lang w:val="fr-CA"/>
        </w:rPr>
        <w:t xml:space="preserve">requis à la Banque] </w:t>
      </w:r>
      <w:r w:rsidR="00D22D70" w:rsidRPr="00B63BD5">
        <w:rPr>
          <w:rStyle w:val="Prompt"/>
          <w:b/>
          <w:color w:val="00B0F0"/>
          <w:highlight w:val="yellow"/>
          <w:lang w:val="fr-CA"/>
        </w:rPr>
        <w:t>OU</w:t>
      </w:r>
      <w:r w:rsidR="00AC4107" w:rsidRPr="00B63BD5">
        <w:rPr>
          <w:rStyle w:val="Prompt"/>
          <w:color w:val="auto"/>
          <w:lang w:val="fr-CA"/>
        </w:rPr>
        <w:t xml:space="preserve"> </w:t>
      </w:r>
      <w:r w:rsidR="00D22D70" w:rsidRPr="00B63BD5">
        <w:rPr>
          <w:lang w:val="fr-CA"/>
        </w:rPr>
        <w:t>a</w:t>
      </w:r>
      <w:r w:rsidR="00AC4107" w:rsidRPr="00B63BD5">
        <w:rPr>
          <w:lang w:val="fr-CA"/>
        </w:rPr>
        <w:t xml:space="preserve"> </w:t>
      </w:r>
      <w:r w:rsidR="00D22D70" w:rsidRPr="00B63BD5">
        <w:rPr>
          <w:lang w:val="fr-CA"/>
        </w:rPr>
        <w:t>été avancée à l</w:t>
      </w:r>
      <w:r w:rsidR="00564B0C" w:rsidRPr="00B63BD5">
        <w:rPr>
          <w:lang w:val="fr-CA"/>
        </w:rPr>
        <w:t>’</w:t>
      </w:r>
      <w:r w:rsidR="00D22D70" w:rsidRPr="00B63BD5">
        <w:rPr>
          <w:lang w:val="fr-CA"/>
        </w:rPr>
        <w:t>Emprunteur] sous l</w:t>
      </w:r>
      <w:r w:rsidR="00564B0C" w:rsidRPr="00B63BD5">
        <w:rPr>
          <w:lang w:val="fr-CA"/>
        </w:rPr>
        <w:t>’</w:t>
      </w:r>
      <w:r w:rsidR="00D22D70" w:rsidRPr="00B63BD5">
        <w:rPr>
          <w:lang w:val="fr-CA"/>
        </w:rPr>
        <w:t>une ou l</w:t>
      </w:r>
      <w:r w:rsidR="00564B0C" w:rsidRPr="00B63BD5">
        <w:rPr>
          <w:lang w:val="fr-CA"/>
        </w:rPr>
        <w:t>’</w:t>
      </w:r>
      <w:r w:rsidR="00D22D70" w:rsidRPr="00B63BD5">
        <w:rPr>
          <w:lang w:val="fr-CA"/>
        </w:rPr>
        <w:t>autre des</w:t>
      </w:r>
      <w:r w:rsidR="008E1EED" w:rsidRPr="00B63BD5">
        <w:rPr>
          <w:lang w:val="fr-CA"/>
        </w:rPr>
        <w:t> </w:t>
      </w:r>
      <w:r w:rsidR="00D22D70" w:rsidRPr="00B63BD5">
        <w:rPr>
          <w:lang w:val="fr-CA"/>
        </w:rPr>
        <w:t>formes</w:t>
      </w:r>
      <w:r w:rsidR="008E1EED" w:rsidRPr="00B63BD5">
        <w:rPr>
          <w:lang w:val="fr-CA"/>
        </w:rPr>
        <w:t> </w:t>
      </w:r>
      <w:r w:rsidR="00D22D70" w:rsidRPr="00B63BD5">
        <w:rPr>
          <w:lang w:val="fr-CA"/>
        </w:rPr>
        <w:t>suivantes</w:t>
      </w:r>
      <w:r w:rsidR="00AC4107" w:rsidRPr="00B63BD5">
        <w:rPr>
          <w:lang w:val="fr-CA"/>
        </w:rPr>
        <w:t xml:space="preserve"> </w:t>
      </w:r>
      <w:r w:rsidR="00D22D70" w:rsidRPr="00B63BD5">
        <w:rPr>
          <w:lang w:val="fr-CA"/>
        </w:rPr>
        <w:t>:</w:t>
      </w:r>
    </w:p>
    <w:p w14:paraId="7C074DAC" w14:textId="6AED181E" w:rsidR="009926E7" w:rsidRPr="000B7739" w:rsidRDefault="00682477" w:rsidP="000B7739">
      <w:pPr>
        <w:pStyle w:val="04LOLglNew3"/>
        <w:numPr>
          <w:ilvl w:val="2"/>
          <w:numId w:val="24"/>
        </w:numPr>
        <w:rPr>
          <w:lang w:val="fr-CA"/>
        </w:rPr>
      </w:pPr>
      <w:r w:rsidRPr="000B7739">
        <w:rPr>
          <w:lang w:val="fr-CA"/>
        </w:rPr>
        <w:t>une avance en D</w:t>
      </w:r>
      <w:r w:rsidR="005A40D7" w:rsidRPr="000B7739">
        <w:rPr>
          <w:lang w:val="fr-CA"/>
        </w:rPr>
        <w:t>ollars canadiens</w:t>
      </w:r>
      <w:r w:rsidR="00AD6A2A" w:rsidRPr="000B7739">
        <w:rPr>
          <w:lang w:val="fr-CA"/>
        </w:rPr>
        <w:t xml:space="preserve"> établie en fonction du</w:t>
      </w:r>
      <w:r w:rsidR="005A40D7" w:rsidRPr="000B7739">
        <w:rPr>
          <w:lang w:val="fr-CA"/>
        </w:rPr>
        <w:t xml:space="preserve"> Taux préférentiel de la Banque (</w:t>
      </w:r>
      <w:r w:rsidR="00AD6A2A" w:rsidRPr="000B7739">
        <w:rPr>
          <w:lang w:val="fr-CA"/>
        </w:rPr>
        <w:t>un</w:t>
      </w:r>
      <w:r w:rsidR="008E1EED" w:rsidRPr="000B7739">
        <w:rPr>
          <w:lang w:val="fr-CA"/>
        </w:rPr>
        <w:t> </w:t>
      </w:r>
      <w:r w:rsidR="005A40D7" w:rsidRPr="000B7739">
        <w:rPr>
          <w:lang w:val="fr-CA"/>
        </w:rPr>
        <w:t>«</w:t>
      </w:r>
      <w:r w:rsidR="0094743F" w:rsidRPr="000B7739">
        <w:rPr>
          <w:lang w:val="fr-CA"/>
        </w:rPr>
        <w:t> </w:t>
      </w:r>
      <w:r w:rsidR="002A566D" w:rsidRPr="000B7739">
        <w:rPr>
          <w:b/>
          <w:lang w:val="fr-CA"/>
        </w:rPr>
        <w:t>Prêt</w:t>
      </w:r>
      <w:r w:rsidR="00AB0594" w:rsidRPr="000B7739">
        <w:rPr>
          <w:b/>
          <w:lang w:val="fr-CA"/>
        </w:rPr>
        <w:t xml:space="preserve"> </w:t>
      </w:r>
      <w:r w:rsidR="002A566D" w:rsidRPr="000B7739">
        <w:rPr>
          <w:b/>
          <w:lang w:val="fr-CA"/>
        </w:rPr>
        <w:t>à</w:t>
      </w:r>
      <w:r w:rsidR="00AB0594" w:rsidRPr="000B7739">
        <w:rPr>
          <w:b/>
          <w:lang w:val="fr-CA"/>
        </w:rPr>
        <w:t xml:space="preserve"> </w:t>
      </w:r>
      <w:r w:rsidR="002A566D" w:rsidRPr="000B7739">
        <w:rPr>
          <w:b/>
          <w:lang w:val="fr-CA"/>
        </w:rPr>
        <w:t>taux préférentiel en dollars canadiens</w:t>
      </w:r>
      <w:r w:rsidR="0094743F" w:rsidRPr="000B7739">
        <w:rPr>
          <w:lang w:val="fr-CA"/>
        </w:rPr>
        <w:t> </w:t>
      </w:r>
      <w:r w:rsidR="005A40D7" w:rsidRPr="000B7739">
        <w:rPr>
          <w:lang w:val="fr-CA"/>
        </w:rPr>
        <w:t>»);</w:t>
      </w:r>
    </w:p>
    <w:p w14:paraId="3F3BC887" w14:textId="6F010772" w:rsidR="001F4976" w:rsidRPr="00B63BD5" w:rsidRDefault="00682477" w:rsidP="000B7739">
      <w:pPr>
        <w:pStyle w:val="04LOLglNew3"/>
        <w:rPr>
          <w:lang w:val="fr-CA"/>
        </w:rPr>
      </w:pPr>
      <w:r w:rsidRPr="00B63BD5">
        <w:rPr>
          <w:lang w:val="fr-CA"/>
        </w:rPr>
        <w:t>une avance en D</w:t>
      </w:r>
      <w:r w:rsidR="00FC5D1C" w:rsidRPr="00B63BD5">
        <w:rPr>
          <w:lang w:val="fr-CA"/>
        </w:rPr>
        <w:t xml:space="preserve">ollars américains </w:t>
      </w:r>
      <w:r w:rsidR="00AD6A2A" w:rsidRPr="00B63BD5">
        <w:rPr>
          <w:lang w:val="fr-CA"/>
        </w:rPr>
        <w:t>établie en fonction du</w:t>
      </w:r>
      <w:r w:rsidR="00FC5D1C" w:rsidRPr="00B63BD5">
        <w:rPr>
          <w:lang w:val="fr-CA"/>
        </w:rPr>
        <w:t xml:space="preserve"> Taux de base américain de la Banque (</w:t>
      </w:r>
      <w:r w:rsidR="00AD6A2A" w:rsidRPr="00B63BD5">
        <w:rPr>
          <w:lang w:val="fr-CA"/>
        </w:rPr>
        <w:t>un</w:t>
      </w:r>
      <w:r w:rsidR="008E1EED" w:rsidRPr="00B63BD5">
        <w:rPr>
          <w:lang w:val="fr-CA"/>
        </w:rPr>
        <w:t> </w:t>
      </w:r>
      <w:r w:rsidR="00FC5D1C" w:rsidRPr="00B63BD5">
        <w:rPr>
          <w:lang w:val="fr-CA"/>
        </w:rPr>
        <w:t>«</w:t>
      </w:r>
      <w:r w:rsidR="0094743F" w:rsidRPr="00B63BD5">
        <w:rPr>
          <w:lang w:val="fr-CA"/>
        </w:rPr>
        <w:t> </w:t>
      </w:r>
      <w:r w:rsidR="002A566D" w:rsidRPr="00B63BD5">
        <w:rPr>
          <w:b/>
          <w:lang w:val="fr-CA"/>
        </w:rPr>
        <w:t xml:space="preserve">Prêt </w:t>
      </w:r>
      <w:r w:rsidR="00974DA6">
        <w:rPr>
          <w:b/>
          <w:lang w:val="fr-CA"/>
        </w:rPr>
        <w:t>au taux de base</w:t>
      </w:r>
      <w:r w:rsidR="0022235A">
        <w:rPr>
          <w:b/>
          <w:lang w:val="fr-CA"/>
        </w:rPr>
        <w:t xml:space="preserve"> </w:t>
      </w:r>
      <w:r w:rsidR="002A566D" w:rsidRPr="00B63BD5">
        <w:rPr>
          <w:b/>
          <w:lang w:val="fr-CA"/>
        </w:rPr>
        <w:t>américain</w:t>
      </w:r>
      <w:r w:rsidR="0094743F" w:rsidRPr="00B63BD5">
        <w:rPr>
          <w:lang w:val="fr-CA"/>
        </w:rPr>
        <w:t> </w:t>
      </w:r>
      <w:r w:rsidR="00FC5D1C" w:rsidRPr="00B63BD5">
        <w:rPr>
          <w:lang w:val="fr-CA"/>
        </w:rPr>
        <w:t>»);</w:t>
      </w:r>
    </w:p>
    <w:p w14:paraId="7388C56C" w14:textId="497C48C2" w:rsidR="001F4976" w:rsidRPr="00B63BD5" w:rsidRDefault="00FC5D1C" w:rsidP="000B7739">
      <w:pPr>
        <w:pStyle w:val="04LOLglNew3"/>
        <w:rPr>
          <w:lang w:val="fr-CA"/>
        </w:rPr>
      </w:pPr>
      <w:r w:rsidRPr="00B63BD5">
        <w:rPr>
          <w:lang w:val="fr-CA"/>
        </w:rPr>
        <w:t xml:space="preserve">une avance en </w:t>
      </w:r>
      <w:r w:rsidR="00682477" w:rsidRPr="00B63BD5">
        <w:rPr>
          <w:lang w:val="fr-CA"/>
        </w:rPr>
        <w:t>D</w:t>
      </w:r>
      <w:r w:rsidRPr="00B63BD5">
        <w:rPr>
          <w:lang w:val="fr-CA"/>
        </w:rPr>
        <w:t>ollars canadiens au Taux fixe en dollars canadiens de la Banque</w:t>
      </w:r>
      <w:r w:rsidR="00830777" w:rsidRPr="00B63BD5">
        <w:rPr>
          <w:lang w:val="fr-CA"/>
        </w:rPr>
        <w:t>,</w:t>
      </w:r>
      <w:r w:rsidR="00D4379C" w:rsidRPr="00B63BD5">
        <w:rPr>
          <w:lang w:val="fr-CA"/>
        </w:rPr>
        <w:t xml:space="preserve"> au taux et</w:t>
      </w:r>
      <w:r w:rsidR="008E1EED" w:rsidRPr="00B63BD5">
        <w:rPr>
          <w:lang w:val="fr-CA"/>
        </w:rPr>
        <w:t> </w:t>
      </w:r>
      <w:r w:rsidR="00D4379C" w:rsidRPr="00B63BD5">
        <w:rPr>
          <w:lang w:val="fr-CA"/>
        </w:rPr>
        <w:t>pour</w:t>
      </w:r>
      <w:r w:rsidR="008E1EED" w:rsidRPr="00B63BD5">
        <w:rPr>
          <w:lang w:val="fr-CA"/>
        </w:rPr>
        <w:t> </w:t>
      </w:r>
      <w:r w:rsidR="00D4379C" w:rsidRPr="00B63BD5">
        <w:rPr>
          <w:lang w:val="fr-CA"/>
        </w:rPr>
        <w:t xml:space="preserve">la période </w:t>
      </w:r>
      <w:r w:rsidR="00830777" w:rsidRPr="00B63BD5">
        <w:rPr>
          <w:lang w:val="fr-CA"/>
        </w:rPr>
        <w:t>stipulés</w:t>
      </w:r>
      <w:r w:rsidR="00D4379C" w:rsidRPr="00B63BD5">
        <w:rPr>
          <w:lang w:val="fr-CA"/>
        </w:rPr>
        <w:t xml:space="preserve"> par la Banque</w:t>
      </w:r>
      <w:r w:rsidRPr="00B63BD5">
        <w:rPr>
          <w:lang w:val="fr-CA"/>
        </w:rPr>
        <w:t xml:space="preserve"> (le</w:t>
      </w:r>
      <w:r w:rsidR="00AC4107" w:rsidRPr="00B63BD5">
        <w:rPr>
          <w:lang w:val="fr-CA"/>
        </w:rPr>
        <w:t xml:space="preserve"> </w:t>
      </w:r>
      <w:r w:rsidRPr="00B63BD5">
        <w:rPr>
          <w:lang w:val="fr-CA"/>
        </w:rPr>
        <w:t>«</w:t>
      </w:r>
      <w:r w:rsidR="0094743F" w:rsidRPr="00B63BD5">
        <w:rPr>
          <w:lang w:val="fr-CA"/>
        </w:rPr>
        <w:t> </w:t>
      </w:r>
      <w:r w:rsidR="002A566D" w:rsidRPr="00B63BD5">
        <w:rPr>
          <w:b/>
          <w:lang w:val="fr-CA"/>
        </w:rPr>
        <w:t>Prêt à taux fixe en dollars canadiens</w:t>
      </w:r>
      <w:r w:rsidR="0094743F" w:rsidRPr="00B63BD5">
        <w:rPr>
          <w:lang w:val="fr-CA"/>
        </w:rPr>
        <w:t> </w:t>
      </w:r>
      <w:r w:rsidRPr="00B63BD5">
        <w:rPr>
          <w:lang w:val="fr-CA"/>
        </w:rPr>
        <w:t>»);</w:t>
      </w:r>
      <w:r w:rsidR="004915E8" w:rsidRPr="00B63BD5">
        <w:rPr>
          <w:lang w:val="fr-CA"/>
        </w:rPr>
        <w:t xml:space="preserve"> </w:t>
      </w:r>
    </w:p>
    <w:p w14:paraId="51920C1F" w14:textId="30448A9E" w:rsidR="00CA5A2D" w:rsidRPr="00B63BD5" w:rsidRDefault="00682477" w:rsidP="000B7739">
      <w:pPr>
        <w:pStyle w:val="04LOLglNew3"/>
        <w:rPr>
          <w:lang w:val="fr-CA"/>
        </w:rPr>
      </w:pPr>
      <w:r w:rsidRPr="00B63BD5">
        <w:rPr>
          <w:lang w:val="fr-CA"/>
        </w:rPr>
        <w:t>une avance en D</w:t>
      </w:r>
      <w:r w:rsidR="00FC5D1C" w:rsidRPr="00B63BD5">
        <w:rPr>
          <w:lang w:val="fr-CA"/>
        </w:rPr>
        <w:t>ollars américains</w:t>
      </w:r>
      <w:r w:rsidR="00AD6A2A" w:rsidRPr="00B63BD5">
        <w:rPr>
          <w:lang w:val="fr-CA"/>
        </w:rPr>
        <w:t xml:space="preserve"> établie en fonction du</w:t>
      </w:r>
      <w:r w:rsidR="00FC5D1C" w:rsidRPr="00B63BD5">
        <w:rPr>
          <w:lang w:val="fr-CA"/>
        </w:rPr>
        <w:t xml:space="preserve"> Taux fixe en dollars américain</w:t>
      </w:r>
      <w:r w:rsidR="001A2D99" w:rsidRPr="00B63BD5">
        <w:rPr>
          <w:lang w:val="fr-CA"/>
        </w:rPr>
        <w:t>s</w:t>
      </w:r>
      <w:r w:rsidR="008E1EED" w:rsidRPr="00B63BD5">
        <w:rPr>
          <w:lang w:val="fr-CA"/>
        </w:rPr>
        <w:t> </w:t>
      </w:r>
      <w:r w:rsidR="00FC5D1C" w:rsidRPr="00B63BD5">
        <w:rPr>
          <w:lang w:val="fr-CA"/>
        </w:rPr>
        <w:t>de</w:t>
      </w:r>
      <w:r w:rsidR="008E1EED" w:rsidRPr="00B63BD5">
        <w:rPr>
          <w:lang w:val="fr-CA"/>
        </w:rPr>
        <w:t> </w:t>
      </w:r>
      <w:r w:rsidR="00FC5D1C" w:rsidRPr="00B63BD5">
        <w:rPr>
          <w:lang w:val="fr-CA"/>
        </w:rPr>
        <w:t>la</w:t>
      </w:r>
      <w:r w:rsidR="008E1EED" w:rsidRPr="00B63BD5">
        <w:rPr>
          <w:lang w:val="fr-CA"/>
        </w:rPr>
        <w:t> </w:t>
      </w:r>
      <w:r w:rsidR="00FC5D1C" w:rsidRPr="00B63BD5">
        <w:rPr>
          <w:lang w:val="fr-CA"/>
        </w:rPr>
        <w:t>Banque</w:t>
      </w:r>
      <w:r w:rsidR="00830777" w:rsidRPr="00B63BD5">
        <w:rPr>
          <w:lang w:val="fr-CA"/>
        </w:rPr>
        <w:t>,</w:t>
      </w:r>
      <w:r w:rsidR="00D4379C" w:rsidRPr="00B63BD5">
        <w:rPr>
          <w:lang w:val="fr-CA"/>
        </w:rPr>
        <w:t xml:space="preserve"> au taux et pour la période </w:t>
      </w:r>
      <w:r w:rsidR="00830777" w:rsidRPr="00B63BD5">
        <w:rPr>
          <w:lang w:val="fr-CA"/>
        </w:rPr>
        <w:t>stipulés</w:t>
      </w:r>
      <w:r w:rsidR="00D4379C" w:rsidRPr="00B63BD5">
        <w:rPr>
          <w:lang w:val="fr-CA"/>
        </w:rPr>
        <w:t xml:space="preserve"> par la Banque</w:t>
      </w:r>
      <w:r w:rsidR="00FC5D1C" w:rsidRPr="00B63BD5">
        <w:rPr>
          <w:lang w:val="fr-CA"/>
        </w:rPr>
        <w:t xml:space="preserve"> (</w:t>
      </w:r>
      <w:r w:rsidR="00AD6A2A" w:rsidRPr="00B63BD5">
        <w:rPr>
          <w:lang w:val="fr-CA"/>
        </w:rPr>
        <w:t xml:space="preserve">un </w:t>
      </w:r>
      <w:r w:rsidR="00FC5D1C" w:rsidRPr="00B63BD5">
        <w:rPr>
          <w:lang w:val="fr-CA"/>
        </w:rPr>
        <w:t>«</w:t>
      </w:r>
      <w:r w:rsidR="0094743F" w:rsidRPr="00B63BD5">
        <w:rPr>
          <w:lang w:val="fr-CA"/>
        </w:rPr>
        <w:t> </w:t>
      </w:r>
      <w:r w:rsidR="002A566D" w:rsidRPr="00B63BD5">
        <w:rPr>
          <w:b/>
          <w:lang w:val="fr-CA"/>
        </w:rPr>
        <w:t>Prêt à taux fixe en dollars américains</w:t>
      </w:r>
      <w:r w:rsidR="0094743F" w:rsidRPr="00B63BD5">
        <w:rPr>
          <w:lang w:val="fr-CA"/>
        </w:rPr>
        <w:t> </w:t>
      </w:r>
      <w:r w:rsidR="00FC5D1C" w:rsidRPr="00B63BD5">
        <w:rPr>
          <w:lang w:val="fr-CA"/>
        </w:rPr>
        <w:t xml:space="preserve">»); </w:t>
      </w:r>
    </w:p>
    <w:p w14:paraId="484DC89C" w14:textId="1A135C1A" w:rsidR="00FA259C" w:rsidRPr="0022235A" w:rsidRDefault="00FA259C" w:rsidP="0022235A">
      <w:pPr>
        <w:pStyle w:val="04LOLglNew3"/>
        <w:rPr>
          <w:lang w:val="fr-CA"/>
        </w:rPr>
      </w:pPr>
      <w:r w:rsidRPr="0022235A">
        <w:rPr>
          <w:lang w:val="fr-CA"/>
        </w:rPr>
        <w:t xml:space="preserve">des avances en Dollars américains sur le Prêt au taux SOFR </w:t>
      </w:r>
      <w:r w:rsidR="00CE7E8C" w:rsidRPr="0022235A">
        <w:rPr>
          <w:lang w:val="fr-CA"/>
        </w:rPr>
        <w:t xml:space="preserve">à terme </w:t>
      </w:r>
      <w:r w:rsidRPr="0022235A">
        <w:rPr>
          <w:lang w:val="fr-CA"/>
        </w:rPr>
        <w:t>jusqu</w:t>
      </w:r>
      <w:r w:rsidR="00564B0C" w:rsidRPr="0022235A">
        <w:rPr>
          <w:lang w:val="fr-CA"/>
        </w:rPr>
        <w:t>’</w:t>
      </w:r>
      <w:r w:rsidRPr="0022235A">
        <w:rPr>
          <w:lang w:val="fr-CA"/>
        </w:rPr>
        <w:t>à un montant en capital global n</w:t>
      </w:r>
      <w:r w:rsidR="00564B0C" w:rsidRPr="0022235A">
        <w:rPr>
          <w:lang w:val="fr-CA"/>
        </w:rPr>
        <w:t>’</w:t>
      </w:r>
      <w:r w:rsidRPr="0022235A">
        <w:rPr>
          <w:lang w:val="fr-CA"/>
        </w:rPr>
        <w:t>excédant pas l</w:t>
      </w:r>
      <w:r w:rsidR="00564B0C" w:rsidRPr="0022235A">
        <w:rPr>
          <w:lang w:val="fr-CA"/>
        </w:rPr>
        <w:t>’</w:t>
      </w:r>
      <w:r w:rsidRPr="0022235A">
        <w:rPr>
          <w:lang w:val="fr-CA"/>
        </w:rPr>
        <w:t>Équivalent en dollars américains de [</w:t>
      </w:r>
      <w:r w:rsidRPr="0022235A">
        <w:rPr>
          <w:lang w:val="fr-CA"/>
        </w:rPr>
        <w:sym w:font="Wingdings" w:char="F06C"/>
      </w:r>
      <w:r w:rsidRPr="0022235A">
        <w:rPr>
          <w:lang w:val="fr-CA"/>
        </w:rPr>
        <w:t>] $ CA, consenties sur demande moyennant la remise d</w:t>
      </w:r>
      <w:r w:rsidR="00564B0C" w:rsidRPr="0022235A">
        <w:rPr>
          <w:lang w:val="fr-CA"/>
        </w:rPr>
        <w:t>’</w:t>
      </w:r>
      <w:r w:rsidRPr="0022235A">
        <w:rPr>
          <w:lang w:val="fr-CA"/>
        </w:rPr>
        <w:t xml:space="preserve">un Avis requis, </w:t>
      </w:r>
      <w:r w:rsidR="00AB348F" w:rsidRPr="0022235A">
        <w:rPr>
          <w:lang w:val="fr-CA"/>
        </w:rPr>
        <w:t xml:space="preserve">sous réserve de la disponibilité, pendant une Période SOFR et </w:t>
      </w:r>
      <w:r w:rsidRPr="0022235A">
        <w:rPr>
          <w:lang w:val="fr-CA"/>
        </w:rPr>
        <w:t>sous réserve d</w:t>
      </w:r>
      <w:r w:rsidR="00564B0C" w:rsidRPr="0022235A">
        <w:rPr>
          <w:lang w:val="fr-CA"/>
        </w:rPr>
        <w:t>’</w:t>
      </w:r>
      <w:r w:rsidRPr="0022235A">
        <w:rPr>
          <w:lang w:val="fr-CA"/>
        </w:rPr>
        <w:t>une avance d</w:t>
      </w:r>
      <w:r w:rsidR="00564B0C" w:rsidRPr="0022235A">
        <w:rPr>
          <w:lang w:val="fr-CA"/>
        </w:rPr>
        <w:t>’</w:t>
      </w:r>
      <w:r w:rsidRPr="0022235A">
        <w:rPr>
          <w:lang w:val="fr-CA"/>
        </w:rPr>
        <w:t>un montant minimal de 500</w:t>
      </w:r>
      <w:r w:rsidR="00AB0594" w:rsidRPr="0022235A">
        <w:rPr>
          <w:lang w:val="fr-CA"/>
        </w:rPr>
        <w:t> </w:t>
      </w:r>
      <w:r w:rsidRPr="0022235A">
        <w:rPr>
          <w:lang w:val="fr-CA"/>
        </w:rPr>
        <w:t>000 $ US et, par la suite, de multiples de 100</w:t>
      </w:r>
      <w:r w:rsidR="00AB0594" w:rsidRPr="0022235A">
        <w:rPr>
          <w:lang w:val="fr-CA"/>
        </w:rPr>
        <w:t> </w:t>
      </w:r>
      <w:r w:rsidRPr="0022235A">
        <w:rPr>
          <w:lang w:val="fr-CA"/>
        </w:rPr>
        <w:t>000 $ US, sauf stipulation contraire de la Banque;</w:t>
      </w:r>
      <w:r w:rsidR="00564B0C" w:rsidRPr="0022235A">
        <w:rPr>
          <w:lang w:val="fr-CA"/>
        </w:rPr>
        <w:t xml:space="preserve"> </w:t>
      </w:r>
    </w:p>
    <w:p w14:paraId="0561BB22" w14:textId="5581DA3A" w:rsidR="00FA259C" w:rsidRPr="0022235A" w:rsidRDefault="00FA259C" w:rsidP="0022235A">
      <w:pPr>
        <w:pStyle w:val="04LOLglNew3"/>
        <w:rPr>
          <w:lang w:val="fr-CA"/>
        </w:rPr>
      </w:pPr>
      <w:r w:rsidRPr="0022235A">
        <w:rPr>
          <w:lang w:val="fr-CA"/>
        </w:rPr>
        <w:t>des avances en Dollars américains sur le Prêt au taux SOFR simple quotidien jusqu</w:t>
      </w:r>
      <w:r w:rsidR="00564B0C" w:rsidRPr="0022235A">
        <w:rPr>
          <w:lang w:val="fr-CA"/>
        </w:rPr>
        <w:t>’</w:t>
      </w:r>
      <w:r w:rsidRPr="0022235A">
        <w:rPr>
          <w:lang w:val="fr-CA"/>
        </w:rPr>
        <w:t>à un montant en capital global n</w:t>
      </w:r>
      <w:r w:rsidR="00564B0C" w:rsidRPr="0022235A">
        <w:rPr>
          <w:lang w:val="fr-CA"/>
        </w:rPr>
        <w:t>’</w:t>
      </w:r>
      <w:r w:rsidRPr="0022235A">
        <w:rPr>
          <w:lang w:val="fr-CA"/>
        </w:rPr>
        <w:t>excédant pas l</w:t>
      </w:r>
      <w:r w:rsidR="00564B0C" w:rsidRPr="0022235A">
        <w:rPr>
          <w:lang w:val="fr-CA"/>
        </w:rPr>
        <w:t>’</w:t>
      </w:r>
      <w:r w:rsidRPr="0022235A">
        <w:rPr>
          <w:lang w:val="fr-CA"/>
        </w:rPr>
        <w:t>Équivalent en dollars américains de [</w:t>
      </w:r>
      <w:r w:rsidRPr="0022235A">
        <w:rPr>
          <w:lang w:val="fr-CA"/>
        </w:rPr>
        <w:sym w:font="Wingdings" w:char="F06C"/>
      </w:r>
      <w:r w:rsidRPr="0022235A">
        <w:rPr>
          <w:lang w:val="fr-CA"/>
        </w:rPr>
        <w:t>] $ CA, consenties sur demande moyennant la remise d</w:t>
      </w:r>
      <w:r w:rsidR="00564B0C" w:rsidRPr="0022235A">
        <w:rPr>
          <w:lang w:val="fr-CA"/>
        </w:rPr>
        <w:t>’</w:t>
      </w:r>
      <w:r w:rsidRPr="0022235A">
        <w:rPr>
          <w:lang w:val="fr-CA"/>
        </w:rPr>
        <w:t>un Avis requis, sous réserve d</w:t>
      </w:r>
      <w:r w:rsidR="00564B0C" w:rsidRPr="0022235A">
        <w:rPr>
          <w:lang w:val="fr-CA"/>
        </w:rPr>
        <w:t>’</w:t>
      </w:r>
      <w:r w:rsidRPr="0022235A">
        <w:rPr>
          <w:lang w:val="fr-CA"/>
        </w:rPr>
        <w:t>une avance d</w:t>
      </w:r>
      <w:r w:rsidR="00564B0C" w:rsidRPr="0022235A">
        <w:rPr>
          <w:lang w:val="fr-CA"/>
        </w:rPr>
        <w:t>’</w:t>
      </w:r>
      <w:r w:rsidRPr="0022235A">
        <w:rPr>
          <w:lang w:val="fr-CA"/>
        </w:rPr>
        <w:t>un montant minimal de 500</w:t>
      </w:r>
      <w:r w:rsidR="002B6180" w:rsidRPr="0022235A">
        <w:rPr>
          <w:lang w:val="fr-CA"/>
        </w:rPr>
        <w:t> </w:t>
      </w:r>
      <w:r w:rsidRPr="0022235A">
        <w:rPr>
          <w:lang w:val="fr-CA"/>
        </w:rPr>
        <w:t>000 $</w:t>
      </w:r>
      <w:r w:rsidR="00604136" w:rsidRPr="0022235A">
        <w:rPr>
          <w:lang w:val="fr-CA"/>
        </w:rPr>
        <w:t> </w:t>
      </w:r>
      <w:r w:rsidRPr="0022235A">
        <w:rPr>
          <w:lang w:val="fr-CA"/>
        </w:rPr>
        <w:t>US et, par la suite, de multiples de 100</w:t>
      </w:r>
      <w:r w:rsidR="002B6180" w:rsidRPr="0022235A">
        <w:rPr>
          <w:lang w:val="fr-CA"/>
        </w:rPr>
        <w:t> </w:t>
      </w:r>
      <w:r w:rsidRPr="0022235A">
        <w:rPr>
          <w:lang w:val="fr-CA"/>
        </w:rPr>
        <w:t>000 $</w:t>
      </w:r>
      <w:r w:rsidR="00604136" w:rsidRPr="0022235A">
        <w:rPr>
          <w:lang w:val="fr-CA"/>
        </w:rPr>
        <w:t> </w:t>
      </w:r>
      <w:r w:rsidRPr="0022235A">
        <w:rPr>
          <w:lang w:val="fr-CA"/>
        </w:rPr>
        <w:t>US, sauf stipulation contraire de la Banque;</w:t>
      </w:r>
      <w:r w:rsidR="00564B0C" w:rsidRPr="0022235A">
        <w:rPr>
          <w:lang w:val="fr-CA"/>
        </w:rPr>
        <w:t xml:space="preserve"> </w:t>
      </w:r>
    </w:p>
    <w:p w14:paraId="609CE986" w14:textId="23A2DE03" w:rsidR="003B34B3" w:rsidRPr="00B63BD5" w:rsidRDefault="00601947" w:rsidP="000B7739">
      <w:pPr>
        <w:pStyle w:val="04LOLglNew3"/>
        <w:rPr>
          <w:lang w:val="fr-CA"/>
        </w:rPr>
      </w:pPr>
      <w:r w:rsidRPr="00B63BD5">
        <w:rPr>
          <w:lang w:val="fr-CA"/>
        </w:rPr>
        <w:t>des avances en Livres sterling sur le Prêt au taux SONIA jusqu</w:t>
      </w:r>
      <w:r w:rsidR="00564B0C" w:rsidRPr="00B63BD5">
        <w:rPr>
          <w:lang w:val="fr-CA"/>
        </w:rPr>
        <w:t>’</w:t>
      </w:r>
      <w:r w:rsidRPr="00B63BD5">
        <w:rPr>
          <w:lang w:val="fr-CA"/>
        </w:rPr>
        <w:t>à un montant en capital global n</w:t>
      </w:r>
      <w:r w:rsidR="00564B0C" w:rsidRPr="00B63BD5">
        <w:rPr>
          <w:lang w:val="fr-CA"/>
        </w:rPr>
        <w:t>’</w:t>
      </w:r>
      <w:r w:rsidRPr="00B63BD5">
        <w:rPr>
          <w:lang w:val="fr-CA"/>
        </w:rPr>
        <w:t>excédant pas [●</w:t>
      </w:r>
      <w:r w:rsidRPr="00B63BD5">
        <w:rPr>
          <w:rStyle w:val="Prompt"/>
          <w:color w:val="auto"/>
          <w:szCs w:val="20"/>
          <w:lang w:val="fr-CA"/>
        </w:rPr>
        <w:t>]</w:t>
      </w:r>
      <w:r w:rsidR="00AB0594" w:rsidRPr="00B63BD5">
        <w:rPr>
          <w:lang w:val="fr-CA"/>
        </w:rPr>
        <w:t> </w:t>
      </w:r>
      <w:r w:rsidRPr="00B63BD5">
        <w:rPr>
          <w:lang w:val="fr-CA"/>
        </w:rPr>
        <w:t xml:space="preserve">£ </w:t>
      </w:r>
      <w:r w:rsidRPr="00B63BD5">
        <w:rPr>
          <w:rStyle w:val="Prompt"/>
          <w:b/>
          <w:color w:val="00B0F0"/>
          <w:szCs w:val="20"/>
          <w:highlight w:val="yellow"/>
          <w:lang w:val="fr-CA"/>
        </w:rPr>
        <w:t>OU</w:t>
      </w:r>
      <w:r w:rsidRPr="00B63BD5">
        <w:rPr>
          <w:lang w:val="fr-CA"/>
        </w:rPr>
        <w:t xml:space="preserve"> </w:t>
      </w:r>
      <w:r w:rsidR="00574CF2" w:rsidRPr="00B63BD5">
        <w:rPr>
          <w:lang w:val="fr-CA"/>
        </w:rPr>
        <w:t>l’Équivalent</w:t>
      </w:r>
      <w:r w:rsidR="00574CF2" w:rsidRPr="00B63BD5">
        <w:rPr>
          <w:color w:val="000000"/>
          <w:lang w:val="fr-CA"/>
        </w:rPr>
        <w:t xml:space="preserve"> en </w:t>
      </w:r>
      <w:r w:rsidR="00574CF2" w:rsidRPr="00B63BD5">
        <w:rPr>
          <w:lang w:val="fr-CA"/>
        </w:rPr>
        <w:t>livres sterling</w:t>
      </w:r>
      <w:r w:rsidR="00574CF2" w:rsidRPr="00B63BD5">
        <w:rPr>
          <w:color w:val="000000"/>
          <w:lang w:val="fr-CA"/>
        </w:rPr>
        <w:t xml:space="preserve"> de [</w:t>
      </w:r>
      <w:r w:rsidR="00574CF2" w:rsidRPr="00B63BD5">
        <w:rPr>
          <w:lang w:val="fr-CA"/>
        </w:rPr>
        <w:t>●</w:t>
      </w:r>
      <w:r w:rsidR="00574CF2" w:rsidRPr="00B63BD5">
        <w:rPr>
          <w:rStyle w:val="Prompt"/>
          <w:color w:val="auto"/>
          <w:szCs w:val="20"/>
          <w:lang w:val="fr-CA"/>
        </w:rPr>
        <w:t>]</w:t>
      </w:r>
      <w:r w:rsidR="00574CF2" w:rsidRPr="00B63BD5">
        <w:rPr>
          <w:color w:val="000000"/>
          <w:lang w:val="fr-CA"/>
        </w:rPr>
        <w:t xml:space="preserve"> </w:t>
      </w:r>
      <w:r w:rsidR="00574CF2" w:rsidRPr="00B63BD5">
        <w:rPr>
          <w:lang w:val="fr-CA"/>
        </w:rPr>
        <w:t>$ CA,</w:t>
      </w:r>
      <w:r w:rsidR="00574CF2" w:rsidRPr="00B63BD5">
        <w:rPr>
          <w:color w:val="000000"/>
          <w:lang w:val="fr-CA"/>
        </w:rPr>
        <w:t xml:space="preserve"> </w:t>
      </w:r>
      <w:r w:rsidRPr="00B63BD5">
        <w:rPr>
          <w:rStyle w:val="Prompt"/>
          <w:color w:val="auto"/>
          <w:szCs w:val="20"/>
          <w:lang w:val="fr-CA"/>
        </w:rPr>
        <w:t>consenties sur demande moyennant la remise d</w:t>
      </w:r>
      <w:r w:rsidR="00564B0C" w:rsidRPr="00B63BD5">
        <w:rPr>
          <w:rStyle w:val="Prompt"/>
          <w:color w:val="auto"/>
          <w:szCs w:val="20"/>
          <w:lang w:val="fr-CA"/>
        </w:rPr>
        <w:t>’</w:t>
      </w:r>
      <w:r w:rsidRPr="00B63BD5">
        <w:rPr>
          <w:rStyle w:val="Prompt"/>
          <w:color w:val="auto"/>
          <w:szCs w:val="20"/>
          <w:lang w:val="fr-CA"/>
        </w:rPr>
        <w:t>un Avis requis, sous réserve d</w:t>
      </w:r>
      <w:r w:rsidR="00564B0C" w:rsidRPr="00B63BD5">
        <w:rPr>
          <w:rStyle w:val="Prompt"/>
          <w:color w:val="auto"/>
          <w:szCs w:val="20"/>
          <w:lang w:val="fr-CA"/>
        </w:rPr>
        <w:t>’</w:t>
      </w:r>
      <w:r w:rsidRPr="00B63BD5">
        <w:rPr>
          <w:rStyle w:val="Prompt"/>
          <w:color w:val="auto"/>
          <w:szCs w:val="20"/>
          <w:lang w:val="fr-CA"/>
        </w:rPr>
        <w:t>une avance d</w:t>
      </w:r>
      <w:r w:rsidR="00564B0C" w:rsidRPr="00B63BD5">
        <w:rPr>
          <w:rStyle w:val="Prompt"/>
          <w:color w:val="auto"/>
          <w:szCs w:val="20"/>
          <w:lang w:val="fr-CA"/>
        </w:rPr>
        <w:t>’</w:t>
      </w:r>
      <w:r w:rsidRPr="00B63BD5">
        <w:rPr>
          <w:rStyle w:val="Prompt"/>
          <w:color w:val="auto"/>
          <w:szCs w:val="20"/>
          <w:lang w:val="fr-CA"/>
        </w:rPr>
        <w:t>un montant minimal de</w:t>
      </w:r>
      <w:r w:rsidR="008E1EED" w:rsidRPr="00B63BD5">
        <w:rPr>
          <w:rStyle w:val="Prompt"/>
          <w:b/>
          <w:color w:val="auto"/>
          <w:szCs w:val="20"/>
          <w:lang w:val="fr-CA"/>
        </w:rPr>
        <w:t> </w:t>
      </w:r>
      <w:r w:rsidRPr="00B63BD5">
        <w:rPr>
          <w:rStyle w:val="Prompt"/>
          <w:color w:val="auto"/>
          <w:szCs w:val="20"/>
          <w:lang w:val="fr-CA"/>
        </w:rPr>
        <w:t>500</w:t>
      </w:r>
      <w:r w:rsidR="002B6180" w:rsidRPr="00B63BD5">
        <w:rPr>
          <w:rStyle w:val="Prompt"/>
          <w:color w:val="auto"/>
          <w:szCs w:val="20"/>
          <w:lang w:val="fr-CA"/>
        </w:rPr>
        <w:t> </w:t>
      </w:r>
      <w:r w:rsidRPr="00B63BD5">
        <w:rPr>
          <w:rStyle w:val="Prompt"/>
          <w:color w:val="auto"/>
          <w:szCs w:val="20"/>
          <w:lang w:val="fr-CA"/>
        </w:rPr>
        <w:t>000</w:t>
      </w:r>
      <w:r w:rsidR="00B056F9" w:rsidRPr="00B63BD5">
        <w:rPr>
          <w:rStyle w:val="Prompt"/>
          <w:color w:val="auto"/>
          <w:szCs w:val="20"/>
          <w:lang w:val="fr-CA"/>
        </w:rPr>
        <w:t> </w:t>
      </w:r>
      <w:r w:rsidRPr="00B63BD5">
        <w:rPr>
          <w:lang w:val="fr-CA"/>
        </w:rPr>
        <w:t xml:space="preserve">£ </w:t>
      </w:r>
      <w:r w:rsidRPr="00B63BD5">
        <w:rPr>
          <w:rStyle w:val="Prompt"/>
          <w:color w:val="auto"/>
          <w:szCs w:val="20"/>
          <w:lang w:val="fr-CA"/>
        </w:rPr>
        <w:t>et, par la suite, de multiples de 100</w:t>
      </w:r>
      <w:r w:rsidR="00AB0594" w:rsidRPr="00B63BD5">
        <w:rPr>
          <w:lang w:val="fr-CA"/>
        </w:rPr>
        <w:t> </w:t>
      </w:r>
      <w:r w:rsidRPr="00B63BD5">
        <w:rPr>
          <w:rStyle w:val="Prompt"/>
          <w:color w:val="auto"/>
          <w:szCs w:val="20"/>
          <w:lang w:val="fr-CA"/>
        </w:rPr>
        <w:t>000</w:t>
      </w:r>
      <w:r w:rsidR="00B056F9" w:rsidRPr="00B63BD5">
        <w:rPr>
          <w:rStyle w:val="Prompt"/>
          <w:color w:val="auto"/>
          <w:szCs w:val="20"/>
          <w:lang w:val="fr-CA"/>
        </w:rPr>
        <w:t> </w:t>
      </w:r>
      <w:r w:rsidRPr="00B63BD5">
        <w:rPr>
          <w:lang w:val="fr-CA"/>
        </w:rPr>
        <w:t>£</w:t>
      </w:r>
      <w:r w:rsidRPr="00B63BD5">
        <w:rPr>
          <w:rStyle w:val="Prompt"/>
          <w:color w:val="auto"/>
          <w:szCs w:val="20"/>
          <w:lang w:val="fr-CA"/>
        </w:rPr>
        <w:t>,</w:t>
      </w:r>
      <w:r w:rsidRPr="00B63BD5">
        <w:rPr>
          <w:rStyle w:val="Prompt"/>
          <w:b/>
          <w:color w:val="auto"/>
          <w:szCs w:val="20"/>
          <w:lang w:val="fr-CA"/>
        </w:rPr>
        <w:t xml:space="preserve"> </w:t>
      </w:r>
      <w:r w:rsidRPr="00B63BD5">
        <w:rPr>
          <w:rStyle w:val="Prompt"/>
          <w:color w:val="auto"/>
          <w:szCs w:val="20"/>
          <w:lang w:val="fr-CA"/>
        </w:rPr>
        <w:t>sauf stipulation contraire de la Banque</w:t>
      </w:r>
      <w:r w:rsidR="003B34B3" w:rsidRPr="00B63BD5">
        <w:rPr>
          <w:lang w:val="fr-CA"/>
        </w:rPr>
        <w:t>;</w:t>
      </w:r>
    </w:p>
    <w:p w14:paraId="719CDBDA" w14:textId="1B201572" w:rsidR="001F4976" w:rsidRPr="00B63BD5" w:rsidRDefault="006238AC" w:rsidP="000B7739">
      <w:pPr>
        <w:pStyle w:val="04LOLglNew3"/>
        <w:rPr>
          <w:lang w:val="fr-CA"/>
        </w:rPr>
      </w:pPr>
      <w:r>
        <w:rPr>
          <w:lang w:val="fr-CA"/>
        </w:rPr>
        <w:t>j</w:t>
      </w:r>
      <w:r w:rsidRPr="006238AC">
        <w:rPr>
          <w:lang w:val="fr-CA"/>
        </w:rPr>
        <w:t>usqu’au 30 juin 2024 ou toute autre date stipulée par la Banque</w:t>
      </w:r>
      <w:r>
        <w:rPr>
          <w:lang w:val="fr-CA"/>
        </w:rPr>
        <w:t xml:space="preserve">, </w:t>
      </w:r>
      <w:r w:rsidR="00FC5D1C" w:rsidRPr="00B63BD5">
        <w:rPr>
          <w:lang w:val="fr-CA"/>
        </w:rPr>
        <w:t xml:space="preserve">des </w:t>
      </w:r>
      <w:r w:rsidR="00E94BFE" w:rsidRPr="00B63BD5">
        <w:rPr>
          <w:lang w:val="fr-CA"/>
        </w:rPr>
        <w:t xml:space="preserve">Acceptations </w:t>
      </w:r>
      <w:r w:rsidR="00FC5D1C" w:rsidRPr="00B63BD5">
        <w:rPr>
          <w:lang w:val="fr-CA"/>
        </w:rPr>
        <w:t xml:space="preserve">bancaires en </w:t>
      </w:r>
      <w:r w:rsidR="00682477" w:rsidRPr="00B63BD5">
        <w:rPr>
          <w:lang w:val="fr-CA"/>
        </w:rPr>
        <w:t>D</w:t>
      </w:r>
      <w:r w:rsidR="008E429F" w:rsidRPr="00B63BD5">
        <w:rPr>
          <w:lang w:val="fr-CA"/>
        </w:rPr>
        <w:t xml:space="preserve">ollars </w:t>
      </w:r>
      <w:r w:rsidR="00FC5D1C" w:rsidRPr="00B63BD5">
        <w:rPr>
          <w:lang w:val="fr-CA"/>
        </w:rPr>
        <w:t>canadiens</w:t>
      </w:r>
      <w:r w:rsidR="00D4379C" w:rsidRPr="00B63BD5">
        <w:rPr>
          <w:lang w:val="fr-CA"/>
        </w:rPr>
        <w:t xml:space="preserve"> ou en Dollars américains</w:t>
      </w:r>
      <w:r w:rsidR="00FC5D1C" w:rsidRPr="00B63BD5">
        <w:rPr>
          <w:lang w:val="fr-CA"/>
        </w:rPr>
        <w:t xml:space="preserve"> d</w:t>
      </w:r>
      <w:r w:rsidR="00564B0C" w:rsidRPr="00B63BD5">
        <w:rPr>
          <w:lang w:val="fr-CA"/>
        </w:rPr>
        <w:t>’</w:t>
      </w:r>
      <w:r w:rsidR="00FC5D1C" w:rsidRPr="00B63BD5">
        <w:rPr>
          <w:lang w:val="fr-CA"/>
        </w:rPr>
        <w:t xml:space="preserve">un </w:t>
      </w:r>
      <w:r w:rsidR="002A566D" w:rsidRPr="00B63BD5">
        <w:rPr>
          <w:lang w:val="fr-CA"/>
        </w:rPr>
        <w:t xml:space="preserve">montant de </w:t>
      </w:r>
      <w:r w:rsidR="00FC5D1C" w:rsidRPr="00B63BD5">
        <w:rPr>
          <w:lang w:val="fr-CA"/>
        </w:rPr>
        <w:t>capital global</w:t>
      </w:r>
      <w:r w:rsidR="00AD6A2A" w:rsidRPr="00B63BD5">
        <w:rPr>
          <w:lang w:val="fr-CA"/>
        </w:rPr>
        <w:t xml:space="preserve"> n</w:t>
      </w:r>
      <w:r w:rsidR="00564B0C" w:rsidRPr="00B63BD5">
        <w:rPr>
          <w:lang w:val="fr-CA"/>
        </w:rPr>
        <w:t>’</w:t>
      </w:r>
      <w:r w:rsidR="00AD6A2A" w:rsidRPr="00B63BD5">
        <w:rPr>
          <w:lang w:val="fr-CA"/>
        </w:rPr>
        <w:t>excédant pas</w:t>
      </w:r>
      <w:r w:rsidR="008E429F" w:rsidRPr="00B63BD5">
        <w:rPr>
          <w:lang w:val="fr-CA"/>
        </w:rPr>
        <w:t xml:space="preserve"> </w:t>
      </w:r>
      <w:r w:rsidR="00FC5D1C" w:rsidRPr="00B63BD5">
        <w:rPr>
          <w:lang w:val="fr-CA"/>
        </w:rPr>
        <w:t>●</w:t>
      </w:r>
      <w:r w:rsidR="00AB0594" w:rsidRPr="00B63BD5">
        <w:rPr>
          <w:lang w:val="fr-CA"/>
        </w:rPr>
        <w:t> </w:t>
      </w:r>
      <w:r w:rsidR="00FC5D1C" w:rsidRPr="00B63BD5">
        <w:rPr>
          <w:lang w:val="fr-CA"/>
        </w:rPr>
        <w:t>$</w:t>
      </w:r>
      <w:r w:rsidR="00AC4107" w:rsidRPr="00B63BD5">
        <w:rPr>
          <w:lang w:val="fr-CA"/>
        </w:rPr>
        <w:t xml:space="preserve"> </w:t>
      </w:r>
      <w:r w:rsidR="00FC5D1C" w:rsidRPr="00B63BD5">
        <w:rPr>
          <w:lang w:val="fr-CA"/>
        </w:rPr>
        <w:t xml:space="preserve">CA ou </w:t>
      </w:r>
      <w:r w:rsidR="00D4379C" w:rsidRPr="00B63BD5">
        <w:rPr>
          <w:lang w:val="fr-CA"/>
        </w:rPr>
        <w:t>●</w:t>
      </w:r>
      <w:r w:rsidR="00AC4107" w:rsidRPr="00B63BD5">
        <w:rPr>
          <w:lang w:val="fr-CA"/>
        </w:rPr>
        <w:t xml:space="preserve"> </w:t>
      </w:r>
      <w:r w:rsidR="00D4379C" w:rsidRPr="00B63BD5">
        <w:rPr>
          <w:lang w:val="fr-CA"/>
        </w:rPr>
        <w:t>$</w:t>
      </w:r>
      <w:r w:rsidR="00AC4107" w:rsidRPr="00B63BD5">
        <w:rPr>
          <w:lang w:val="fr-CA"/>
        </w:rPr>
        <w:t xml:space="preserve"> </w:t>
      </w:r>
      <w:r w:rsidR="00D4379C" w:rsidRPr="00B63BD5">
        <w:rPr>
          <w:lang w:val="fr-CA"/>
        </w:rPr>
        <w:t>US</w:t>
      </w:r>
      <w:r w:rsidR="00830777" w:rsidRPr="00B63BD5">
        <w:rPr>
          <w:lang w:val="fr-CA"/>
        </w:rPr>
        <w:t>,</w:t>
      </w:r>
      <w:r w:rsidR="00D4379C" w:rsidRPr="00B63BD5">
        <w:rPr>
          <w:lang w:val="fr-CA"/>
        </w:rPr>
        <w:t xml:space="preserve"> selon le cas</w:t>
      </w:r>
      <w:r w:rsidR="00830777" w:rsidRPr="00B63BD5">
        <w:rPr>
          <w:lang w:val="fr-CA"/>
        </w:rPr>
        <w:t>,</w:t>
      </w:r>
      <w:r w:rsidR="00AD6A2A" w:rsidRPr="00B63BD5">
        <w:rPr>
          <w:lang w:val="fr-CA"/>
        </w:rPr>
        <w:t xml:space="preserve"> émises</w:t>
      </w:r>
      <w:r w:rsidR="003565E5" w:rsidRPr="00B63BD5">
        <w:rPr>
          <w:lang w:val="fr-CA"/>
        </w:rPr>
        <w:t xml:space="preserve"> </w:t>
      </w:r>
      <w:r w:rsidR="00FC5D1C" w:rsidRPr="00B63BD5">
        <w:rPr>
          <w:lang w:val="fr-CA"/>
        </w:rPr>
        <w:t>sur demande moyen</w:t>
      </w:r>
      <w:r w:rsidR="003565E5" w:rsidRPr="00B63BD5">
        <w:rPr>
          <w:lang w:val="fr-CA"/>
        </w:rPr>
        <w:t>nant</w:t>
      </w:r>
      <w:r w:rsidR="00FC5D1C" w:rsidRPr="00B63BD5">
        <w:rPr>
          <w:lang w:val="fr-CA"/>
        </w:rPr>
        <w:t xml:space="preserve"> un Avis requis</w:t>
      </w:r>
      <w:r w:rsidR="003565E5" w:rsidRPr="00B63BD5">
        <w:rPr>
          <w:lang w:val="fr-CA"/>
        </w:rPr>
        <w:t>,</w:t>
      </w:r>
      <w:r w:rsidR="00FC5D1C" w:rsidRPr="00B63BD5">
        <w:rPr>
          <w:lang w:val="fr-CA"/>
        </w:rPr>
        <w:t xml:space="preserve"> sous réserve de la disponibilité</w:t>
      </w:r>
      <w:r w:rsidR="003565E5" w:rsidRPr="00B63BD5">
        <w:rPr>
          <w:lang w:val="fr-CA"/>
        </w:rPr>
        <w:t>,</w:t>
      </w:r>
      <w:r w:rsidR="00FC5D1C" w:rsidRPr="00B63BD5">
        <w:rPr>
          <w:lang w:val="fr-CA"/>
        </w:rPr>
        <w:t xml:space="preserve"> </w:t>
      </w:r>
      <w:r w:rsidR="00BB2901" w:rsidRPr="00B63BD5">
        <w:rPr>
          <w:lang w:val="fr-CA"/>
        </w:rPr>
        <w:t>pendant une durée d</w:t>
      </w:r>
      <w:r w:rsidR="00564B0C" w:rsidRPr="00B63BD5">
        <w:rPr>
          <w:lang w:val="fr-CA"/>
        </w:rPr>
        <w:t>’</w:t>
      </w:r>
      <w:r w:rsidR="00FC5D1C" w:rsidRPr="00B63BD5">
        <w:rPr>
          <w:lang w:val="fr-CA"/>
        </w:rPr>
        <w:t xml:space="preserve">au moins </w:t>
      </w:r>
      <w:r w:rsidR="00B67E21" w:rsidRPr="00B63BD5">
        <w:rPr>
          <w:b/>
          <w:lang w:val="fr-CA"/>
        </w:rPr>
        <w:t>●</w:t>
      </w:r>
      <w:r w:rsidR="00AB0594" w:rsidRPr="00B63BD5">
        <w:rPr>
          <w:lang w:val="fr-CA"/>
        </w:rPr>
        <w:t> </w:t>
      </w:r>
      <w:r w:rsidR="00FC5D1C" w:rsidRPr="00B63BD5">
        <w:rPr>
          <w:lang w:val="fr-CA"/>
        </w:rPr>
        <w:t>jours et d</w:t>
      </w:r>
      <w:r w:rsidR="00564B0C" w:rsidRPr="00B63BD5">
        <w:rPr>
          <w:lang w:val="fr-CA"/>
        </w:rPr>
        <w:t>’</w:t>
      </w:r>
      <w:r w:rsidR="00FC5D1C" w:rsidRPr="00B63BD5">
        <w:rPr>
          <w:lang w:val="fr-CA"/>
        </w:rPr>
        <w:t>au plus</w:t>
      </w:r>
      <w:r w:rsidR="00AC4107" w:rsidRPr="00B63BD5">
        <w:rPr>
          <w:lang w:val="fr-CA"/>
        </w:rPr>
        <w:t xml:space="preserve"> </w:t>
      </w:r>
      <w:r w:rsidR="00B67E21" w:rsidRPr="00B63BD5">
        <w:rPr>
          <w:b/>
          <w:lang w:val="fr-CA"/>
        </w:rPr>
        <w:t>●</w:t>
      </w:r>
      <w:r w:rsidR="00AB0594" w:rsidRPr="00B63BD5">
        <w:rPr>
          <w:lang w:val="fr-CA"/>
        </w:rPr>
        <w:t> </w:t>
      </w:r>
      <w:r w:rsidR="00AD6A2A" w:rsidRPr="00B63BD5">
        <w:rPr>
          <w:lang w:val="fr-CA"/>
        </w:rPr>
        <w:t>jours</w:t>
      </w:r>
      <w:r w:rsidR="00FC5D1C" w:rsidRPr="00B63BD5">
        <w:rPr>
          <w:lang w:val="fr-CA"/>
        </w:rPr>
        <w:t>, y</w:t>
      </w:r>
      <w:r w:rsidR="00AC4107" w:rsidRPr="00B63BD5">
        <w:rPr>
          <w:lang w:val="fr-CA"/>
        </w:rPr>
        <w:t xml:space="preserve"> </w:t>
      </w:r>
      <w:r w:rsidR="00FC5D1C" w:rsidRPr="00B63BD5">
        <w:rPr>
          <w:lang w:val="fr-CA"/>
        </w:rPr>
        <w:t>compris les jours de grâce</w:t>
      </w:r>
      <w:r w:rsidR="003565E5" w:rsidRPr="00B63BD5">
        <w:rPr>
          <w:lang w:val="fr-CA"/>
        </w:rPr>
        <w:t>,</w:t>
      </w:r>
      <w:r w:rsidR="00FC5D1C" w:rsidRPr="00B63BD5">
        <w:rPr>
          <w:lang w:val="fr-CA"/>
        </w:rPr>
        <w:t xml:space="preserve"> et sous réserve d</w:t>
      </w:r>
      <w:r w:rsidR="00564B0C" w:rsidRPr="00B63BD5">
        <w:rPr>
          <w:lang w:val="fr-CA"/>
        </w:rPr>
        <w:t>’</w:t>
      </w:r>
      <w:r w:rsidR="00FC5D1C" w:rsidRPr="00B63BD5">
        <w:rPr>
          <w:lang w:val="fr-CA"/>
        </w:rPr>
        <w:t>un montant minimal de 500</w:t>
      </w:r>
      <w:r w:rsidR="00AB0594" w:rsidRPr="00B63BD5">
        <w:rPr>
          <w:lang w:val="fr-CA"/>
        </w:rPr>
        <w:t> </w:t>
      </w:r>
      <w:r w:rsidR="00FC5D1C" w:rsidRPr="00B63BD5">
        <w:rPr>
          <w:lang w:val="fr-CA"/>
        </w:rPr>
        <w:t>000</w:t>
      </w:r>
      <w:r w:rsidR="00B056F9" w:rsidRPr="00B63BD5">
        <w:rPr>
          <w:lang w:val="fr-CA"/>
        </w:rPr>
        <w:t> </w:t>
      </w:r>
      <w:r w:rsidR="00FC5D1C" w:rsidRPr="00B63BD5">
        <w:rPr>
          <w:lang w:val="fr-CA"/>
        </w:rPr>
        <w:t xml:space="preserve">$ </w:t>
      </w:r>
      <w:r w:rsidR="00052CB0" w:rsidRPr="00B63BD5">
        <w:rPr>
          <w:lang w:val="fr-CA"/>
        </w:rPr>
        <w:t xml:space="preserve">par Acceptation bancaire </w:t>
      </w:r>
      <w:r w:rsidR="00FC5D1C" w:rsidRPr="00B63BD5">
        <w:rPr>
          <w:lang w:val="fr-CA"/>
        </w:rPr>
        <w:t>et</w:t>
      </w:r>
      <w:r w:rsidR="003E16D5" w:rsidRPr="00B63BD5">
        <w:rPr>
          <w:lang w:val="fr-CA"/>
        </w:rPr>
        <w:t>,</w:t>
      </w:r>
      <w:r w:rsidR="00BB2901" w:rsidRPr="00B63BD5">
        <w:rPr>
          <w:lang w:val="fr-CA"/>
        </w:rPr>
        <w:t xml:space="preserve"> par</w:t>
      </w:r>
      <w:r w:rsidR="00363F9D" w:rsidRPr="00B63BD5">
        <w:rPr>
          <w:lang w:val="fr-CA"/>
        </w:rPr>
        <w:t> </w:t>
      </w:r>
      <w:r w:rsidR="00BB2901" w:rsidRPr="00B63BD5">
        <w:rPr>
          <w:lang w:val="fr-CA"/>
        </w:rPr>
        <w:t>la suite</w:t>
      </w:r>
      <w:r w:rsidR="003E16D5" w:rsidRPr="00B63BD5">
        <w:rPr>
          <w:lang w:val="fr-CA"/>
        </w:rPr>
        <w:t>,</w:t>
      </w:r>
      <w:r w:rsidR="00BB2901" w:rsidRPr="00B63BD5">
        <w:rPr>
          <w:lang w:val="fr-CA"/>
        </w:rPr>
        <w:t xml:space="preserve"> </w:t>
      </w:r>
      <w:r w:rsidR="00FC5D1C" w:rsidRPr="00B63BD5">
        <w:rPr>
          <w:lang w:val="fr-CA"/>
        </w:rPr>
        <w:t>de multiples de 100</w:t>
      </w:r>
      <w:r w:rsidR="00AB0594" w:rsidRPr="00B63BD5">
        <w:rPr>
          <w:lang w:val="fr-CA"/>
        </w:rPr>
        <w:t> </w:t>
      </w:r>
      <w:r w:rsidR="00FC5D1C" w:rsidRPr="00B63BD5">
        <w:rPr>
          <w:lang w:val="fr-CA"/>
        </w:rPr>
        <w:t>000</w:t>
      </w:r>
      <w:r w:rsidR="00B056F9" w:rsidRPr="00B63BD5">
        <w:rPr>
          <w:lang w:val="fr-CA"/>
        </w:rPr>
        <w:t> </w:t>
      </w:r>
      <w:r w:rsidR="00FC5D1C" w:rsidRPr="00B63BD5">
        <w:rPr>
          <w:lang w:val="fr-CA"/>
        </w:rPr>
        <w:t>$</w:t>
      </w:r>
      <w:r w:rsidR="00826E25" w:rsidRPr="00B63BD5">
        <w:rPr>
          <w:lang w:val="fr-CA"/>
        </w:rPr>
        <w:t>,</w:t>
      </w:r>
      <w:r w:rsidR="00FC5D1C" w:rsidRPr="00B63BD5">
        <w:rPr>
          <w:lang w:val="fr-CA"/>
        </w:rPr>
        <w:t xml:space="preserve"> dans la </w:t>
      </w:r>
      <w:r w:rsidR="003565E5" w:rsidRPr="00B63BD5">
        <w:rPr>
          <w:lang w:val="fr-CA"/>
        </w:rPr>
        <w:t xml:space="preserve">monnaie </w:t>
      </w:r>
      <w:r w:rsidR="00FC5D1C" w:rsidRPr="00B63BD5">
        <w:rPr>
          <w:lang w:val="fr-CA"/>
        </w:rPr>
        <w:t>pertinente</w:t>
      </w:r>
      <w:r w:rsidR="002C1935" w:rsidRPr="00B63BD5">
        <w:rPr>
          <w:rStyle w:val="Prompt"/>
          <w:color w:val="auto"/>
          <w:szCs w:val="20"/>
          <w:lang w:val="fr-CA"/>
        </w:rPr>
        <w:t xml:space="preserve"> </w:t>
      </w:r>
      <w:r w:rsidR="002C1935" w:rsidRPr="00B63BD5">
        <w:rPr>
          <w:rStyle w:val="Prompt"/>
          <w:szCs w:val="20"/>
          <w:lang w:val="fr-CA"/>
        </w:rPr>
        <w:t>et que la Banque pourrait acheter au Prix d</w:t>
      </w:r>
      <w:r w:rsidR="00564B0C" w:rsidRPr="00B63BD5">
        <w:rPr>
          <w:rStyle w:val="Prompt"/>
          <w:szCs w:val="20"/>
          <w:lang w:val="fr-CA"/>
        </w:rPr>
        <w:t>’</w:t>
      </w:r>
      <w:r w:rsidR="002C1935" w:rsidRPr="00B63BD5">
        <w:rPr>
          <w:rStyle w:val="Prompt"/>
          <w:szCs w:val="20"/>
          <w:lang w:val="fr-CA"/>
        </w:rPr>
        <w:t>achat de l</w:t>
      </w:r>
      <w:r w:rsidR="00564B0C" w:rsidRPr="00B63BD5">
        <w:rPr>
          <w:rStyle w:val="Prompt"/>
          <w:szCs w:val="20"/>
          <w:lang w:val="fr-CA"/>
        </w:rPr>
        <w:t>’</w:t>
      </w:r>
      <w:r w:rsidR="002C1935" w:rsidRPr="00B63BD5">
        <w:rPr>
          <w:rStyle w:val="Prompt"/>
          <w:szCs w:val="20"/>
          <w:lang w:val="fr-CA"/>
        </w:rPr>
        <w:t>acceptation bancaire, à sa discrétion</w:t>
      </w:r>
      <w:r w:rsidR="00FC5D1C" w:rsidRPr="00B63BD5">
        <w:rPr>
          <w:lang w:val="fr-CA"/>
        </w:rPr>
        <w:t>.</w:t>
      </w:r>
      <w:r>
        <w:rPr>
          <w:lang w:val="fr-CA"/>
        </w:rPr>
        <w:t xml:space="preserve"> L</w:t>
      </w:r>
      <w:r w:rsidRPr="006238AC">
        <w:rPr>
          <w:lang w:val="fr-CA"/>
        </w:rPr>
        <w:t>orsque les Acceptations bancaires cesseront d’être offertes, la Banque pourrait offrir à titre de remplacement un autre type de facilité faisant référence à un taux d’intérêt ou de référence (notamment un taux accepté par les marchés financiers du Canada)</w:t>
      </w:r>
      <w:r>
        <w:rPr>
          <w:lang w:val="fr-CA"/>
        </w:rPr>
        <w:t>.</w:t>
      </w:r>
    </w:p>
    <w:p w14:paraId="709EA420" w14:textId="3931A244" w:rsidR="00CE03F7" w:rsidRPr="00B63BD5" w:rsidRDefault="009926E7" w:rsidP="00632863">
      <w:pPr>
        <w:pStyle w:val="Heading3"/>
        <w:keepNext w:val="0"/>
        <w:widowControl w:val="0"/>
        <w:numPr>
          <w:ilvl w:val="2"/>
          <w:numId w:val="1"/>
        </w:numPr>
        <w:tabs>
          <w:tab w:val="clear" w:pos="851"/>
          <w:tab w:val="clear" w:pos="1440"/>
        </w:tabs>
        <w:ind w:firstLine="0"/>
        <w:jc w:val="both"/>
      </w:pPr>
      <w:bookmarkStart w:id="4" w:name="_Ref464464565"/>
      <w:r w:rsidRPr="00B63BD5">
        <w:t>Re</w:t>
      </w:r>
      <w:r w:rsidR="005F747D" w:rsidRPr="00B63BD5">
        <w:t>mboursement</w:t>
      </w:r>
      <w:bookmarkEnd w:id="4"/>
    </w:p>
    <w:p w14:paraId="27D5596C" w14:textId="0D37CE14" w:rsidR="00574ACC" w:rsidRPr="00B63BD5" w:rsidRDefault="00574ACC" w:rsidP="00632863">
      <w:pPr>
        <w:keepNext/>
        <w:spacing w:after="240"/>
        <w:jc w:val="both"/>
        <w:rPr>
          <w:b/>
          <w:color w:val="00B0F0"/>
          <w:lang w:val="fr-CA"/>
        </w:rPr>
      </w:pPr>
      <w:r w:rsidRPr="00B63BD5">
        <w:rPr>
          <w:b/>
          <w:color w:val="00B0F0"/>
          <w:highlight w:val="yellow"/>
          <w:lang w:val="fr-CA"/>
        </w:rPr>
        <w:lastRenderedPageBreak/>
        <w:t>[</w:t>
      </w:r>
      <w:r w:rsidR="00EC3CB5" w:rsidRPr="00B63BD5">
        <w:rPr>
          <w:b/>
          <w:color w:val="00B0F0"/>
          <w:highlight w:val="yellow"/>
          <w:lang w:val="fr-CA"/>
        </w:rPr>
        <w:t>N.B. :</w:t>
      </w:r>
      <w:r w:rsidRPr="00B63BD5">
        <w:rPr>
          <w:b/>
          <w:color w:val="00B0F0"/>
          <w:highlight w:val="yellow"/>
          <w:lang w:val="fr-CA"/>
        </w:rPr>
        <w:t xml:space="preserve"> </w:t>
      </w:r>
      <w:r w:rsidR="005F747D" w:rsidRPr="00B63BD5">
        <w:rPr>
          <w:b/>
          <w:color w:val="00B0F0"/>
          <w:highlight w:val="yellow"/>
          <w:u w:val="single"/>
          <w:lang w:val="fr-CA"/>
        </w:rPr>
        <w:t>Ne pas</w:t>
      </w:r>
      <w:r w:rsidR="005F747D" w:rsidRPr="00B63BD5">
        <w:rPr>
          <w:b/>
          <w:color w:val="00B0F0"/>
          <w:highlight w:val="yellow"/>
          <w:lang w:val="fr-CA"/>
        </w:rPr>
        <w:t xml:space="preserve"> modifier l</w:t>
      </w:r>
      <w:r w:rsidR="00CB2CDB" w:rsidRPr="00B63BD5">
        <w:rPr>
          <w:b/>
          <w:color w:val="00B0F0"/>
          <w:highlight w:val="yellow"/>
          <w:lang w:val="fr-CA"/>
        </w:rPr>
        <w:t xml:space="preserve">a </w:t>
      </w:r>
      <w:r w:rsidR="00BB2901" w:rsidRPr="00B63BD5">
        <w:rPr>
          <w:b/>
          <w:color w:val="00B0F0"/>
          <w:highlight w:val="yellow"/>
          <w:lang w:val="fr-CA"/>
        </w:rPr>
        <w:t xml:space="preserve">substance </w:t>
      </w:r>
      <w:r w:rsidR="005F747D" w:rsidRPr="00B63BD5">
        <w:rPr>
          <w:b/>
          <w:color w:val="00B0F0"/>
          <w:highlight w:val="yellow"/>
          <w:lang w:val="fr-CA"/>
        </w:rPr>
        <w:t xml:space="preserve">de la disposition suivante sans le consentement </w:t>
      </w:r>
      <w:r w:rsidR="00CB2CDB" w:rsidRPr="00B63BD5">
        <w:rPr>
          <w:b/>
          <w:color w:val="00B0F0"/>
          <w:highlight w:val="yellow"/>
          <w:lang w:val="fr-CA"/>
        </w:rPr>
        <w:t>préalable</w:t>
      </w:r>
      <w:r w:rsidR="005F747D" w:rsidRPr="00B63BD5">
        <w:rPr>
          <w:b/>
          <w:color w:val="00B0F0"/>
          <w:highlight w:val="yellow"/>
          <w:lang w:val="fr-CA"/>
        </w:rPr>
        <w:t xml:space="preserve"> du</w:t>
      </w:r>
      <w:r w:rsidR="008E1EED" w:rsidRPr="00B63BD5">
        <w:rPr>
          <w:b/>
          <w:color w:val="00B0F0"/>
          <w:highlight w:val="yellow"/>
          <w:lang w:val="fr-CA"/>
        </w:rPr>
        <w:t> </w:t>
      </w:r>
      <w:r w:rsidR="005F747D" w:rsidRPr="00B63BD5">
        <w:rPr>
          <w:b/>
          <w:color w:val="00B0F0"/>
          <w:highlight w:val="yellow"/>
          <w:lang w:val="fr-CA"/>
        </w:rPr>
        <w:t>service du crédit de la Banque</w:t>
      </w:r>
      <w:r w:rsidRPr="00B63BD5">
        <w:rPr>
          <w:b/>
          <w:color w:val="00B0F0"/>
          <w:highlight w:val="yellow"/>
          <w:lang w:val="fr-CA"/>
        </w:rPr>
        <w:t>.]</w:t>
      </w:r>
    </w:p>
    <w:p w14:paraId="3ED4554F" w14:textId="4297D55A" w:rsidR="00A1704D" w:rsidRPr="00B63BD5" w:rsidRDefault="00A1704D" w:rsidP="00632863">
      <w:pPr>
        <w:keepNext/>
        <w:spacing w:after="240"/>
        <w:jc w:val="both"/>
        <w:rPr>
          <w:b/>
          <w:color w:val="00B0F0"/>
          <w:lang w:val="fr-CA"/>
        </w:rPr>
      </w:pPr>
      <w:r w:rsidRPr="00B63BD5">
        <w:rPr>
          <w:b/>
          <w:color w:val="00B0F0"/>
          <w:lang w:val="fr-CA"/>
        </w:rPr>
        <w:t>[</w:t>
      </w:r>
      <w:r w:rsidR="00EC3CB5" w:rsidRPr="00B63BD5">
        <w:rPr>
          <w:b/>
          <w:color w:val="00B0F0"/>
          <w:lang w:val="fr-CA"/>
        </w:rPr>
        <w:t>N.B. :</w:t>
      </w:r>
      <w:r w:rsidRPr="00B63BD5">
        <w:rPr>
          <w:b/>
          <w:color w:val="00B0F0"/>
          <w:lang w:val="fr-CA"/>
        </w:rPr>
        <w:t xml:space="preserve"> </w:t>
      </w:r>
      <w:r w:rsidR="005F747D" w:rsidRPr="00B63BD5">
        <w:rPr>
          <w:b/>
          <w:color w:val="00B0F0"/>
          <w:lang w:val="fr-CA"/>
        </w:rPr>
        <w:t>Choisir l</w:t>
      </w:r>
      <w:r w:rsidR="00564B0C" w:rsidRPr="00B63BD5">
        <w:rPr>
          <w:b/>
          <w:color w:val="00B0F0"/>
          <w:lang w:val="fr-CA"/>
        </w:rPr>
        <w:t>’</w:t>
      </w:r>
      <w:r w:rsidR="005F747D" w:rsidRPr="00B63BD5">
        <w:rPr>
          <w:b/>
          <w:color w:val="00B0F0"/>
          <w:lang w:val="fr-CA"/>
        </w:rPr>
        <w:t>option</w:t>
      </w:r>
      <w:r w:rsidR="00AC4107" w:rsidRPr="00B63BD5">
        <w:rPr>
          <w:b/>
          <w:color w:val="00B0F0"/>
          <w:lang w:val="fr-CA"/>
        </w:rPr>
        <w:t xml:space="preserve"> </w:t>
      </w:r>
      <w:r w:rsidR="005F747D" w:rsidRPr="00B63BD5">
        <w:rPr>
          <w:b/>
          <w:color w:val="00B0F0"/>
          <w:lang w:val="fr-CA"/>
        </w:rPr>
        <w:t>A</w:t>
      </w:r>
      <w:r w:rsidR="00D4379C" w:rsidRPr="00B63BD5">
        <w:rPr>
          <w:b/>
          <w:color w:val="00B0F0"/>
          <w:lang w:val="fr-CA"/>
        </w:rPr>
        <w:t xml:space="preserve">, </w:t>
      </w:r>
      <w:r w:rsidR="005F747D" w:rsidRPr="00B63BD5">
        <w:rPr>
          <w:b/>
          <w:color w:val="00B0F0"/>
          <w:lang w:val="fr-CA"/>
        </w:rPr>
        <w:t>B</w:t>
      </w:r>
      <w:r w:rsidR="00D4379C" w:rsidRPr="00B63BD5">
        <w:rPr>
          <w:b/>
          <w:color w:val="00B0F0"/>
          <w:lang w:val="fr-CA"/>
        </w:rPr>
        <w:t>, C ou</w:t>
      </w:r>
      <w:r w:rsidR="00AC4107" w:rsidRPr="00B63BD5">
        <w:rPr>
          <w:b/>
          <w:color w:val="00B0F0"/>
          <w:lang w:val="fr-CA"/>
        </w:rPr>
        <w:t xml:space="preserve"> </w:t>
      </w:r>
      <w:r w:rsidR="00D4379C" w:rsidRPr="00B63BD5">
        <w:rPr>
          <w:b/>
          <w:color w:val="00B0F0"/>
          <w:lang w:val="fr-CA"/>
        </w:rPr>
        <w:t>D</w:t>
      </w:r>
      <w:r w:rsidR="005F747D" w:rsidRPr="00B63BD5">
        <w:rPr>
          <w:b/>
          <w:color w:val="00B0F0"/>
          <w:lang w:val="fr-CA"/>
        </w:rPr>
        <w:t xml:space="preserve"> ci</w:t>
      </w:r>
      <w:r w:rsidR="005F747D" w:rsidRPr="00B63BD5">
        <w:rPr>
          <w:b/>
          <w:color w:val="00B0F0"/>
          <w:lang w:val="fr-CA"/>
        </w:rPr>
        <w:noBreakHyphen/>
      </w:r>
      <w:r w:rsidR="00E94BFE" w:rsidRPr="00B63BD5">
        <w:rPr>
          <w:b/>
          <w:color w:val="00B0F0"/>
          <w:lang w:val="fr-CA"/>
        </w:rPr>
        <w:t>après</w:t>
      </w:r>
      <w:r w:rsidR="00D4379C" w:rsidRPr="00B63BD5">
        <w:rPr>
          <w:b/>
          <w:color w:val="00B0F0"/>
          <w:lang w:val="fr-CA"/>
        </w:rPr>
        <w:t>. S</w:t>
      </w:r>
      <w:r w:rsidR="00564B0C" w:rsidRPr="00B63BD5">
        <w:rPr>
          <w:b/>
          <w:color w:val="00B0F0"/>
          <w:lang w:val="fr-CA"/>
        </w:rPr>
        <w:t>’</w:t>
      </w:r>
      <w:r w:rsidR="00D4379C" w:rsidRPr="00B63BD5">
        <w:rPr>
          <w:b/>
          <w:color w:val="00B0F0"/>
          <w:lang w:val="fr-CA"/>
        </w:rPr>
        <w:t xml:space="preserve">assurer que les </w:t>
      </w:r>
      <w:r w:rsidR="005F747D" w:rsidRPr="00B63BD5">
        <w:rPr>
          <w:b/>
          <w:color w:val="00B0F0"/>
          <w:lang w:val="fr-CA"/>
        </w:rPr>
        <w:t xml:space="preserve">modalités de remboursement </w:t>
      </w:r>
      <w:r w:rsidR="00D4379C" w:rsidRPr="00B63BD5">
        <w:rPr>
          <w:b/>
          <w:color w:val="00B0F0"/>
          <w:lang w:val="fr-CA"/>
        </w:rPr>
        <w:t xml:space="preserve">respectent les exigences </w:t>
      </w:r>
      <w:r w:rsidR="006142A3" w:rsidRPr="00B63BD5">
        <w:rPr>
          <w:b/>
          <w:color w:val="00B0F0"/>
          <w:lang w:val="fr-CA"/>
        </w:rPr>
        <w:t xml:space="preserve">prévues dans </w:t>
      </w:r>
      <w:r w:rsidR="00DF1381" w:rsidRPr="00B63BD5">
        <w:rPr>
          <w:b/>
          <w:color w:val="00B0F0"/>
          <w:lang w:val="fr-CA"/>
        </w:rPr>
        <w:t>CARM</w:t>
      </w:r>
      <w:r w:rsidRPr="00B63BD5">
        <w:rPr>
          <w:b/>
          <w:color w:val="00B0F0"/>
          <w:lang w:val="fr-CA"/>
        </w:rPr>
        <w:t>.]</w:t>
      </w:r>
    </w:p>
    <w:p w14:paraId="72D97FB4" w14:textId="09FED224" w:rsidR="00A67C26" w:rsidRPr="00B63BD5" w:rsidRDefault="00A67C26" w:rsidP="00632863">
      <w:pPr>
        <w:keepNext/>
        <w:spacing w:after="240"/>
        <w:jc w:val="both"/>
        <w:rPr>
          <w:bCs/>
          <w:lang w:val="fr-CA"/>
        </w:rPr>
      </w:pPr>
      <w:r w:rsidRPr="00B63BD5">
        <w:rPr>
          <w:b/>
          <w:color w:val="00B0F0"/>
          <w:lang w:val="fr-CA"/>
        </w:rPr>
        <w:t>[A. (</w:t>
      </w:r>
      <w:r w:rsidR="000E0271" w:rsidRPr="00B63BD5">
        <w:rPr>
          <w:b/>
          <w:color w:val="00B0F0"/>
          <w:lang w:val="fr-CA"/>
        </w:rPr>
        <w:t>Capital + i</w:t>
      </w:r>
      <w:r w:rsidRPr="00B63BD5">
        <w:rPr>
          <w:b/>
          <w:color w:val="00B0F0"/>
          <w:lang w:val="fr-CA"/>
        </w:rPr>
        <w:t>ntérêt)</w:t>
      </w:r>
      <w:r w:rsidR="00AC4107" w:rsidRPr="00B63BD5">
        <w:rPr>
          <w:b/>
          <w:color w:val="00B0F0"/>
          <w:lang w:val="fr-CA"/>
        </w:rPr>
        <w:t xml:space="preserve"> </w:t>
      </w:r>
      <w:r w:rsidRPr="00B63BD5">
        <w:rPr>
          <w:b/>
          <w:color w:val="00B0F0"/>
          <w:lang w:val="fr-CA"/>
        </w:rPr>
        <w:t>:]</w:t>
      </w:r>
      <w:r w:rsidRPr="00B63BD5">
        <w:rPr>
          <w:lang w:val="fr-CA"/>
        </w:rPr>
        <w:t xml:space="preserve"> Toutes les sommes impayées sur la Facilité de prêt relative aux immobilisations doivent être remboursées sur demande de la Banque et, jusqu</w:t>
      </w:r>
      <w:r w:rsidR="00564B0C" w:rsidRPr="00B63BD5">
        <w:rPr>
          <w:lang w:val="fr-CA"/>
        </w:rPr>
        <w:t>’</w:t>
      </w:r>
      <w:r w:rsidRPr="00B63BD5">
        <w:rPr>
          <w:lang w:val="fr-CA"/>
        </w:rPr>
        <w:t>à ce que la Banque fasse</w:t>
      </w:r>
      <w:r w:rsidR="004806CA" w:rsidRPr="00B63BD5">
        <w:rPr>
          <w:lang w:val="fr-CA"/>
        </w:rPr>
        <w:t xml:space="preserve"> une telle</w:t>
      </w:r>
      <w:r w:rsidRPr="00B63BD5">
        <w:rPr>
          <w:lang w:val="fr-CA"/>
        </w:rPr>
        <w:t xml:space="preserve"> de</w:t>
      </w:r>
      <w:r w:rsidR="000D0E47" w:rsidRPr="00B63BD5">
        <w:rPr>
          <w:lang w:val="fr-CA"/>
        </w:rPr>
        <w:t>m</w:t>
      </w:r>
      <w:r w:rsidRPr="00B63BD5">
        <w:rPr>
          <w:lang w:val="fr-CA"/>
        </w:rPr>
        <w:t xml:space="preserve">ande de remboursement, </w:t>
      </w:r>
      <w:r w:rsidR="007A3C15" w:rsidRPr="00B63BD5">
        <w:rPr>
          <w:bCs/>
          <w:lang w:val="fr-CA"/>
        </w:rPr>
        <w:t>l</w:t>
      </w:r>
      <w:r w:rsidR="00564B0C" w:rsidRPr="00B63BD5">
        <w:rPr>
          <w:bCs/>
          <w:lang w:val="fr-CA"/>
        </w:rPr>
        <w:t>’</w:t>
      </w:r>
      <w:r w:rsidR="007A3C15" w:rsidRPr="00B63BD5">
        <w:rPr>
          <w:bCs/>
          <w:lang w:val="fr-CA"/>
        </w:rPr>
        <w:t xml:space="preserve">Emprunteur doit faire des remboursements de capital </w:t>
      </w:r>
      <w:r w:rsidR="0015565A" w:rsidRPr="00B63BD5">
        <w:rPr>
          <w:bCs/>
          <w:lang w:val="fr-CA"/>
        </w:rPr>
        <w:t>[</w:t>
      </w:r>
      <w:r w:rsidR="007A3C15" w:rsidRPr="00B63BD5">
        <w:rPr>
          <w:bCs/>
          <w:lang w:val="fr-CA"/>
        </w:rPr>
        <w:t>mensuels</w:t>
      </w:r>
      <w:r w:rsidR="0015565A" w:rsidRPr="00B63BD5">
        <w:rPr>
          <w:bCs/>
          <w:lang w:val="fr-CA"/>
        </w:rPr>
        <w:t>][trimestriels]</w:t>
      </w:r>
      <w:r w:rsidR="007A3C15" w:rsidRPr="00B63BD5">
        <w:rPr>
          <w:bCs/>
          <w:lang w:val="fr-CA"/>
        </w:rPr>
        <w:t xml:space="preserve"> </w:t>
      </w:r>
      <w:r w:rsidR="0015565A" w:rsidRPr="00B63BD5">
        <w:rPr>
          <w:bCs/>
          <w:lang w:val="fr-CA"/>
        </w:rPr>
        <w:t>d</w:t>
      </w:r>
      <w:r w:rsidR="00564B0C" w:rsidRPr="00B63BD5">
        <w:rPr>
          <w:bCs/>
          <w:lang w:val="fr-CA"/>
        </w:rPr>
        <w:t>’</w:t>
      </w:r>
      <w:r w:rsidR="0015565A" w:rsidRPr="00B63BD5">
        <w:rPr>
          <w:bCs/>
          <w:lang w:val="fr-CA"/>
        </w:rPr>
        <w:t>un</w:t>
      </w:r>
      <w:r w:rsidR="00AB0594" w:rsidRPr="00B63BD5">
        <w:rPr>
          <w:bCs/>
          <w:lang w:val="fr-CA"/>
        </w:rPr>
        <w:t xml:space="preserve"> </w:t>
      </w:r>
      <w:r w:rsidR="0015565A" w:rsidRPr="00B63BD5">
        <w:rPr>
          <w:bCs/>
          <w:lang w:val="fr-CA"/>
        </w:rPr>
        <w:t xml:space="preserve">montant </w:t>
      </w:r>
      <w:r w:rsidR="007A00D6" w:rsidRPr="00B63BD5">
        <w:rPr>
          <w:bCs/>
          <w:lang w:val="fr-CA"/>
        </w:rPr>
        <w:t>indiqué</w:t>
      </w:r>
      <w:r w:rsidR="0015565A" w:rsidRPr="00B63BD5">
        <w:rPr>
          <w:bCs/>
          <w:lang w:val="fr-CA"/>
        </w:rPr>
        <w:t xml:space="preserve"> par la Banque</w:t>
      </w:r>
      <w:r w:rsidR="007A00D6" w:rsidRPr="00B63BD5">
        <w:rPr>
          <w:bCs/>
          <w:lang w:val="fr-CA"/>
        </w:rPr>
        <w:t>,</w:t>
      </w:r>
      <w:r w:rsidR="0015565A" w:rsidRPr="00B63BD5">
        <w:rPr>
          <w:bCs/>
          <w:lang w:val="fr-CA"/>
        </w:rPr>
        <w:t xml:space="preserve"> </w:t>
      </w:r>
      <w:r w:rsidR="007A00D6" w:rsidRPr="00B63BD5">
        <w:rPr>
          <w:bCs/>
          <w:lang w:val="fr-CA"/>
        </w:rPr>
        <w:t>majoré</w:t>
      </w:r>
      <w:r w:rsidR="007A3C15" w:rsidRPr="00B63BD5">
        <w:rPr>
          <w:bCs/>
          <w:lang w:val="fr-CA"/>
        </w:rPr>
        <w:t xml:space="preserve"> de l</w:t>
      </w:r>
      <w:r w:rsidR="00564B0C" w:rsidRPr="00B63BD5">
        <w:rPr>
          <w:bCs/>
          <w:lang w:val="fr-CA"/>
        </w:rPr>
        <w:t>’</w:t>
      </w:r>
      <w:r w:rsidR="007A3C15" w:rsidRPr="00B63BD5">
        <w:rPr>
          <w:bCs/>
          <w:lang w:val="fr-CA"/>
        </w:rPr>
        <w:t xml:space="preserve">intérêt couru calculé au taux applicable par année </w:t>
      </w:r>
      <w:r w:rsidR="007A00D6" w:rsidRPr="00B63BD5">
        <w:rPr>
          <w:bCs/>
          <w:lang w:val="fr-CA"/>
        </w:rPr>
        <w:t>en</w:t>
      </w:r>
      <w:r w:rsidR="00AB0594" w:rsidRPr="00B63BD5">
        <w:rPr>
          <w:bCs/>
          <w:lang w:val="fr-CA"/>
        </w:rPr>
        <w:t xml:space="preserve"> </w:t>
      </w:r>
      <w:r w:rsidR="007A00D6" w:rsidRPr="00B63BD5">
        <w:rPr>
          <w:bCs/>
          <w:lang w:val="fr-CA"/>
        </w:rPr>
        <w:t>fonction d</w:t>
      </w:r>
      <w:r w:rsidR="00564B0C" w:rsidRPr="00B63BD5">
        <w:rPr>
          <w:bCs/>
          <w:lang w:val="fr-CA"/>
        </w:rPr>
        <w:t>’</w:t>
      </w:r>
      <w:r w:rsidR="0015565A" w:rsidRPr="00B63BD5">
        <w:rPr>
          <w:bCs/>
          <w:lang w:val="fr-CA"/>
        </w:rPr>
        <w:t>une période d</w:t>
      </w:r>
      <w:r w:rsidR="00564B0C" w:rsidRPr="00B63BD5">
        <w:rPr>
          <w:bCs/>
          <w:lang w:val="fr-CA"/>
        </w:rPr>
        <w:t>’</w:t>
      </w:r>
      <w:r w:rsidR="0015565A" w:rsidRPr="00B63BD5">
        <w:rPr>
          <w:bCs/>
          <w:lang w:val="fr-CA"/>
        </w:rPr>
        <w:t xml:space="preserve">amortissement </w:t>
      </w:r>
      <w:r w:rsidR="00D83574" w:rsidRPr="00B63BD5">
        <w:rPr>
          <w:bCs/>
          <w:lang w:val="fr-CA"/>
        </w:rPr>
        <w:t>notionnelle</w:t>
      </w:r>
      <w:r w:rsidR="0015565A" w:rsidRPr="00B63BD5">
        <w:rPr>
          <w:bCs/>
          <w:lang w:val="fr-CA"/>
        </w:rPr>
        <w:t xml:space="preserve"> de </w:t>
      </w:r>
      <w:r w:rsidR="005812EB" w:rsidRPr="00B63BD5">
        <w:rPr>
          <w:bCs/>
          <w:lang w:val="fr-CA"/>
        </w:rPr>
        <w:t>●</w:t>
      </w:r>
      <w:r w:rsidR="00AC4107" w:rsidRPr="00B63BD5">
        <w:rPr>
          <w:bCs/>
          <w:lang w:val="fr-CA"/>
        </w:rPr>
        <w:t xml:space="preserve"> </w:t>
      </w:r>
      <w:r w:rsidR="0015565A" w:rsidRPr="00B63BD5">
        <w:rPr>
          <w:bCs/>
          <w:lang w:val="fr-CA"/>
        </w:rPr>
        <w:t xml:space="preserve">ans </w:t>
      </w:r>
      <w:r w:rsidR="007A3C15" w:rsidRPr="00B63BD5">
        <w:rPr>
          <w:bCs/>
          <w:lang w:val="fr-CA"/>
        </w:rPr>
        <w:t xml:space="preserve">à compter </w:t>
      </w:r>
      <w:r w:rsidR="005812EB" w:rsidRPr="00B63BD5">
        <w:rPr>
          <w:bCs/>
          <w:lang w:val="fr-CA"/>
        </w:rPr>
        <w:t xml:space="preserve">de la date </w:t>
      </w:r>
      <w:r w:rsidR="007A00D6" w:rsidRPr="00B63BD5">
        <w:rPr>
          <w:bCs/>
          <w:lang w:val="fr-CA"/>
        </w:rPr>
        <w:t>indiquée</w:t>
      </w:r>
      <w:r w:rsidR="005812EB" w:rsidRPr="00B63BD5">
        <w:rPr>
          <w:bCs/>
          <w:lang w:val="fr-CA"/>
        </w:rPr>
        <w:t xml:space="preserve"> par</w:t>
      </w:r>
      <w:r w:rsidR="00AB0594" w:rsidRPr="00B63BD5">
        <w:rPr>
          <w:bCs/>
          <w:lang w:val="fr-CA"/>
        </w:rPr>
        <w:t xml:space="preserve"> </w:t>
      </w:r>
      <w:r w:rsidR="005812EB" w:rsidRPr="00B63BD5">
        <w:rPr>
          <w:bCs/>
          <w:lang w:val="fr-CA"/>
        </w:rPr>
        <w:t>la</w:t>
      </w:r>
      <w:r w:rsidR="00AB0594" w:rsidRPr="00B63BD5">
        <w:rPr>
          <w:bCs/>
          <w:lang w:val="fr-CA"/>
        </w:rPr>
        <w:t xml:space="preserve"> </w:t>
      </w:r>
      <w:r w:rsidR="005812EB" w:rsidRPr="00B63BD5">
        <w:rPr>
          <w:bCs/>
          <w:lang w:val="fr-CA"/>
        </w:rPr>
        <w:t>Banque</w:t>
      </w:r>
      <w:r w:rsidR="007A3C15" w:rsidRPr="00B63BD5">
        <w:rPr>
          <w:bCs/>
          <w:lang w:val="fr-CA"/>
        </w:rPr>
        <w:t>.</w:t>
      </w:r>
    </w:p>
    <w:p w14:paraId="2DD844C0" w14:textId="3A5333C0" w:rsidR="00351291" w:rsidRPr="00B63BD5" w:rsidRDefault="00351291" w:rsidP="00632863">
      <w:pPr>
        <w:widowControl w:val="0"/>
        <w:spacing w:after="240"/>
        <w:jc w:val="both"/>
        <w:rPr>
          <w:lang w:val="fr-CA"/>
        </w:rPr>
      </w:pPr>
      <w:r w:rsidRPr="00B63BD5">
        <w:rPr>
          <w:b/>
          <w:color w:val="00B0F0"/>
          <w:lang w:val="fr-CA"/>
        </w:rPr>
        <w:t>[B. (Intérêt seulement, puis capital + intérêt)</w:t>
      </w:r>
      <w:r w:rsidR="00AC4107" w:rsidRPr="00B63BD5">
        <w:rPr>
          <w:b/>
          <w:color w:val="00B0F0"/>
          <w:lang w:val="fr-CA"/>
        </w:rPr>
        <w:t xml:space="preserve"> </w:t>
      </w:r>
      <w:r w:rsidRPr="00B63BD5">
        <w:rPr>
          <w:b/>
          <w:color w:val="00B0F0"/>
          <w:lang w:val="fr-CA"/>
        </w:rPr>
        <w:t>:]</w:t>
      </w:r>
      <w:r w:rsidRPr="00B63BD5">
        <w:rPr>
          <w:lang w:val="fr-CA"/>
        </w:rPr>
        <w:t xml:space="preserve"> Toutes les sommes impayées sur la Facilité de prêt relative aux immobilisations doivent être remboursées sur demande de la Banque et, jusqu</w:t>
      </w:r>
      <w:r w:rsidR="00564B0C" w:rsidRPr="00B63BD5">
        <w:rPr>
          <w:lang w:val="fr-CA"/>
        </w:rPr>
        <w:t>’</w:t>
      </w:r>
      <w:r w:rsidRPr="00B63BD5">
        <w:rPr>
          <w:lang w:val="fr-CA"/>
        </w:rPr>
        <w:t>à ce</w:t>
      </w:r>
      <w:r w:rsidR="00AB0594" w:rsidRPr="00B63BD5">
        <w:rPr>
          <w:lang w:val="fr-CA"/>
        </w:rPr>
        <w:t xml:space="preserve"> </w:t>
      </w:r>
      <w:r w:rsidRPr="00B63BD5">
        <w:rPr>
          <w:lang w:val="fr-CA"/>
        </w:rPr>
        <w:t>que</w:t>
      </w:r>
      <w:r w:rsidR="00AB0594" w:rsidRPr="00B63BD5">
        <w:rPr>
          <w:lang w:val="fr-CA"/>
        </w:rPr>
        <w:t xml:space="preserve"> </w:t>
      </w:r>
      <w:r w:rsidRPr="00B63BD5">
        <w:rPr>
          <w:lang w:val="fr-CA"/>
        </w:rPr>
        <w:t>la</w:t>
      </w:r>
      <w:r w:rsidR="00AB0594" w:rsidRPr="00B63BD5">
        <w:rPr>
          <w:lang w:val="fr-CA"/>
        </w:rPr>
        <w:t xml:space="preserve"> </w:t>
      </w:r>
      <w:r w:rsidRPr="00B63BD5">
        <w:rPr>
          <w:lang w:val="fr-CA"/>
        </w:rPr>
        <w:t>Banque fasse une telle demande de remboursement, l</w:t>
      </w:r>
      <w:r w:rsidR="00564B0C" w:rsidRPr="00B63BD5">
        <w:rPr>
          <w:lang w:val="fr-CA"/>
        </w:rPr>
        <w:t>’</w:t>
      </w:r>
      <w:r w:rsidRPr="00B63BD5">
        <w:rPr>
          <w:lang w:val="fr-CA"/>
        </w:rPr>
        <w:t xml:space="preserve">Emprunteur doit faire des </w:t>
      </w:r>
      <w:r w:rsidR="00467178" w:rsidRPr="00B63BD5">
        <w:rPr>
          <w:lang w:val="fr-CA"/>
        </w:rPr>
        <w:t xml:space="preserve">paiements </w:t>
      </w:r>
      <w:r w:rsidRPr="00B63BD5">
        <w:rPr>
          <w:lang w:val="fr-CA"/>
        </w:rPr>
        <w:t>d</w:t>
      </w:r>
      <w:r w:rsidR="00564B0C" w:rsidRPr="00B63BD5">
        <w:rPr>
          <w:lang w:val="fr-CA"/>
        </w:rPr>
        <w:t>’</w:t>
      </w:r>
      <w:r w:rsidRPr="00B63BD5">
        <w:rPr>
          <w:lang w:val="fr-CA"/>
        </w:rPr>
        <w:t xml:space="preserve">intérêt </w:t>
      </w:r>
      <w:r w:rsidRPr="00B63BD5">
        <w:rPr>
          <w:bCs/>
          <w:lang w:val="fr-CA"/>
        </w:rPr>
        <w:t>[mensuels][trimestriels]</w:t>
      </w:r>
      <w:r w:rsidRPr="00B63BD5">
        <w:rPr>
          <w:lang w:val="fr-CA"/>
        </w:rPr>
        <w:t>, l</w:t>
      </w:r>
      <w:r w:rsidR="00564B0C" w:rsidRPr="00B63BD5">
        <w:rPr>
          <w:lang w:val="fr-CA"/>
        </w:rPr>
        <w:t>’</w:t>
      </w:r>
      <w:r w:rsidRPr="00B63BD5">
        <w:rPr>
          <w:lang w:val="fr-CA"/>
        </w:rPr>
        <w:t>intérêt couru étant calculé au taux applicable par année à compter de</w:t>
      </w:r>
      <w:r w:rsidR="00AB0594" w:rsidRPr="00B63BD5">
        <w:rPr>
          <w:lang w:val="fr-CA"/>
        </w:rPr>
        <w:t xml:space="preserve"> </w:t>
      </w:r>
      <w:r w:rsidRPr="00B63BD5">
        <w:rPr>
          <w:lang w:val="fr-CA"/>
        </w:rPr>
        <w:t>la date indiquée par la Banque pendant une période de [12</w:t>
      </w:r>
      <w:r w:rsidR="00AB0594" w:rsidRPr="00B63BD5">
        <w:rPr>
          <w:lang w:val="fr-CA"/>
        </w:rPr>
        <w:t> </w:t>
      </w:r>
      <w:r w:rsidRPr="00B63BD5">
        <w:rPr>
          <w:lang w:val="fr-CA"/>
        </w:rPr>
        <w:t>mois]. Par la suite, l</w:t>
      </w:r>
      <w:r w:rsidR="00564B0C" w:rsidRPr="00B63BD5">
        <w:rPr>
          <w:lang w:val="fr-CA"/>
        </w:rPr>
        <w:t>’</w:t>
      </w:r>
      <w:r w:rsidRPr="00B63BD5">
        <w:rPr>
          <w:lang w:val="fr-CA"/>
        </w:rPr>
        <w:t xml:space="preserve">Emprunteur devra faire des remboursements de capital </w:t>
      </w:r>
      <w:r w:rsidRPr="00B63BD5">
        <w:rPr>
          <w:bCs/>
          <w:lang w:val="fr-CA"/>
        </w:rPr>
        <w:t>[mensuels][trimestriels]</w:t>
      </w:r>
      <w:r w:rsidRPr="00B63BD5">
        <w:rPr>
          <w:lang w:val="fr-CA"/>
        </w:rPr>
        <w:t xml:space="preserve"> d</w:t>
      </w:r>
      <w:r w:rsidR="00564B0C" w:rsidRPr="00B63BD5">
        <w:rPr>
          <w:lang w:val="fr-CA"/>
        </w:rPr>
        <w:t>’</w:t>
      </w:r>
      <w:r w:rsidRPr="00B63BD5">
        <w:rPr>
          <w:lang w:val="fr-CA"/>
        </w:rPr>
        <w:t>un montant indiqué par la Banque, majoré de</w:t>
      </w:r>
      <w:r w:rsidR="00AB0594" w:rsidRPr="00B63BD5">
        <w:rPr>
          <w:lang w:val="fr-CA"/>
        </w:rPr>
        <w:t xml:space="preserve"> </w:t>
      </w:r>
      <w:r w:rsidRPr="00B63BD5">
        <w:rPr>
          <w:lang w:val="fr-CA"/>
        </w:rPr>
        <w:t>l</w:t>
      </w:r>
      <w:r w:rsidR="00564B0C" w:rsidRPr="00B63BD5">
        <w:rPr>
          <w:lang w:val="fr-CA"/>
        </w:rPr>
        <w:t>’</w:t>
      </w:r>
      <w:r w:rsidRPr="00B63BD5">
        <w:rPr>
          <w:lang w:val="fr-CA"/>
        </w:rPr>
        <w:t>intérêt couru calculé au taux applicable par année en fonction d</w:t>
      </w:r>
      <w:r w:rsidR="00564B0C" w:rsidRPr="00B63BD5">
        <w:rPr>
          <w:lang w:val="fr-CA"/>
        </w:rPr>
        <w:t>’</w:t>
      </w:r>
      <w:r w:rsidRPr="00B63BD5">
        <w:rPr>
          <w:lang w:val="fr-CA"/>
        </w:rPr>
        <w:t>une période d</w:t>
      </w:r>
      <w:r w:rsidR="00564B0C" w:rsidRPr="00B63BD5">
        <w:rPr>
          <w:lang w:val="fr-CA"/>
        </w:rPr>
        <w:t>’</w:t>
      </w:r>
      <w:r w:rsidRPr="00B63BD5">
        <w:rPr>
          <w:lang w:val="fr-CA"/>
        </w:rPr>
        <w:t xml:space="preserve">amortissement </w:t>
      </w:r>
      <w:r w:rsidR="00D83574" w:rsidRPr="00B63BD5">
        <w:rPr>
          <w:lang w:val="fr-CA"/>
        </w:rPr>
        <w:t>notionnelle</w:t>
      </w:r>
      <w:r w:rsidRPr="00B63BD5">
        <w:rPr>
          <w:lang w:val="fr-CA"/>
        </w:rPr>
        <w:t xml:space="preserve"> de </w:t>
      </w:r>
      <w:r w:rsidR="009C796D" w:rsidRPr="00B63BD5">
        <w:rPr>
          <w:lang w:val="fr-CA"/>
        </w:rPr>
        <w:t>●</w:t>
      </w:r>
      <w:r w:rsidR="00AB0594" w:rsidRPr="00B63BD5">
        <w:rPr>
          <w:lang w:val="fr-CA"/>
        </w:rPr>
        <w:t> </w:t>
      </w:r>
      <w:r w:rsidRPr="00B63BD5">
        <w:rPr>
          <w:lang w:val="fr-CA"/>
        </w:rPr>
        <w:t>ans à</w:t>
      </w:r>
      <w:r w:rsidR="00AB0594" w:rsidRPr="00B63BD5">
        <w:rPr>
          <w:lang w:val="fr-CA"/>
        </w:rPr>
        <w:t xml:space="preserve"> </w:t>
      </w:r>
      <w:r w:rsidRPr="00B63BD5">
        <w:rPr>
          <w:lang w:val="fr-CA"/>
        </w:rPr>
        <w:t>compter de la date indiquée par la Banque.</w:t>
      </w:r>
    </w:p>
    <w:p w14:paraId="1D050B96" w14:textId="32057123" w:rsidR="00A1368C" w:rsidRPr="00B63BD5" w:rsidRDefault="000152EA" w:rsidP="00632863">
      <w:pPr>
        <w:pStyle w:val="ListParagraph"/>
        <w:widowControl w:val="0"/>
        <w:spacing w:after="240"/>
        <w:ind w:left="0"/>
        <w:contextualSpacing w:val="0"/>
        <w:jc w:val="both"/>
        <w:rPr>
          <w:bCs/>
          <w:szCs w:val="20"/>
          <w:lang w:val="fr-CA"/>
        </w:rPr>
      </w:pPr>
      <w:r w:rsidRPr="00B63BD5">
        <w:rPr>
          <w:b/>
          <w:color w:val="00B0F0"/>
          <w:szCs w:val="20"/>
          <w:lang w:val="fr-CA"/>
        </w:rPr>
        <w:t>[</w:t>
      </w:r>
      <w:r w:rsidR="005A1BD5" w:rsidRPr="00B63BD5">
        <w:rPr>
          <w:b/>
          <w:color w:val="00B0F0"/>
          <w:szCs w:val="20"/>
          <w:lang w:val="fr-CA"/>
        </w:rPr>
        <w:t>C</w:t>
      </w:r>
      <w:r w:rsidRPr="00B63BD5">
        <w:rPr>
          <w:b/>
          <w:color w:val="00B0F0"/>
          <w:szCs w:val="20"/>
          <w:lang w:val="fr-CA"/>
        </w:rPr>
        <w:t>. (</w:t>
      </w:r>
      <w:r w:rsidR="00B91A9C" w:rsidRPr="00B63BD5">
        <w:rPr>
          <w:b/>
          <w:color w:val="00B0F0"/>
          <w:szCs w:val="20"/>
          <w:lang w:val="fr-CA"/>
        </w:rPr>
        <w:t>Intérêt seulement, puis paiement libératoire)</w:t>
      </w:r>
      <w:r w:rsidR="00AC4107" w:rsidRPr="00B63BD5">
        <w:rPr>
          <w:b/>
          <w:color w:val="00B0F0"/>
          <w:szCs w:val="20"/>
          <w:lang w:val="fr-CA"/>
        </w:rPr>
        <w:t xml:space="preserve"> </w:t>
      </w:r>
      <w:r w:rsidR="00B91A9C" w:rsidRPr="00B63BD5">
        <w:rPr>
          <w:b/>
          <w:color w:val="00B0F0"/>
          <w:szCs w:val="20"/>
          <w:lang w:val="fr-CA"/>
        </w:rPr>
        <w:t>:</w:t>
      </w:r>
      <w:r w:rsidRPr="00B63BD5">
        <w:rPr>
          <w:b/>
          <w:color w:val="00B0F0"/>
          <w:szCs w:val="20"/>
          <w:lang w:val="fr-CA"/>
        </w:rPr>
        <w:t>]</w:t>
      </w:r>
      <w:r w:rsidRPr="00B63BD5">
        <w:rPr>
          <w:szCs w:val="20"/>
          <w:lang w:val="fr-CA"/>
        </w:rPr>
        <w:t xml:space="preserve"> Toutes les sommes impayées sur la Facilité de prêt relative aux immobilisations doivent être remboursées sur demande de la Banque et, jusqu</w:t>
      </w:r>
      <w:r w:rsidR="00564B0C" w:rsidRPr="00B63BD5">
        <w:rPr>
          <w:szCs w:val="20"/>
          <w:lang w:val="fr-CA"/>
        </w:rPr>
        <w:t>’</w:t>
      </w:r>
      <w:r w:rsidRPr="00B63BD5">
        <w:rPr>
          <w:szCs w:val="20"/>
          <w:lang w:val="fr-CA"/>
        </w:rPr>
        <w:t>à ce</w:t>
      </w:r>
      <w:r w:rsidR="00AB0594" w:rsidRPr="00B63BD5">
        <w:rPr>
          <w:szCs w:val="20"/>
          <w:lang w:val="fr-CA"/>
        </w:rPr>
        <w:t xml:space="preserve"> </w:t>
      </w:r>
      <w:r w:rsidRPr="00B63BD5">
        <w:rPr>
          <w:szCs w:val="20"/>
          <w:lang w:val="fr-CA"/>
        </w:rPr>
        <w:t>que</w:t>
      </w:r>
      <w:r w:rsidR="00AB0594" w:rsidRPr="00B63BD5">
        <w:rPr>
          <w:szCs w:val="20"/>
          <w:lang w:val="fr-CA"/>
        </w:rPr>
        <w:t xml:space="preserve"> </w:t>
      </w:r>
      <w:r w:rsidRPr="00B63BD5">
        <w:rPr>
          <w:szCs w:val="20"/>
          <w:lang w:val="fr-CA"/>
        </w:rPr>
        <w:t>la</w:t>
      </w:r>
      <w:r w:rsidR="00AB0594" w:rsidRPr="00B63BD5">
        <w:rPr>
          <w:szCs w:val="20"/>
          <w:lang w:val="fr-CA"/>
        </w:rPr>
        <w:t xml:space="preserve"> </w:t>
      </w:r>
      <w:r w:rsidRPr="00B63BD5">
        <w:rPr>
          <w:szCs w:val="20"/>
          <w:lang w:val="fr-CA"/>
        </w:rPr>
        <w:t>Banque fasse</w:t>
      </w:r>
      <w:r w:rsidR="004806CA" w:rsidRPr="00B63BD5">
        <w:rPr>
          <w:szCs w:val="20"/>
          <w:lang w:val="fr-CA"/>
        </w:rPr>
        <w:t xml:space="preserve"> une telle</w:t>
      </w:r>
      <w:r w:rsidR="000D0E47" w:rsidRPr="00B63BD5">
        <w:rPr>
          <w:szCs w:val="20"/>
          <w:lang w:val="fr-CA"/>
        </w:rPr>
        <w:t xml:space="preserve"> </w:t>
      </w:r>
      <w:r w:rsidRPr="00B63BD5">
        <w:rPr>
          <w:szCs w:val="20"/>
          <w:lang w:val="fr-CA"/>
        </w:rPr>
        <w:t xml:space="preserve">demande de remboursement, </w:t>
      </w:r>
      <w:r w:rsidR="009E4A7B" w:rsidRPr="00B63BD5">
        <w:rPr>
          <w:bCs/>
          <w:szCs w:val="20"/>
          <w:lang w:val="fr-CA"/>
        </w:rPr>
        <w:t>l</w:t>
      </w:r>
      <w:r w:rsidR="00564B0C" w:rsidRPr="00B63BD5">
        <w:rPr>
          <w:bCs/>
          <w:szCs w:val="20"/>
          <w:lang w:val="fr-CA"/>
        </w:rPr>
        <w:t>’</w:t>
      </w:r>
      <w:r w:rsidR="00A1368C" w:rsidRPr="00B63BD5">
        <w:rPr>
          <w:bCs/>
          <w:szCs w:val="20"/>
          <w:lang w:val="fr-CA"/>
        </w:rPr>
        <w:t xml:space="preserve">Emprunteur doit faire des </w:t>
      </w:r>
      <w:r w:rsidR="005F70C3" w:rsidRPr="00B63BD5">
        <w:rPr>
          <w:bCs/>
          <w:szCs w:val="20"/>
          <w:lang w:val="fr-CA"/>
        </w:rPr>
        <w:t xml:space="preserve">paiements </w:t>
      </w:r>
      <w:r w:rsidR="00B91A9C" w:rsidRPr="00B63BD5">
        <w:rPr>
          <w:bCs/>
          <w:szCs w:val="20"/>
          <w:lang w:val="fr-CA"/>
        </w:rPr>
        <w:t>d</w:t>
      </w:r>
      <w:r w:rsidR="00564B0C" w:rsidRPr="00B63BD5">
        <w:rPr>
          <w:bCs/>
          <w:szCs w:val="20"/>
          <w:lang w:val="fr-CA"/>
        </w:rPr>
        <w:t>’</w:t>
      </w:r>
      <w:r w:rsidR="00B91A9C" w:rsidRPr="00B63BD5">
        <w:rPr>
          <w:bCs/>
          <w:szCs w:val="20"/>
          <w:lang w:val="fr-CA"/>
        </w:rPr>
        <w:t>intérêt</w:t>
      </w:r>
      <w:r w:rsidR="00A1368C" w:rsidRPr="00B63BD5">
        <w:rPr>
          <w:bCs/>
          <w:szCs w:val="20"/>
          <w:lang w:val="fr-CA"/>
        </w:rPr>
        <w:t xml:space="preserve"> </w:t>
      </w:r>
      <w:r w:rsidR="00B91A9C" w:rsidRPr="00B63BD5">
        <w:rPr>
          <w:bCs/>
          <w:szCs w:val="20"/>
          <w:lang w:val="fr-CA"/>
        </w:rPr>
        <w:t>[</w:t>
      </w:r>
      <w:r w:rsidR="00A1368C" w:rsidRPr="00B63BD5">
        <w:rPr>
          <w:bCs/>
          <w:szCs w:val="20"/>
          <w:lang w:val="fr-CA"/>
        </w:rPr>
        <w:t>mensuels</w:t>
      </w:r>
      <w:r w:rsidR="00B91A9C" w:rsidRPr="00B63BD5">
        <w:rPr>
          <w:bCs/>
          <w:szCs w:val="20"/>
          <w:lang w:val="fr-CA"/>
        </w:rPr>
        <w:t>][trimestriels]</w:t>
      </w:r>
      <w:r w:rsidR="00B91A9C" w:rsidRPr="00B63BD5">
        <w:rPr>
          <w:b/>
          <w:bCs/>
          <w:szCs w:val="20"/>
          <w:lang w:val="fr-CA"/>
        </w:rPr>
        <w:t>,</w:t>
      </w:r>
      <w:r w:rsidR="00A1368C" w:rsidRPr="00B63BD5">
        <w:rPr>
          <w:bCs/>
          <w:szCs w:val="20"/>
          <w:lang w:val="fr-CA"/>
        </w:rPr>
        <w:t xml:space="preserve"> </w:t>
      </w:r>
      <w:r w:rsidR="00EC2FC4" w:rsidRPr="00B63BD5">
        <w:rPr>
          <w:bCs/>
          <w:szCs w:val="20"/>
          <w:lang w:val="fr-CA"/>
        </w:rPr>
        <w:t>l</w:t>
      </w:r>
      <w:r w:rsidR="00564B0C" w:rsidRPr="00B63BD5">
        <w:rPr>
          <w:bCs/>
          <w:szCs w:val="20"/>
          <w:lang w:val="fr-CA"/>
        </w:rPr>
        <w:t>’</w:t>
      </w:r>
      <w:r w:rsidR="00EC2FC4" w:rsidRPr="00B63BD5">
        <w:rPr>
          <w:bCs/>
          <w:szCs w:val="20"/>
          <w:lang w:val="fr-CA"/>
        </w:rPr>
        <w:t>intérêt couru étant calculé au taux applicable par année à compter de</w:t>
      </w:r>
      <w:r w:rsidR="00AB0594" w:rsidRPr="00B63BD5">
        <w:rPr>
          <w:bCs/>
          <w:szCs w:val="20"/>
          <w:lang w:val="fr-CA"/>
        </w:rPr>
        <w:t xml:space="preserve"> </w:t>
      </w:r>
      <w:r w:rsidR="00EC2FC4" w:rsidRPr="00B63BD5">
        <w:rPr>
          <w:bCs/>
          <w:szCs w:val="20"/>
          <w:lang w:val="fr-CA"/>
        </w:rPr>
        <w:t>la date indiquée par la Banque pendant une période de [12</w:t>
      </w:r>
      <w:r w:rsidR="00AB0594" w:rsidRPr="00B63BD5">
        <w:rPr>
          <w:szCs w:val="20"/>
          <w:lang w:val="fr-CA"/>
        </w:rPr>
        <w:t> </w:t>
      </w:r>
      <w:r w:rsidR="00EC2FC4" w:rsidRPr="00B63BD5">
        <w:rPr>
          <w:bCs/>
          <w:szCs w:val="20"/>
          <w:lang w:val="fr-CA"/>
        </w:rPr>
        <w:t>mois]. À la date du dernier versement, l</w:t>
      </w:r>
      <w:r w:rsidR="00564B0C" w:rsidRPr="00B63BD5">
        <w:rPr>
          <w:bCs/>
          <w:szCs w:val="20"/>
          <w:lang w:val="fr-CA"/>
        </w:rPr>
        <w:t>’</w:t>
      </w:r>
      <w:r w:rsidR="00EC2FC4" w:rsidRPr="00B63BD5">
        <w:rPr>
          <w:bCs/>
          <w:szCs w:val="20"/>
          <w:lang w:val="fr-CA"/>
        </w:rPr>
        <w:t xml:space="preserve">Emprunteur doit faire un paiement unique </w:t>
      </w:r>
      <w:r w:rsidR="008F6841" w:rsidRPr="00B63BD5">
        <w:rPr>
          <w:bCs/>
          <w:szCs w:val="20"/>
          <w:lang w:val="fr-CA"/>
        </w:rPr>
        <w:t>correspondant au montant total impayé</w:t>
      </w:r>
      <w:r w:rsidR="00A1368C" w:rsidRPr="00B63BD5">
        <w:rPr>
          <w:bCs/>
          <w:szCs w:val="20"/>
          <w:lang w:val="fr-CA"/>
        </w:rPr>
        <w:t xml:space="preserve"> </w:t>
      </w:r>
      <w:r w:rsidR="004B25DA" w:rsidRPr="00B63BD5">
        <w:rPr>
          <w:bCs/>
          <w:szCs w:val="20"/>
          <w:lang w:val="fr-CA"/>
        </w:rPr>
        <w:t>de</w:t>
      </w:r>
      <w:r w:rsidR="00A1368C" w:rsidRPr="00B63BD5">
        <w:rPr>
          <w:bCs/>
          <w:szCs w:val="20"/>
          <w:lang w:val="fr-CA"/>
        </w:rPr>
        <w:t xml:space="preserve"> capital et </w:t>
      </w:r>
      <w:r w:rsidR="004B25DA" w:rsidRPr="00B63BD5">
        <w:rPr>
          <w:bCs/>
          <w:szCs w:val="20"/>
          <w:lang w:val="fr-CA"/>
        </w:rPr>
        <w:t>d</w:t>
      </w:r>
      <w:r w:rsidR="00564B0C" w:rsidRPr="00B63BD5">
        <w:rPr>
          <w:bCs/>
          <w:szCs w:val="20"/>
          <w:lang w:val="fr-CA"/>
        </w:rPr>
        <w:t>’</w:t>
      </w:r>
      <w:r w:rsidR="007640C1" w:rsidRPr="00B63BD5">
        <w:rPr>
          <w:bCs/>
          <w:szCs w:val="20"/>
          <w:lang w:val="fr-CA"/>
        </w:rPr>
        <w:t>intérêt couru</w:t>
      </w:r>
      <w:r w:rsidR="00A1368C" w:rsidRPr="00B63BD5">
        <w:rPr>
          <w:bCs/>
          <w:szCs w:val="20"/>
          <w:lang w:val="fr-CA"/>
        </w:rPr>
        <w:t xml:space="preserve"> calculé au taux applicable par année</w:t>
      </w:r>
      <w:r w:rsidR="00D4379C" w:rsidRPr="00B63BD5">
        <w:rPr>
          <w:bCs/>
          <w:szCs w:val="20"/>
          <w:lang w:val="fr-CA"/>
        </w:rPr>
        <w:t>.</w:t>
      </w:r>
    </w:p>
    <w:p w14:paraId="0963A2A6" w14:textId="719DC466" w:rsidR="00C1625B" w:rsidRPr="00B63BD5" w:rsidRDefault="00E440D7" w:rsidP="00632863">
      <w:pPr>
        <w:pStyle w:val="ListParagraph"/>
        <w:keepNext/>
        <w:spacing w:after="240"/>
        <w:ind w:left="0"/>
        <w:contextualSpacing w:val="0"/>
        <w:jc w:val="both"/>
        <w:rPr>
          <w:b/>
          <w:bCs/>
          <w:color w:val="00B0F0"/>
          <w:szCs w:val="20"/>
          <w:lang w:val="fr-CA"/>
        </w:rPr>
      </w:pPr>
      <w:r w:rsidRPr="00B63BD5">
        <w:rPr>
          <w:b/>
          <w:bCs/>
          <w:color w:val="00B0F0"/>
          <w:szCs w:val="20"/>
          <w:lang w:val="fr-CA"/>
        </w:rPr>
        <w:t>[D. (Autre)</w:t>
      </w:r>
      <w:r w:rsidR="00AC4107" w:rsidRPr="00B63BD5">
        <w:rPr>
          <w:b/>
          <w:bCs/>
          <w:color w:val="00B0F0"/>
          <w:szCs w:val="20"/>
          <w:lang w:val="fr-CA"/>
        </w:rPr>
        <w:t xml:space="preserve"> </w:t>
      </w:r>
      <w:r w:rsidRPr="00B63BD5">
        <w:rPr>
          <w:b/>
          <w:bCs/>
          <w:color w:val="00B0F0"/>
          <w:szCs w:val="20"/>
          <w:lang w:val="fr-CA"/>
        </w:rPr>
        <w:t xml:space="preserve">:] </w:t>
      </w:r>
      <w:r w:rsidRPr="00B63BD5">
        <w:rPr>
          <w:szCs w:val="20"/>
          <w:lang w:val="fr-CA"/>
        </w:rPr>
        <w:t>Toutes les sommes impayées sur la Facilité de prêt relative aux immobilisations doivent être remboursées sur demande de la Banque et, jusqu</w:t>
      </w:r>
      <w:r w:rsidR="00564B0C" w:rsidRPr="00B63BD5">
        <w:rPr>
          <w:szCs w:val="20"/>
          <w:lang w:val="fr-CA"/>
        </w:rPr>
        <w:t>’</w:t>
      </w:r>
      <w:r w:rsidRPr="00B63BD5">
        <w:rPr>
          <w:szCs w:val="20"/>
          <w:lang w:val="fr-CA"/>
        </w:rPr>
        <w:t>à ce que la Banque fasse</w:t>
      </w:r>
      <w:r w:rsidR="004806CA" w:rsidRPr="00B63BD5">
        <w:rPr>
          <w:szCs w:val="20"/>
          <w:lang w:val="fr-CA"/>
        </w:rPr>
        <w:t xml:space="preserve"> une telle</w:t>
      </w:r>
      <w:r w:rsidRPr="00B63BD5">
        <w:rPr>
          <w:szCs w:val="20"/>
          <w:lang w:val="fr-CA"/>
        </w:rPr>
        <w:t xml:space="preserve"> demande de</w:t>
      </w:r>
      <w:r w:rsidR="008E1EED" w:rsidRPr="00B63BD5">
        <w:rPr>
          <w:szCs w:val="20"/>
          <w:lang w:val="fr-CA"/>
        </w:rPr>
        <w:t> </w:t>
      </w:r>
      <w:r w:rsidRPr="00B63BD5">
        <w:rPr>
          <w:szCs w:val="20"/>
          <w:lang w:val="fr-CA"/>
        </w:rPr>
        <w:t xml:space="preserve">remboursement, </w:t>
      </w:r>
      <w:r w:rsidR="00D4379C" w:rsidRPr="00B63BD5">
        <w:rPr>
          <w:b/>
          <w:bCs/>
          <w:color w:val="00B0F0"/>
          <w:szCs w:val="20"/>
          <w:lang w:val="fr-CA"/>
        </w:rPr>
        <w:t>[</w:t>
      </w:r>
      <w:r w:rsidRPr="00B63BD5">
        <w:rPr>
          <w:b/>
          <w:bCs/>
          <w:color w:val="00B0F0"/>
          <w:szCs w:val="20"/>
          <w:lang w:val="fr-CA"/>
        </w:rPr>
        <w:t>a</w:t>
      </w:r>
      <w:r w:rsidR="00D4379C" w:rsidRPr="00B63BD5">
        <w:rPr>
          <w:b/>
          <w:bCs/>
          <w:color w:val="00B0F0"/>
          <w:szCs w:val="20"/>
          <w:lang w:val="fr-CA"/>
        </w:rPr>
        <w:t xml:space="preserve">jouter </w:t>
      </w:r>
      <w:r w:rsidR="004B25DA" w:rsidRPr="00B63BD5">
        <w:rPr>
          <w:b/>
          <w:bCs/>
          <w:color w:val="00B0F0"/>
          <w:szCs w:val="20"/>
          <w:lang w:val="fr-CA"/>
        </w:rPr>
        <w:t>l</w:t>
      </w:r>
      <w:r w:rsidR="00D4379C" w:rsidRPr="00B63BD5">
        <w:rPr>
          <w:b/>
          <w:bCs/>
          <w:color w:val="00B0F0"/>
          <w:szCs w:val="20"/>
          <w:lang w:val="fr-CA"/>
        </w:rPr>
        <w:t>es modalités de remboursement</w:t>
      </w:r>
      <w:r w:rsidR="004B25DA" w:rsidRPr="00B63BD5">
        <w:rPr>
          <w:b/>
          <w:bCs/>
          <w:color w:val="00B0F0"/>
          <w:szCs w:val="20"/>
          <w:lang w:val="fr-CA"/>
        </w:rPr>
        <w:t xml:space="preserve"> applicables</w:t>
      </w:r>
      <w:r w:rsidR="00E94BFE" w:rsidRPr="00B63BD5">
        <w:rPr>
          <w:b/>
          <w:bCs/>
          <w:color w:val="00B0F0"/>
          <w:szCs w:val="20"/>
          <w:lang w:val="fr-CA"/>
        </w:rPr>
        <w:t>.</w:t>
      </w:r>
      <w:r w:rsidR="00D4379C" w:rsidRPr="00B63BD5">
        <w:rPr>
          <w:b/>
          <w:bCs/>
          <w:color w:val="00B0F0"/>
          <w:szCs w:val="20"/>
          <w:lang w:val="fr-CA"/>
        </w:rPr>
        <w:t>]</w:t>
      </w:r>
    </w:p>
    <w:p w14:paraId="66F8C131" w14:textId="2D5BC630" w:rsidR="00FA259C" w:rsidRPr="00B63BD5" w:rsidRDefault="00FA259C" w:rsidP="00C1625B">
      <w:pPr>
        <w:pStyle w:val="ListParagraph"/>
        <w:rPr>
          <w:szCs w:val="20"/>
          <w:lang w:val="fr-CA"/>
        </w:rPr>
      </w:pPr>
    </w:p>
    <w:p w14:paraId="695E2461" w14:textId="3AC510D8" w:rsidR="0035354F" w:rsidRPr="00B63BD5" w:rsidRDefault="00467178" w:rsidP="00632863">
      <w:pPr>
        <w:spacing w:after="240"/>
        <w:jc w:val="both"/>
        <w:rPr>
          <w:lang w:val="fr-CA"/>
        </w:rPr>
      </w:pPr>
      <w:r w:rsidRPr="00B63BD5">
        <w:rPr>
          <w:b/>
          <w:color w:val="00B0F0"/>
          <w:lang w:val="fr-CA"/>
        </w:rPr>
        <w:t>[N.B.</w:t>
      </w:r>
      <w:r w:rsidR="00AC4107" w:rsidRPr="00B63BD5">
        <w:rPr>
          <w:b/>
          <w:color w:val="00B0F0"/>
          <w:lang w:val="fr-CA"/>
        </w:rPr>
        <w:t xml:space="preserve"> </w:t>
      </w:r>
      <w:r w:rsidRPr="00B63BD5">
        <w:rPr>
          <w:b/>
          <w:color w:val="00B0F0"/>
          <w:lang w:val="fr-CA"/>
        </w:rPr>
        <w:t xml:space="preserve">: À utiliser si des Prêts au taux SOFR </w:t>
      </w:r>
      <w:r w:rsidRPr="00927950">
        <w:rPr>
          <w:b/>
          <w:color w:val="00B0F0"/>
          <w:u w:val="single"/>
          <w:lang w:val="fr-CA"/>
        </w:rPr>
        <w:t>à terme</w:t>
      </w:r>
      <w:r w:rsidRPr="00B63BD5">
        <w:rPr>
          <w:b/>
          <w:color w:val="00B0F0"/>
          <w:lang w:val="fr-CA"/>
        </w:rPr>
        <w:t xml:space="preserve"> sont offerts]</w:t>
      </w:r>
      <w:r w:rsidR="00AC4107" w:rsidRPr="00B63BD5">
        <w:rPr>
          <w:b/>
          <w:color w:val="00B0F0"/>
          <w:lang w:val="fr-CA"/>
        </w:rPr>
        <w:t xml:space="preserve"> </w:t>
      </w:r>
      <w:r w:rsidRPr="00B63BD5">
        <w:rPr>
          <w:b/>
          <w:color w:val="00B0F0"/>
          <w:lang w:val="fr-CA"/>
        </w:rPr>
        <w:t xml:space="preserve">: </w:t>
      </w:r>
      <w:r w:rsidR="0035354F" w:rsidRPr="00B63BD5">
        <w:rPr>
          <w:lang w:val="fr-CA"/>
        </w:rPr>
        <w:t>[Nonobstant ce qui précède, l</w:t>
      </w:r>
      <w:r w:rsidR="00564B0C" w:rsidRPr="00B63BD5">
        <w:rPr>
          <w:lang w:val="fr-CA"/>
        </w:rPr>
        <w:t>’</w:t>
      </w:r>
      <w:r w:rsidR="0035354F" w:rsidRPr="00B63BD5">
        <w:rPr>
          <w:lang w:val="fr-CA"/>
        </w:rPr>
        <w:t xml:space="preserve">intérêt sur le solde du capital impayé de tous les Prêts au taux </w:t>
      </w:r>
      <w:r w:rsidR="00224C91" w:rsidRPr="00B63BD5">
        <w:rPr>
          <w:lang w:val="fr-CA"/>
        </w:rPr>
        <w:t xml:space="preserve">SOFR à terme </w:t>
      </w:r>
      <w:r w:rsidR="0035354F" w:rsidRPr="00B63BD5">
        <w:rPr>
          <w:lang w:val="fr-CA"/>
        </w:rPr>
        <w:t>est établi au taux applicable par</w:t>
      </w:r>
      <w:r w:rsidR="008E1EED" w:rsidRPr="00B63BD5">
        <w:rPr>
          <w:lang w:val="fr-CA"/>
        </w:rPr>
        <w:t> </w:t>
      </w:r>
      <w:r w:rsidR="0035354F" w:rsidRPr="00B63BD5">
        <w:rPr>
          <w:lang w:val="fr-CA"/>
        </w:rPr>
        <w:t>année sur le solde quotidien et payable aux dates suivantes</w:t>
      </w:r>
      <w:r w:rsidR="00AC4107" w:rsidRPr="00B63BD5">
        <w:rPr>
          <w:lang w:val="fr-CA"/>
        </w:rPr>
        <w:t xml:space="preserve"> </w:t>
      </w:r>
      <w:r w:rsidR="0035354F" w:rsidRPr="00B63BD5">
        <w:rPr>
          <w:lang w:val="fr-CA"/>
        </w:rPr>
        <w:t>:</w:t>
      </w:r>
    </w:p>
    <w:p w14:paraId="1E5AF31C" w14:textId="1F2C1DC1" w:rsidR="0035354F" w:rsidRPr="00B63BD5" w:rsidRDefault="0035354F" w:rsidP="00AF7C93">
      <w:pPr>
        <w:pStyle w:val="04LOLglNew4"/>
        <w:numPr>
          <w:ilvl w:val="3"/>
          <w:numId w:val="25"/>
        </w:numPr>
        <w:rPr>
          <w:szCs w:val="20"/>
          <w:lang w:val="fr-CA"/>
        </w:rPr>
      </w:pPr>
      <w:r w:rsidRPr="00B63BD5">
        <w:rPr>
          <w:szCs w:val="20"/>
          <w:lang w:val="fr-CA"/>
        </w:rPr>
        <w:t xml:space="preserve">à la fin de la Période </w:t>
      </w:r>
      <w:r w:rsidR="00467178" w:rsidRPr="00B63BD5">
        <w:rPr>
          <w:szCs w:val="20"/>
          <w:lang w:val="fr-CA"/>
        </w:rPr>
        <w:t xml:space="preserve">SOFR </w:t>
      </w:r>
      <w:r w:rsidRPr="00B63BD5">
        <w:rPr>
          <w:szCs w:val="20"/>
          <w:lang w:val="fr-CA"/>
        </w:rPr>
        <w:t>applicable;</w:t>
      </w:r>
    </w:p>
    <w:p w14:paraId="222D3A96" w14:textId="5260E89B" w:rsidR="0035354F" w:rsidRPr="00B63BD5" w:rsidRDefault="0035354F" w:rsidP="002459F9">
      <w:pPr>
        <w:pStyle w:val="04LOLglNew4"/>
        <w:rPr>
          <w:szCs w:val="20"/>
          <w:lang w:val="fr-CA"/>
        </w:rPr>
      </w:pPr>
      <w:r w:rsidRPr="00B63BD5">
        <w:rPr>
          <w:szCs w:val="20"/>
          <w:lang w:val="fr-CA"/>
        </w:rPr>
        <w:t xml:space="preserve">si la Période </w:t>
      </w:r>
      <w:r w:rsidR="00467178" w:rsidRPr="00B63BD5">
        <w:rPr>
          <w:szCs w:val="20"/>
          <w:lang w:val="fr-CA"/>
        </w:rPr>
        <w:t xml:space="preserve">SOFR </w:t>
      </w:r>
      <w:r w:rsidRPr="00B63BD5">
        <w:rPr>
          <w:szCs w:val="20"/>
          <w:lang w:val="fr-CA"/>
        </w:rPr>
        <w:t>applicable dépasse 90</w:t>
      </w:r>
      <w:r w:rsidR="00AC4107" w:rsidRPr="00B63BD5">
        <w:rPr>
          <w:szCs w:val="20"/>
          <w:lang w:val="fr-CA"/>
        </w:rPr>
        <w:t xml:space="preserve"> </w:t>
      </w:r>
      <w:r w:rsidRPr="00B63BD5">
        <w:rPr>
          <w:szCs w:val="20"/>
          <w:lang w:val="fr-CA"/>
        </w:rPr>
        <w:t>jours, à la fin de chaque période de 90</w:t>
      </w:r>
      <w:r w:rsidR="00AB0594" w:rsidRPr="00B63BD5">
        <w:rPr>
          <w:szCs w:val="20"/>
          <w:lang w:val="fr-CA"/>
        </w:rPr>
        <w:t> </w:t>
      </w:r>
      <w:r w:rsidRPr="00B63BD5">
        <w:rPr>
          <w:szCs w:val="20"/>
          <w:lang w:val="fr-CA"/>
        </w:rPr>
        <w:t xml:space="preserve">jours comprise dans la Période </w:t>
      </w:r>
      <w:r w:rsidR="00467178" w:rsidRPr="00B63BD5">
        <w:rPr>
          <w:szCs w:val="20"/>
          <w:lang w:val="fr-CA"/>
        </w:rPr>
        <w:t xml:space="preserve">SOFR </w:t>
      </w:r>
      <w:r w:rsidRPr="00B63BD5">
        <w:rPr>
          <w:szCs w:val="20"/>
          <w:lang w:val="fr-CA"/>
        </w:rPr>
        <w:t xml:space="preserve">et le dernier jour de la Période </w:t>
      </w:r>
      <w:r w:rsidR="00467178" w:rsidRPr="00B63BD5">
        <w:rPr>
          <w:szCs w:val="20"/>
          <w:lang w:val="fr-CA"/>
        </w:rPr>
        <w:t>SOFR</w:t>
      </w:r>
      <w:r w:rsidRPr="00B63BD5">
        <w:rPr>
          <w:szCs w:val="20"/>
          <w:lang w:val="fr-CA"/>
        </w:rPr>
        <w:t>;</w:t>
      </w:r>
    </w:p>
    <w:p w14:paraId="3C2D55EC" w14:textId="323353AA" w:rsidR="0035354F" w:rsidRPr="00B63BD5" w:rsidRDefault="0035354F" w:rsidP="002459F9">
      <w:pPr>
        <w:pStyle w:val="04LOLglNew4"/>
        <w:rPr>
          <w:szCs w:val="20"/>
          <w:lang w:val="fr-CA"/>
        </w:rPr>
      </w:pPr>
      <w:r w:rsidRPr="00B63BD5">
        <w:rPr>
          <w:szCs w:val="20"/>
          <w:lang w:val="fr-CA"/>
        </w:rPr>
        <w:t xml:space="preserve">à la date à laquelle le Prêt au taux </w:t>
      </w:r>
      <w:r w:rsidR="00467178" w:rsidRPr="00B63BD5">
        <w:rPr>
          <w:szCs w:val="20"/>
          <w:lang w:val="fr-CA"/>
        </w:rPr>
        <w:t>SOFR</w:t>
      </w:r>
      <w:r w:rsidR="00AC4107" w:rsidRPr="00B63BD5">
        <w:rPr>
          <w:szCs w:val="20"/>
          <w:lang w:val="fr-CA"/>
        </w:rPr>
        <w:t xml:space="preserve"> </w:t>
      </w:r>
      <w:r w:rsidR="00467178" w:rsidRPr="00B63BD5">
        <w:rPr>
          <w:szCs w:val="20"/>
          <w:lang w:val="fr-CA"/>
        </w:rPr>
        <w:t xml:space="preserve">à terme </w:t>
      </w:r>
      <w:r w:rsidRPr="00B63BD5">
        <w:rPr>
          <w:szCs w:val="20"/>
          <w:lang w:val="fr-CA"/>
        </w:rPr>
        <w:t>devient exigible (ou est remboursé par</w:t>
      </w:r>
      <w:r w:rsidR="00A73FBE" w:rsidRPr="00B63BD5">
        <w:rPr>
          <w:szCs w:val="20"/>
          <w:lang w:val="fr-CA"/>
        </w:rPr>
        <w:t> </w:t>
      </w:r>
      <w:r w:rsidRPr="00B63BD5">
        <w:rPr>
          <w:szCs w:val="20"/>
          <w:lang w:val="fr-CA"/>
        </w:rPr>
        <w:t>anticipation).</w:t>
      </w:r>
    </w:p>
    <w:p w14:paraId="2A3A6C8B" w14:textId="35DD7DD3" w:rsidR="009926E7" w:rsidRPr="00B63BD5" w:rsidRDefault="00A1368C" w:rsidP="00632863">
      <w:pPr>
        <w:spacing w:after="240"/>
        <w:jc w:val="both"/>
        <w:rPr>
          <w:lang w:val="fr-CA"/>
        </w:rPr>
      </w:pPr>
      <w:r w:rsidRPr="00B63BD5">
        <w:rPr>
          <w:lang w:val="fr-CA"/>
        </w:rPr>
        <w:t>L</w:t>
      </w:r>
      <w:r w:rsidR="00D4379C" w:rsidRPr="00B63BD5">
        <w:rPr>
          <w:lang w:val="fr-CA"/>
        </w:rPr>
        <w:t>a Facilité de p</w:t>
      </w:r>
      <w:r w:rsidRPr="00B63BD5">
        <w:rPr>
          <w:lang w:val="fr-CA"/>
        </w:rPr>
        <w:t xml:space="preserve">rêt </w:t>
      </w:r>
      <w:r w:rsidR="00BB2901" w:rsidRPr="00B63BD5">
        <w:rPr>
          <w:lang w:val="fr-CA"/>
        </w:rPr>
        <w:t>relati</w:t>
      </w:r>
      <w:r w:rsidR="00D4379C" w:rsidRPr="00B63BD5">
        <w:rPr>
          <w:lang w:val="fr-CA"/>
        </w:rPr>
        <w:t>ve</w:t>
      </w:r>
      <w:r w:rsidR="00BB2901" w:rsidRPr="00B63BD5">
        <w:rPr>
          <w:lang w:val="fr-CA"/>
        </w:rPr>
        <w:t xml:space="preserve"> aux </w:t>
      </w:r>
      <w:r w:rsidRPr="00B63BD5">
        <w:rPr>
          <w:lang w:val="fr-CA"/>
        </w:rPr>
        <w:t>immobilisations doit, dans tous les cas, être remboursé</w:t>
      </w:r>
      <w:r w:rsidR="00D4379C" w:rsidRPr="00B63BD5">
        <w:rPr>
          <w:lang w:val="fr-CA"/>
        </w:rPr>
        <w:t>e</w:t>
      </w:r>
      <w:r w:rsidRPr="00B63BD5">
        <w:rPr>
          <w:lang w:val="fr-CA"/>
        </w:rPr>
        <w:t xml:space="preserve"> intégralement </w:t>
      </w:r>
      <w:r w:rsidR="004B25DA" w:rsidRPr="00B63BD5">
        <w:rPr>
          <w:lang w:val="fr-CA"/>
        </w:rPr>
        <w:t>[</w:t>
      </w:r>
      <w:r w:rsidRPr="00B63BD5">
        <w:rPr>
          <w:lang w:val="fr-CA"/>
        </w:rPr>
        <w:t>au</w:t>
      </w:r>
      <w:r w:rsidR="00AB0594" w:rsidRPr="00B63BD5">
        <w:rPr>
          <w:lang w:val="fr-CA"/>
        </w:rPr>
        <w:t xml:space="preserve"> </w:t>
      </w:r>
      <w:r w:rsidRPr="00B63BD5">
        <w:rPr>
          <w:lang w:val="fr-CA"/>
        </w:rPr>
        <w:t xml:space="preserve">plus tard </w:t>
      </w:r>
      <w:r w:rsidR="00904F3F" w:rsidRPr="00B63BD5">
        <w:rPr>
          <w:lang w:val="fr-CA"/>
        </w:rPr>
        <w:t>le</w:t>
      </w:r>
      <w:r w:rsidR="00AC4107" w:rsidRPr="00B63BD5">
        <w:rPr>
          <w:lang w:val="fr-CA"/>
        </w:rPr>
        <w:t xml:space="preserve"> </w:t>
      </w:r>
      <w:r w:rsidRPr="00B63BD5">
        <w:rPr>
          <w:lang w:val="fr-CA"/>
        </w:rPr>
        <w:t>●</w:t>
      </w:r>
      <w:r w:rsidR="00AC4107" w:rsidRPr="00B63BD5">
        <w:rPr>
          <w:lang w:val="fr-CA"/>
        </w:rPr>
        <w:t xml:space="preserve"> </w:t>
      </w:r>
      <w:r w:rsidRPr="00B63BD5">
        <w:rPr>
          <w:lang w:val="fr-CA"/>
        </w:rPr>
        <w:t xml:space="preserve">20● </w:t>
      </w:r>
      <w:r w:rsidR="00E440D7" w:rsidRPr="00B63BD5">
        <w:rPr>
          <w:b/>
          <w:bCs/>
          <w:color w:val="00B0F0"/>
          <w:highlight w:val="yellow"/>
          <w:lang w:val="fr-CA"/>
        </w:rPr>
        <w:t>OU</w:t>
      </w:r>
      <w:r w:rsidR="00AC4107" w:rsidRPr="00B63BD5">
        <w:rPr>
          <w:bCs/>
          <w:lang w:val="fr-CA"/>
        </w:rPr>
        <w:t xml:space="preserve"> </w:t>
      </w:r>
      <w:r w:rsidR="00810FD5" w:rsidRPr="00B63BD5">
        <w:rPr>
          <w:lang w:val="fr-CA"/>
        </w:rPr>
        <w:t>le</w:t>
      </w:r>
      <w:r w:rsidR="0037638C" w:rsidRPr="00B63BD5">
        <w:rPr>
          <w:lang w:val="fr-CA"/>
        </w:rPr>
        <w:t xml:space="preserve"> [cinquième] anniversaire de l</w:t>
      </w:r>
      <w:r w:rsidR="00564B0C" w:rsidRPr="00B63BD5">
        <w:rPr>
          <w:lang w:val="fr-CA"/>
        </w:rPr>
        <w:t>’</w:t>
      </w:r>
      <w:r w:rsidR="0037638C" w:rsidRPr="00B63BD5">
        <w:rPr>
          <w:lang w:val="fr-CA"/>
        </w:rPr>
        <w:t>a</w:t>
      </w:r>
      <w:r w:rsidR="00810FD5" w:rsidRPr="00B63BD5">
        <w:rPr>
          <w:lang w:val="fr-CA"/>
        </w:rPr>
        <w:t xml:space="preserve">vance </w:t>
      </w:r>
      <w:r w:rsidR="00EE61D5" w:rsidRPr="00B63BD5">
        <w:rPr>
          <w:lang w:val="fr-CA"/>
        </w:rPr>
        <w:t>initiale</w:t>
      </w:r>
      <w:r w:rsidR="00810FD5" w:rsidRPr="00B63BD5">
        <w:rPr>
          <w:lang w:val="fr-CA"/>
        </w:rPr>
        <w:t>]</w:t>
      </w:r>
      <w:r w:rsidR="0054647B" w:rsidRPr="00B63BD5">
        <w:rPr>
          <w:lang w:val="fr-CA"/>
        </w:rPr>
        <w:t>,</w:t>
      </w:r>
      <w:r w:rsidR="00810FD5" w:rsidRPr="00B63BD5">
        <w:rPr>
          <w:lang w:val="fr-CA"/>
        </w:rPr>
        <w:t xml:space="preserve"> </w:t>
      </w:r>
      <w:r w:rsidRPr="00B63BD5">
        <w:rPr>
          <w:lang w:val="fr-CA"/>
        </w:rPr>
        <w:t xml:space="preserve">sous réserve du droit inconditionnel de la Banque de demander le </w:t>
      </w:r>
      <w:r w:rsidR="009E4A7B" w:rsidRPr="00B63BD5">
        <w:rPr>
          <w:lang w:val="fr-CA"/>
        </w:rPr>
        <w:t>devancement de l</w:t>
      </w:r>
      <w:r w:rsidR="00564B0C" w:rsidRPr="00B63BD5">
        <w:rPr>
          <w:lang w:val="fr-CA"/>
        </w:rPr>
        <w:t>’</w:t>
      </w:r>
      <w:r w:rsidR="009E4A7B" w:rsidRPr="00B63BD5">
        <w:rPr>
          <w:lang w:val="fr-CA"/>
        </w:rPr>
        <w:t xml:space="preserve">échéance </w:t>
      </w:r>
      <w:r w:rsidRPr="00B63BD5">
        <w:rPr>
          <w:lang w:val="fr-CA"/>
        </w:rPr>
        <w:t>à quelque moment que ce soit.</w:t>
      </w:r>
    </w:p>
    <w:p w14:paraId="1E62D608" w14:textId="22075902" w:rsidR="00D4379C" w:rsidRPr="00B63BD5" w:rsidRDefault="00D4379C" w:rsidP="00632863">
      <w:pPr>
        <w:spacing w:after="240"/>
        <w:jc w:val="both"/>
        <w:rPr>
          <w:lang w:val="fr-CA"/>
        </w:rPr>
      </w:pPr>
      <w:r w:rsidRPr="00B63BD5">
        <w:rPr>
          <w:lang w:val="fr-CA"/>
        </w:rPr>
        <w:t>[</w:t>
      </w:r>
      <w:r w:rsidR="004123A0" w:rsidRPr="00B63BD5">
        <w:rPr>
          <w:lang w:val="fr-CA"/>
        </w:rPr>
        <w:t>L</w:t>
      </w:r>
      <w:r w:rsidR="00564B0C" w:rsidRPr="00B63BD5">
        <w:rPr>
          <w:lang w:val="fr-CA"/>
        </w:rPr>
        <w:t>’</w:t>
      </w:r>
      <w:r w:rsidR="001205EF" w:rsidRPr="00B63BD5">
        <w:rPr>
          <w:lang w:val="fr-CA"/>
        </w:rPr>
        <w:t xml:space="preserve">Emprunteur peut, à son gré, </w:t>
      </w:r>
      <w:r w:rsidR="004123A0" w:rsidRPr="00B63BD5">
        <w:rPr>
          <w:lang w:val="fr-CA"/>
        </w:rPr>
        <w:t>rembourse</w:t>
      </w:r>
      <w:r w:rsidR="001205EF" w:rsidRPr="00B63BD5">
        <w:rPr>
          <w:lang w:val="fr-CA"/>
        </w:rPr>
        <w:t>r</w:t>
      </w:r>
      <w:r w:rsidR="004123A0" w:rsidRPr="00B63BD5">
        <w:rPr>
          <w:lang w:val="fr-CA"/>
        </w:rPr>
        <w:t xml:space="preserve"> par anticipation</w:t>
      </w:r>
      <w:r w:rsidR="00BB2901" w:rsidRPr="00B63BD5">
        <w:rPr>
          <w:lang w:val="fr-CA"/>
        </w:rPr>
        <w:t xml:space="preserve"> la </w:t>
      </w:r>
      <w:r w:rsidR="004123A0" w:rsidRPr="00B63BD5">
        <w:rPr>
          <w:lang w:val="fr-CA"/>
        </w:rPr>
        <w:t xml:space="preserve">totalité ou </w:t>
      </w:r>
      <w:r w:rsidR="00BB2901" w:rsidRPr="00B63BD5">
        <w:rPr>
          <w:lang w:val="fr-CA"/>
        </w:rPr>
        <w:t xml:space="preserve">une </w:t>
      </w:r>
      <w:r w:rsidR="004123A0" w:rsidRPr="00B63BD5">
        <w:rPr>
          <w:lang w:val="fr-CA"/>
        </w:rPr>
        <w:t>partie</w:t>
      </w:r>
      <w:r w:rsidR="00BB2901" w:rsidRPr="00B63BD5">
        <w:rPr>
          <w:lang w:val="fr-CA"/>
        </w:rPr>
        <w:t xml:space="preserve"> d</w:t>
      </w:r>
      <w:r w:rsidR="00564B0C" w:rsidRPr="00B63BD5">
        <w:rPr>
          <w:lang w:val="fr-CA"/>
        </w:rPr>
        <w:t>’</w:t>
      </w:r>
      <w:r w:rsidR="00BB2901" w:rsidRPr="00B63BD5">
        <w:rPr>
          <w:lang w:val="fr-CA"/>
        </w:rPr>
        <w:t>un</w:t>
      </w:r>
      <w:r w:rsidRPr="00B63BD5">
        <w:rPr>
          <w:lang w:val="fr-CA"/>
        </w:rPr>
        <w:t>e Facilité de</w:t>
      </w:r>
      <w:r w:rsidR="00A73FBE" w:rsidRPr="00B63BD5">
        <w:rPr>
          <w:lang w:val="fr-CA"/>
        </w:rPr>
        <w:t> </w:t>
      </w:r>
      <w:r w:rsidRPr="00B63BD5">
        <w:rPr>
          <w:lang w:val="fr-CA"/>
        </w:rPr>
        <w:t>p</w:t>
      </w:r>
      <w:r w:rsidR="004123A0" w:rsidRPr="00B63BD5">
        <w:rPr>
          <w:lang w:val="fr-CA"/>
        </w:rPr>
        <w:t>rêt</w:t>
      </w:r>
      <w:r w:rsidR="00A73FBE" w:rsidRPr="00B63BD5">
        <w:rPr>
          <w:lang w:val="fr-CA"/>
        </w:rPr>
        <w:t> </w:t>
      </w:r>
      <w:r w:rsidR="00BB2901" w:rsidRPr="00B63BD5">
        <w:rPr>
          <w:lang w:val="fr-CA"/>
        </w:rPr>
        <w:t>relati</w:t>
      </w:r>
      <w:r w:rsidRPr="00B63BD5">
        <w:rPr>
          <w:lang w:val="fr-CA"/>
        </w:rPr>
        <w:t>ve</w:t>
      </w:r>
      <w:r w:rsidR="00BB2901" w:rsidRPr="00B63BD5">
        <w:rPr>
          <w:lang w:val="fr-CA"/>
        </w:rPr>
        <w:t xml:space="preserve"> aux </w:t>
      </w:r>
      <w:r w:rsidR="004123A0" w:rsidRPr="00B63BD5">
        <w:rPr>
          <w:lang w:val="fr-CA"/>
        </w:rPr>
        <w:t xml:space="preserve">immobilisations </w:t>
      </w:r>
      <w:r w:rsidR="001205EF" w:rsidRPr="00B63BD5">
        <w:rPr>
          <w:lang w:val="fr-CA"/>
        </w:rPr>
        <w:t>en donnant</w:t>
      </w:r>
      <w:r w:rsidR="004E2AC3" w:rsidRPr="00B63BD5">
        <w:rPr>
          <w:lang w:val="fr-CA"/>
        </w:rPr>
        <w:t xml:space="preserve"> un avis écrit préalable </w:t>
      </w:r>
      <w:r w:rsidR="004123A0" w:rsidRPr="00B63BD5">
        <w:rPr>
          <w:lang w:val="fr-CA"/>
        </w:rPr>
        <w:t xml:space="preserve">de </w:t>
      </w:r>
      <w:r w:rsidR="00EC795B" w:rsidRPr="00B63BD5">
        <w:rPr>
          <w:lang w:val="fr-CA"/>
        </w:rPr>
        <w:t>5</w:t>
      </w:r>
      <w:r w:rsidR="00AC4107" w:rsidRPr="00B63BD5">
        <w:rPr>
          <w:lang w:val="fr-CA"/>
        </w:rPr>
        <w:t xml:space="preserve"> </w:t>
      </w:r>
      <w:r w:rsidR="004123A0" w:rsidRPr="00B63BD5">
        <w:rPr>
          <w:lang w:val="fr-CA"/>
        </w:rPr>
        <w:t>Jours</w:t>
      </w:r>
      <w:r w:rsidR="00EC795B" w:rsidRPr="00B63BD5">
        <w:rPr>
          <w:lang w:val="fr-CA"/>
        </w:rPr>
        <w:t xml:space="preserve"> </w:t>
      </w:r>
      <w:r w:rsidR="004123A0" w:rsidRPr="00B63BD5">
        <w:rPr>
          <w:lang w:val="fr-CA"/>
        </w:rPr>
        <w:t xml:space="preserve">ouvrables à la Banque, </w:t>
      </w:r>
      <w:r w:rsidR="00BB2901" w:rsidRPr="00B63BD5">
        <w:rPr>
          <w:lang w:val="fr-CA"/>
        </w:rPr>
        <w:t xml:space="preserve">sous réserve du versement </w:t>
      </w:r>
      <w:r w:rsidR="004123A0" w:rsidRPr="00B63BD5">
        <w:rPr>
          <w:lang w:val="fr-CA"/>
        </w:rPr>
        <w:t>à la Banque</w:t>
      </w:r>
      <w:r w:rsidR="00E07B3C" w:rsidRPr="00B63BD5">
        <w:rPr>
          <w:lang w:val="fr-CA"/>
        </w:rPr>
        <w:t xml:space="preserve"> de la somme mentionnée au paragraphe</w:t>
      </w:r>
      <w:r w:rsidR="00AB0594" w:rsidRPr="00B63BD5">
        <w:rPr>
          <w:lang w:val="fr-CA"/>
        </w:rPr>
        <w:t> </w:t>
      </w:r>
      <w:r w:rsidR="00E07B3C" w:rsidRPr="00B63BD5">
        <w:rPr>
          <w:lang w:val="fr-CA"/>
        </w:rPr>
        <w:t>III</w:t>
      </w:r>
      <w:r w:rsidR="00AC4107" w:rsidRPr="00B63BD5">
        <w:rPr>
          <w:lang w:val="fr-CA"/>
        </w:rPr>
        <w:t xml:space="preserve"> </w:t>
      </w:r>
      <w:r w:rsidR="00E07B3C" w:rsidRPr="00B63BD5">
        <w:rPr>
          <w:lang w:val="fr-CA"/>
        </w:rPr>
        <w:t>b) de l</w:t>
      </w:r>
      <w:r w:rsidR="00564B0C" w:rsidRPr="00B63BD5">
        <w:rPr>
          <w:lang w:val="fr-CA"/>
        </w:rPr>
        <w:t>’</w:t>
      </w:r>
      <w:r w:rsidR="00E07B3C" w:rsidRPr="00B63BD5">
        <w:rPr>
          <w:lang w:val="fr-CA"/>
        </w:rPr>
        <w:t>Annexe</w:t>
      </w:r>
      <w:r w:rsidR="00AC4107" w:rsidRPr="00B63BD5">
        <w:rPr>
          <w:lang w:val="fr-CA"/>
        </w:rPr>
        <w:t xml:space="preserve"> </w:t>
      </w:r>
      <w:r w:rsidR="00E07B3C" w:rsidRPr="00B63BD5">
        <w:rPr>
          <w:lang w:val="fr-CA"/>
        </w:rPr>
        <w:t>A, le</w:t>
      </w:r>
      <w:r w:rsidR="00AB0594" w:rsidRPr="00B63BD5">
        <w:rPr>
          <w:lang w:val="fr-CA"/>
        </w:rPr>
        <w:t xml:space="preserve"> </w:t>
      </w:r>
      <w:r w:rsidR="00E07B3C" w:rsidRPr="00B63BD5">
        <w:rPr>
          <w:lang w:val="fr-CA"/>
        </w:rPr>
        <w:t>cas échéant</w:t>
      </w:r>
      <w:r w:rsidR="004E2AC3" w:rsidRPr="00B63BD5">
        <w:rPr>
          <w:lang w:val="fr-CA"/>
        </w:rPr>
        <w:t>. Les sommes remboursées, à l</w:t>
      </w:r>
      <w:r w:rsidR="00564B0C" w:rsidRPr="00B63BD5">
        <w:rPr>
          <w:lang w:val="fr-CA"/>
        </w:rPr>
        <w:t>’</w:t>
      </w:r>
      <w:r w:rsidR="004E2AC3" w:rsidRPr="00B63BD5">
        <w:rPr>
          <w:lang w:val="fr-CA"/>
        </w:rPr>
        <w:t>échéance ou par anticipation, ne peuvent être empruntées de nouveau.]</w:t>
      </w:r>
    </w:p>
    <w:p w14:paraId="1E3DE210" w14:textId="6BE9541E" w:rsidR="009B1F7E" w:rsidRPr="00B63BD5" w:rsidRDefault="00D4379C" w:rsidP="009B1F7E">
      <w:pPr>
        <w:rPr>
          <w:lang w:val="fr-CA"/>
        </w:rPr>
      </w:pPr>
      <w:r w:rsidRPr="00B63BD5">
        <w:rPr>
          <w:lang w:val="fr-CA"/>
        </w:rPr>
        <w:t>[</w:t>
      </w:r>
      <w:r w:rsidR="009B1F7E" w:rsidRPr="00B63BD5">
        <w:rPr>
          <w:lang w:val="fr-CA"/>
        </w:rPr>
        <w:t>À la demande de la Banque, en tout temps et à la discrétion de celle-ci, l’Emprunteur devra déposer une somme en espèces auprès de la Banque, lui accordant une Charge de premier rang sur celle-ci pour garantir toutes ses obligations envers la Banque à l’égard de toute Avance sur l’acceptation bancaire et de toute dette éventuelle ou non échue.]</w:t>
      </w:r>
    </w:p>
    <w:p w14:paraId="50B9B9F6" w14:textId="44983534" w:rsidR="00D4379C" w:rsidRPr="00B63BD5" w:rsidRDefault="00D4379C" w:rsidP="00632863">
      <w:pPr>
        <w:spacing w:after="240"/>
        <w:jc w:val="both"/>
        <w:rPr>
          <w:lang w:val="fr-CA"/>
        </w:rPr>
      </w:pPr>
    </w:p>
    <w:p w14:paraId="001FF008" w14:textId="68D313F6" w:rsidR="00436FAE" w:rsidRPr="00B63BD5" w:rsidRDefault="00EA5B2E" w:rsidP="00632863">
      <w:pPr>
        <w:keepNext/>
        <w:spacing w:after="240"/>
        <w:jc w:val="both"/>
        <w:rPr>
          <w:b/>
          <w:color w:val="00B0F0"/>
          <w:lang w:val="fr-CA"/>
        </w:rPr>
      </w:pPr>
      <w:r w:rsidRPr="00B63BD5">
        <w:rPr>
          <w:b/>
          <w:color w:val="00B0F0"/>
          <w:lang w:val="fr-CA"/>
        </w:rPr>
        <w:t>[</w:t>
      </w:r>
      <w:r w:rsidR="004E2AC3" w:rsidRPr="00B63BD5">
        <w:rPr>
          <w:b/>
          <w:color w:val="00B0F0"/>
          <w:lang w:val="fr-CA"/>
        </w:rPr>
        <w:t>N.B.</w:t>
      </w:r>
      <w:r w:rsidR="00AC4107" w:rsidRPr="00B63BD5">
        <w:rPr>
          <w:b/>
          <w:color w:val="00B0F0"/>
          <w:lang w:val="fr-CA"/>
        </w:rPr>
        <w:t xml:space="preserve"> </w:t>
      </w:r>
      <w:r w:rsidR="004E2AC3" w:rsidRPr="00B63BD5">
        <w:rPr>
          <w:b/>
          <w:color w:val="00B0F0"/>
          <w:lang w:val="fr-CA"/>
        </w:rPr>
        <w:t xml:space="preserve">: </w:t>
      </w:r>
      <w:r w:rsidR="004123A0" w:rsidRPr="00B63BD5">
        <w:rPr>
          <w:b/>
          <w:color w:val="00B0F0"/>
          <w:lang w:val="fr-CA"/>
        </w:rPr>
        <w:t>Supprimer le texte suivant s</w:t>
      </w:r>
      <w:r w:rsidR="00564B0C" w:rsidRPr="00B63BD5">
        <w:rPr>
          <w:b/>
          <w:color w:val="00B0F0"/>
          <w:lang w:val="fr-CA"/>
        </w:rPr>
        <w:t>’</w:t>
      </w:r>
      <w:r w:rsidR="004123A0" w:rsidRPr="00B63BD5">
        <w:rPr>
          <w:b/>
          <w:color w:val="00B0F0"/>
          <w:lang w:val="fr-CA"/>
        </w:rPr>
        <w:t>il n</w:t>
      </w:r>
      <w:r w:rsidR="00564B0C" w:rsidRPr="00B63BD5">
        <w:rPr>
          <w:b/>
          <w:color w:val="00B0F0"/>
          <w:lang w:val="fr-CA"/>
        </w:rPr>
        <w:t>’</w:t>
      </w:r>
      <w:r w:rsidR="004123A0" w:rsidRPr="00B63BD5">
        <w:rPr>
          <w:b/>
          <w:color w:val="00B0F0"/>
          <w:lang w:val="fr-CA"/>
        </w:rPr>
        <w:t>est pas applicable</w:t>
      </w:r>
      <w:r w:rsidR="00AC4107" w:rsidRPr="00B63BD5">
        <w:rPr>
          <w:b/>
          <w:color w:val="00B0F0"/>
          <w:lang w:val="fr-CA"/>
        </w:rPr>
        <w:t xml:space="preserve"> </w:t>
      </w:r>
      <w:r w:rsidR="00436FAE" w:rsidRPr="00B63BD5">
        <w:rPr>
          <w:b/>
          <w:color w:val="00B0F0"/>
          <w:lang w:val="fr-CA"/>
        </w:rPr>
        <w:t>:</w:t>
      </w:r>
      <w:r w:rsidRPr="00B63BD5">
        <w:rPr>
          <w:b/>
          <w:color w:val="00B0F0"/>
          <w:lang w:val="fr-CA"/>
        </w:rPr>
        <w:t>]</w:t>
      </w:r>
    </w:p>
    <w:p w14:paraId="64481854" w14:textId="181C044D" w:rsidR="00D47314" w:rsidRPr="00B63BD5" w:rsidRDefault="003E16D5" w:rsidP="00632863">
      <w:pPr>
        <w:widowControl w:val="0"/>
        <w:spacing w:after="240"/>
        <w:jc w:val="both"/>
        <w:rPr>
          <w:lang w:val="fr-CA"/>
        </w:rPr>
      </w:pPr>
      <w:r w:rsidRPr="00B63BD5">
        <w:rPr>
          <w:lang w:val="fr-CA"/>
        </w:rPr>
        <w:t>[</w:t>
      </w:r>
      <w:r w:rsidR="004123A0" w:rsidRPr="00B63BD5">
        <w:rPr>
          <w:lang w:val="fr-CA"/>
        </w:rPr>
        <w:t xml:space="preserve">Outre les remboursements de capital prévus </w:t>
      </w:r>
      <w:r w:rsidR="00682537" w:rsidRPr="00B63BD5">
        <w:rPr>
          <w:lang w:val="fr-CA"/>
        </w:rPr>
        <w:t xml:space="preserve">qui sont </w:t>
      </w:r>
      <w:r w:rsidR="00CB0E29" w:rsidRPr="00B63BD5">
        <w:rPr>
          <w:lang w:val="fr-CA"/>
        </w:rPr>
        <w:t>indiqués</w:t>
      </w:r>
      <w:r w:rsidR="004123A0" w:rsidRPr="00B63BD5">
        <w:rPr>
          <w:lang w:val="fr-CA"/>
        </w:rPr>
        <w:t xml:space="preserve"> ci</w:t>
      </w:r>
      <w:r w:rsidR="004123A0" w:rsidRPr="00B63BD5">
        <w:rPr>
          <w:lang w:val="fr-CA"/>
        </w:rPr>
        <w:noBreakHyphen/>
        <w:t xml:space="preserve">dessus, </w:t>
      </w:r>
      <w:r w:rsidR="00CB0E29" w:rsidRPr="00B63BD5">
        <w:rPr>
          <w:lang w:val="fr-CA"/>
        </w:rPr>
        <w:t>l</w:t>
      </w:r>
      <w:r w:rsidR="00564B0C" w:rsidRPr="00B63BD5">
        <w:rPr>
          <w:lang w:val="fr-CA"/>
        </w:rPr>
        <w:t>’</w:t>
      </w:r>
      <w:r w:rsidR="00CB0E29" w:rsidRPr="00B63BD5">
        <w:rPr>
          <w:lang w:val="fr-CA"/>
        </w:rPr>
        <w:t xml:space="preserve">Emprunteur doit </w:t>
      </w:r>
      <w:r w:rsidR="003914BB" w:rsidRPr="00B63BD5">
        <w:rPr>
          <w:lang w:val="fr-CA"/>
        </w:rPr>
        <w:t>faire</w:t>
      </w:r>
      <w:r w:rsidR="00CB0E29" w:rsidRPr="00B63BD5">
        <w:rPr>
          <w:lang w:val="fr-CA"/>
        </w:rPr>
        <w:t xml:space="preserve"> </w:t>
      </w:r>
      <w:r w:rsidR="004123A0" w:rsidRPr="00B63BD5">
        <w:rPr>
          <w:lang w:val="fr-CA"/>
        </w:rPr>
        <w:t>des</w:t>
      </w:r>
      <w:r w:rsidR="00A73FBE" w:rsidRPr="00B63BD5">
        <w:rPr>
          <w:lang w:val="fr-CA"/>
        </w:rPr>
        <w:t> </w:t>
      </w:r>
      <w:r w:rsidR="004123A0" w:rsidRPr="00B63BD5">
        <w:rPr>
          <w:lang w:val="fr-CA"/>
        </w:rPr>
        <w:t>remboursements de capital d</w:t>
      </w:r>
      <w:r w:rsidR="00564B0C" w:rsidRPr="00B63BD5">
        <w:rPr>
          <w:lang w:val="fr-CA"/>
        </w:rPr>
        <w:t>’</w:t>
      </w:r>
      <w:r w:rsidR="004123A0" w:rsidRPr="00B63BD5">
        <w:rPr>
          <w:lang w:val="fr-CA"/>
        </w:rPr>
        <w:t xml:space="preserve">un montant correspondant à </w:t>
      </w:r>
      <w:r w:rsidR="008F00F8" w:rsidRPr="00B63BD5">
        <w:rPr>
          <w:lang w:val="fr-CA"/>
        </w:rPr>
        <w:t>50</w:t>
      </w:r>
      <w:r w:rsidR="00B056F9" w:rsidRPr="00B63BD5">
        <w:rPr>
          <w:lang w:val="fr-CA"/>
        </w:rPr>
        <w:t> </w:t>
      </w:r>
      <w:r w:rsidR="008F00F8" w:rsidRPr="00B63BD5">
        <w:rPr>
          <w:lang w:val="fr-CA"/>
        </w:rPr>
        <w:t xml:space="preserve">% </w:t>
      </w:r>
      <w:r w:rsidR="004123A0" w:rsidRPr="00B63BD5">
        <w:rPr>
          <w:lang w:val="fr-CA"/>
        </w:rPr>
        <w:t>d</w:t>
      </w:r>
      <w:r w:rsidR="00CB0E29" w:rsidRPr="00B63BD5">
        <w:rPr>
          <w:lang w:val="fr-CA"/>
        </w:rPr>
        <w:t>e son</w:t>
      </w:r>
      <w:r w:rsidR="004123A0" w:rsidRPr="00B63BD5">
        <w:rPr>
          <w:lang w:val="fr-CA"/>
        </w:rPr>
        <w:t xml:space="preserve"> Flux de trésorerie disponible par année dans les 90</w:t>
      </w:r>
      <w:r w:rsidR="00AC4107" w:rsidRPr="00B63BD5">
        <w:rPr>
          <w:lang w:val="fr-CA"/>
        </w:rPr>
        <w:t xml:space="preserve"> </w:t>
      </w:r>
      <w:r w:rsidR="004123A0" w:rsidRPr="00B63BD5">
        <w:rPr>
          <w:lang w:val="fr-CA"/>
        </w:rPr>
        <w:t xml:space="preserve">jours suivant la fin de </w:t>
      </w:r>
      <w:r w:rsidR="003914BB" w:rsidRPr="00B63BD5">
        <w:rPr>
          <w:lang w:val="fr-CA"/>
        </w:rPr>
        <w:t xml:space="preserve">son </w:t>
      </w:r>
      <w:r w:rsidR="004123A0" w:rsidRPr="00B63BD5">
        <w:rPr>
          <w:lang w:val="fr-CA"/>
        </w:rPr>
        <w:t xml:space="preserve">exercice et </w:t>
      </w:r>
      <w:r w:rsidR="003914BB" w:rsidRPr="00B63BD5">
        <w:rPr>
          <w:lang w:val="fr-CA"/>
        </w:rPr>
        <w:t xml:space="preserve">ces sommes </w:t>
      </w:r>
      <w:r w:rsidR="00DC3615" w:rsidRPr="00B63BD5">
        <w:rPr>
          <w:lang w:val="fr-CA"/>
        </w:rPr>
        <w:t>sont portées en diminution du</w:t>
      </w:r>
      <w:r w:rsidR="00A73FBE" w:rsidRPr="00B63BD5">
        <w:rPr>
          <w:lang w:val="fr-CA"/>
        </w:rPr>
        <w:t> </w:t>
      </w:r>
      <w:r w:rsidR="004123A0" w:rsidRPr="00B63BD5">
        <w:rPr>
          <w:lang w:val="fr-CA"/>
        </w:rPr>
        <w:t>solde du capital impayé dans</w:t>
      </w:r>
      <w:r w:rsidR="004123A0" w:rsidRPr="00B63BD5">
        <w:rPr>
          <w:i/>
          <w:lang w:val="fr-CA"/>
        </w:rPr>
        <w:t xml:space="preserve"> </w:t>
      </w:r>
      <w:r w:rsidR="004123A0" w:rsidRPr="00B63BD5">
        <w:rPr>
          <w:lang w:val="fr-CA"/>
        </w:rPr>
        <w:t>l</w:t>
      </w:r>
      <w:r w:rsidR="00564B0C" w:rsidRPr="00B63BD5">
        <w:rPr>
          <w:lang w:val="fr-CA"/>
        </w:rPr>
        <w:t>’</w:t>
      </w:r>
      <w:r w:rsidR="004123A0" w:rsidRPr="00B63BD5">
        <w:rPr>
          <w:lang w:val="fr-CA"/>
        </w:rPr>
        <w:t>ordre inverse de l</w:t>
      </w:r>
      <w:r w:rsidR="00564B0C" w:rsidRPr="00B63BD5">
        <w:rPr>
          <w:lang w:val="fr-CA"/>
        </w:rPr>
        <w:t>’</w:t>
      </w:r>
      <w:r w:rsidR="004123A0" w:rsidRPr="00B63BD5">
        <w:rPr>
          <w:lang w:val="fr-CA"/>
        </w:rPr>
        <w:t>échéance des</w:t>
      </w:r>
      <w:r w:rsidR="00DC3615" w:rsidRPr="00B63BD5">
        <w:rPr>
          <w:lang w:val="fr-CA"/>
        </w:rPr>
        <w:t xml:space="preserve"> paiements</w:t>
      </w:r>
      <w:r w:rsidR="007F0E39" w:rsidRPr="00B63BD5">
        <w:rPr>
          <w:lang w:val="fr-CA"/>
        </w:rPr>
        <w:t>.</w:t>
      </w:r>
      <w:r w:rsidRPr="00B63BD5">
        <w:rPr>
          <w:lang w:val="fr-CA"/>
        </w:rPr>
        <w:t>]</w:t>
      </w:r>
    </w:p>
    <w:p w14:paraId="63085D10" w14:textId="480F4FDF" w:rsidR="00CE03F7" w:rsidRPr="00B63BD5" w:rsidRDefault="004123A0" w:rsidP="00632863">
      <w:pPr>
        <w:pStyle w:val="Heading3"/>
        <w:keepNext w:val="0"/>
        <w:widowControl w:val="0"/>
        <w:numPr>
          <w:ilvl w:val="2"/>
          <w:numId w:val="1"/>
        </w:numPr>
        <w:tabs>
          <w:tab w:val="clear" w:pos="851"/>
          <w:tab w:val="clear" w:pos="1440"/>
        </w:tabs>
        <w:ind w:firstLine="0"/>
        <w:jc w:val="both"/>
      </w:pPr>
      <w:r w:rsidRPr="00B63BD5">
        <w:t>Intérêt</w:t>
      </w:r>
    </w:p>
    <w:p w14:paraId="1B39495D" w14:textId="3E1E055C" w:rsidR="009926E7" w:rsidRPr="00B63BD5" w:rsidRDefault="00A604D6" w:rsidP="00632863">
      <w:pPr>
        <w:widowControl w:val="0"/>
        <w:spacing w:after="240"/>
        <w:jc w:val="both"/>
        <w:rPr>
          <w:lang w:val="fr-CA"/>
        </w:rPr>
      </w:pPr>
      <w:r w:rsidRPr="00B63BD5">
        <w:rPr>
          <w:lang w:val="fr-CA"/>
        </w:rPr>
        <w:t>L</w:t>
      </w:r>
      <w:r w:rsidR="00564B0C" w:rsidRPr="00B63BD5">
        <w:rPr>
          <w:lang w:val="fr-CA"/>
        </w:rPr>
        <w:t>’</w:t>
      </w:r>
      <w:r w:rsidR="004123A0" w:rsidRPr="00B63BD5">
        <w:rPr>
          <w:lang w:val="fr-CA"/>
        </w:rPr>
        <w:t>intérêt sur le solde du capital d</w:t>
      </w:r>
      <w:r w:rsidR="007F0E39" w:rsidRPr="00B63BD5">
        <w:rPr>
          <w:lang w:val="fr-CA"/>
        </w:rPr>
        <w:t xml:space="preserve">e la Facilité de prêt relative aux immobilisations </w:t>
      </w:r>
      <w:r w:rsidR="00052CB0" w:rsidRPr="00B63BD5">
        <w:rPr>
          <w:lang w:val="fr-CA"/>
        </w:rPr>
        <w:t xml:space="preserve">est </w:t>
      </w:r>
      <w:r w:rsidR="005267DB" w:rsidRPr="00B63BD5">
        <w:rPr>
          <w:lang w:val="fr-CA"/>
        </w:rPr>
        <w:t xml:space="preserve">calculé </w:t>
      </w:r>
      <w:r w:rsidR="0064648E" w:rsidRPr="00B63BD5">
        <w:rPr>
          <w:lang w:val="fr-CA"/>
        </w:rPr>
        <w:t xml:space="preserve">selon les taux suivants </w:t>
      </w:r>
      <w:r w:rsidR="005267DB" w:rsidRPr="00B63BD5">
        <w:rPr>
          <w:lang w:val="fr-CA"/>
        </w:rPr>
        <w:t>et</w:t>
      </w:r>
      <w:r w:rsidR="0064648E" w:rsidRPr="00B63BD5">
        <w:rPr>
          <w:lang w:val="fr-CA"/>
        </w:rPr>
        <w:t xml:space="preserve"> est</w:t>
      </w:r>
      <w:r w:rsidR="005267DB" w:rsidRPr="00B63BD5">
        <w:rPr>
          <w:lang w:val="fr-CA"/>
        </w:rPr>
        <w:t xml:space="preserve"> </w:t>
      </w:r>
      <w:r w:rsidR="004123A0" w:rsidRPr="00B63BD5">
        <w:rPr>
          <w:lang w:val="fr-CA"/>
        </w:rPr>
        <w:t>payable comme suit</w:t>
      </w:r>
      <w:r w:rsidR="00AC4107" w:rsidRPr="00B63BD5">
        <w:rPr>
          <w:lang w:val="fr-CA"/>
        </w:rPr>
        <w:t xml:space="preserve"> </w:t>
      </w:r>
      <w:r w:rsidR="004123A0" w:rsidRPr="00B63BD5">
        <w:rPr>
          <w:lang w:val="fr-CA"/>
        </w:rPr>
        <w:t>:</w:t>
      </w:r>
    </w:p>
    <w:p w14:paraId="58CE5242" w14:textId="02ADD817" w:rsidR="00A604D6" w:rsidRPr="00B63BD5" w:rsidRDefault="00A604D6" w:rsidP="00632863">
      <w:pPr>
        <w:keepNext/>
        <w:spacing w:after="240"/>
        <w:jc w:val="both"/>
        <w:rPr>
          <w:b/>
          <w:color w:val="00B0F0"/>
          <w:lang w:val="fr-CA"/>
        </w:rPr>
      </w:pPr>
      <w:r w:rsidRPr="00B63BD5">
        <w:rPr>
          <w:b/>
          <w:color w:val="00B0F0"/>
          <w:lang w:val="fr-CA"/>
        </w:rPr>
        <w:t>[N.B.</w:t>
      </w:r>
      <w:r w:rsidR="00AC4107" w:rsidRPr="00B63BD5">
        <w:rPr>
          <w:b/>
          <w:color w:val="00B0F0"/>
          <w:lang w:val="fr-CA"/>
        </w:rPr>
        <w:t xml:space="preserve"> </w:t>
      </w:r>
      <w:r w:rsidRPr="00B63BD5">
        <w:rPr>
          <w:b/>
          <w:color w:val="00B0F0"/>
          <w:lang w:val="fr-CA"/>
        </w:rPr>
        <w:t>: S</w:t>
      </w:r>
      <w:r w:rsidR="00564B0C" w:rsidRPr="00B63BD5">
        <w:rPr>
          <w:b/>
          <w:color w:val="00B0F0"/>
          <w:lang w:val="fr-CA"/>
        </w:rPr>
        <w:t>’</w:t>
      </w:r>
      <w:r w:rsidRPr="00B63BD5">
        <w:rPr>
          <w:b/>
          <w:color w:val="00B0F0"/>
          <w:lang w:val="fr-CA"/>
        </w:rPr>
        <w:t>assurer que les taux suivants correspondent à ceux qui sont indiqués dans CARM. Si</w:t>
      </w:r>
      <w:r w:rsidR="00A73FBE" w:rsidRPr="00B63BD5">
        <w:rPr>
          <w:b/>
          <w:color w:val="00B0F0"/>
          <w:lang w:val="fr-CA"/>
        </w:rPr>
        <w:t> </w:t>
      </w:r>
      <w:r w:rsidRPr="00B63BD5">
        <w:rPr>
          <w:b/>
          <w:color w:val="00B0F0"/>
          <w:lang w:val="fr-CA"/>
        </w:rPr>
        <w:t>une</w:t>
      </w:r>
      <w:r w:rsidR="00A73FBE" w:rsidRPr="00B63BD5">
        <w:rPr>
          <w:b/>
          <w:color w:val="00B0F0"/>
          <w:lang w:val="fr-CA"/>
        </w:rPr>
        <w:t> </w:t>
      </w:r>
      <w:r w:rsidRPr="00B63BD5">
        <w:rPr>
          <w:b/>
          <w:color w:val="00B0F0"/>
          <w:lang w:val="fr-CA"/>
        </w:rPr>
        <w:t>grille de tarification a été approuvée, veuillez utiliser le supplément relatif à la grille de</w:t>
      </w:r>
      <w:r w:rsidR="00A73FBE" w:rsidRPr="00B63BD5">
        <w:rPr>
          <w:b/>
          <w:color w:val="00B0F0"/>
          <w:lang w:val="fr-CA"/>
        </w:rPr>
        <w:t> </w:t>
      </w:r>
      <w:r w:rsidRPr="00B63BD5">
        <w:rPr>
          <w:b/>
          <w:color w:val="00B0F0"/>
          <w:lang w:val="fr-CA"/>
        </w:rPr>
        <w:t>tarification (formulaire</w:t>
      </w:r>
      <w:r w:rsidR="00363F9D" w:rsidRPr="00B63BD5">
        <w:rPr>
          <w:b/>
          <w:color w:val="00B0F0"/>
          <w:lang w:val="fr-CA"/>
        </w:rPr>
        <w:t> </w:t>
      </w:r>
      <w:r w:rsidRPr="00B63BD5">
        <w:rPr>
          <w:b/>
          <w:color w:val="00B0F0"/>
          <w:lang w:val="fr-CA"/>
        </w:rPr>
        <w:t>825-0009-FR) pour intégrer le libellé de la grille de tarification approuvée dans la Lettre relative aux</w:t>
      </w:r>
      <w:r w:rsidR="00363F9D" w:rsidRPr="00B63BD5">
        <w:rPr>
          <w:b/>
          <w:color w:val="00B0F0"/>
          <w:lang w:val="fr-CA"/>
        </w:rPr>
        <w:t> </w:t>
      </w:r>
      <w:r w:rsidRPr="00B63BD5">
        <w:rPr>
          <w:b/>
          <w:color w:val="00B0F0"/>
          <w:lang w:val="fr-CA"/>
        </w:rPr>
        <w:t>facilités.]</w:t>
      </w:r>
    </w:p>
    <w:p w14:paraId="7FC047F4" w14:textId="0F311C8C" w:rsidR="009926E7" w:rsidRPr="000B7739" w:rsidRDefault="004123A0" w:rsidP="000B7739">
      <w:pPr>
        <w:pStyle w:val="04LOLglNew3"/>
        <w:numPr>
          <w:ilvl w:val="2"/>
          <w:numId w:val="28"/>
        </w:numPr>
        <w:rPr>
          <w:lang w:val="fr-CA"/>
        </w:rPr>
      </w:pPr>
      <w:r w:rsidRPr="000B7739">
        <w:rPr>
          <w:lang w:val="fr-CA"/>
        </w:rPr>
        <w:t xml:space="preserve">pour un </w:t>
      </w:r>
      <w:r w:rsidR="002A566D" w:rsidRPr="000B7739">
        <w:rPr>
          <w:lang w:val="fr-CA"/>
        </w:rPr>
        <w:t>Prêt à taux préférentiel en dollars canadiens</w:t>
      </w:r>
      <w:r w:rsidRPr="000B7739">
        <w:rPr>
          <w:lang w:val="fr-CA"/>
        </w:rPr>
        <w:t xml:space="preserve">, </w:t>
      </w:r>
      <w:r w:rsidR="00F52380" w:rsidRPr="000B7739">
        <w:rPr>
          <w:lang w:val="fr-CA"/>
        </w:rPr>
        <w:t>au</w:t>
      </w:r>
      <w:r w:rsidR="004806CA" w:rsidRPr="000B7739">
        <w:rPr>
          <w:lang w:val="fr-CA"/>
        </w:rPr>
        <w:t xml:space="preserve"> Taux préférentiel de la Banque</w:t>
      </w:r>
      <w:r w:rsidRPr="000B7739">
        <w:rPr>
          <w:lang w:val="fr-CA"/>
        </w:rPr>
        <w:t xml:space="preserve"> majoré de</w:t>
      </w:r>
      <w:r w:rsidR="00A73FBE" w:rsidRPr="000B7739">
        <w:rPr>
          <w:lang w:val="fr-CA"/>
        </w:rPr>
        <w:t> </w:t>
      </w:r>
      <w:r w:rsidRPr="000B7739">
        <w:rPr>
          <w:lang w:val="fr-CA"/>
        </w:rPr>
        <w:t>●</w:t>
      </w:r>
      <w:r w:rsidR="001E3C56" w:rsidRPr="000B7739">
        <w:rPr>
          <w:lang w:val="fr-CA"/>
        </w:rPr>
        <w:t> </w:t>
      </w:r>
      <w:r w:rsidRPr="000B7739">
        <w:rPr>
          <w:lang w:val="fr-CA"/>
        </w:rPr>
        <w:t>% par année</w:t>
      </w:r>
      <w:r w:rsidR="002C1935" w:rsidRPr="000B7739">
        <w:rPr>
          <w:lang w:val="fr-CA"/>
        </w:rPr>
        <w:t xml:space="preserve">, </w:t>
      </w:r>
      <w:r w:rsidR="004E10F8" w:rsidRPr="000B7739">
        <w:rPr>
          <w:lang w:val="fr-CA"/>
        </w:rPr>
        <w:t>l</w:t>
      </w:r>
      <w:r w:rsidR="00564B0C" w:rsidRPr="000B7739">
        <w:rPr>
          <w:lang w:val="fr-CA"/>
        </w:rPr>
        <w:t>’</w:t>
      </w:r>
      <w:r w:rsidR="004E10F8" w:rsidRPr="000B7739">
        <w:rPr>
          <w:lang w:val="fr-CA"/>
        </w:rPr>
        <w:t xml:space="preserve">intérêt court </w:t>
      </w:r>
      <w:r w:rsidRPr="000B7739">
        <w:rPr>
          <w:lang w:val="fr-CA"/>
        </w:rPr>
        <w:t xml:space="preserve">quotidiennement, </w:t>
      </w:r>
      <w:r w:rsidR="004E10F8" w:rsidRPr="000B7739">
        <w:rPr>
          <w:lang w:val="fr-CA"/>
        </w:rPr>
        <w:t xml:space="preserve">est </w:t>
      </w:r>
      <w:r w:rsidRPr="000B7739">
        <w:rPr>
          <w:lang w:val="fr-CA"/>
        </w:rPr>
        <w:t>calculé mensuellement à terme échu sur</w:t>
      </w:r>
      <w:r w:rsidR="00A73FBE" w:rsidRPr="000B7739">
        <w:rPr>
          <w:lang w:val="fr-CA"/>
        </w:rPr>
        <w:t> </w:t>
      </w:r>
      <w:r w:rsidRPr="000B7739">
        <w:rPr>
          <w:lang w:val="fr-CA"/>
        </w:rPr>
        <w:t>le</w:t>
      </w:r>
      <w:r w:rsidR="00A73FBE" w:rsidRPr="000B7739">
        <w:rPr>
          <w:lang w:val="fr-CA"/>
        </w:rPr>
        <w:t> </w:t>
      </w:r>
      <w:r w:rsidRPr="000B7739">
        <w:rPr>
          <w:lang w:val="fr-CA"/>
        </w:rPr>
        <w:t>solde quotidien</w:t>
      </w:r>
      <w:r w:rsidR="005267DB" w:rsidRPr="000B7739">
        <w:rPr>
          <w:lang w:val="fr-CA"/>
        </w:rPr>
        <w:t xml:space="preserve"> et</w:t>
      </w:r>
      <w:r w:rsidRPr="000B7739">
        <w:rPr>
          <w:lang w:val="fr-CA"/>
        </w:rPr>
        <w:t xml:space="preserve"> </w:t>
      </w:r>
      <w:r w:rsidR="004806CA" w:rsidRPr="000B7739">
        <w:rPr>
          <w:lang w:val="fr-CA"/>
        </w:rPr>
        <w:t xml:space="preserve">est </w:t>
      </w:r>
      <w:r w:rsidRPr="000B7739">
        <w:rPr>
          <w:lang w:val="fr-CA"/>
        </w:rPr>
        <w:t xml:space="preserve">payable conformément au </w:t>
      </w:r>
      <w:r w:rsidR="00830777" w:rsidRPr="000B7739">
        <w:rPr>
          <w:lang w:val="fr-CA"/>
        </w:rPr>
        <w:t>paragraphe</w:t>
      </w:r>
      <w:r w:rsidR="00B056F9" w:rsidRPr="000B7739">
        <w:rPr>
          <w:lang w:val="fr-CA"/>
        </w:rPr>
        <w:t> </w:t>
      </w:r>
      <w:r w:rsidR="00CE0A4C" w:rsidRPr="000B7739">
        <w:rPr>
          <w:lang w:val="fr-CA"/>
        </w:rPr>
        <w:t>[</w:t>
      </w:r>
      <w:r w:rsidR="002459F9" w:rsidRPr="000B7739">
        <w:rPr>
          <w:lang w:val="fr-CA"/>
        </w:rPr>
        <w:fldChar w:fldCharType="begin"/>
      </w:r>
      <w:r w:rsidR="002459F9" w:rsidRPr="000B7739">
        <w:rPr>
          <w:lang w:val="fr-CA"/>
        </w:rPr>
        <w:instrText xml:space="preserve"> REF _Ref464464565 \r \h </w:instrText>
      </w:r>
      <w:r w:rsidR="00F90A83" w:rsidRPr="000B7739">
        <w:rPr>
          <w:lang w:val="fr-CA"/>
        </w:rPr>
        <w:instrText xml:space="preserve"> \* MERGEFORMAT </w:instrText>
      </w:r>
      <w:r w:rsidR="002459F9" w:rsidRPr="000B7739">
        <w:rPr>
          <w:lang w:val="fr-CA"/>
        </w:rPr>
      </w:r>
      <w:r w:rsidR="002459F9" w:rsidRPr="000B7739">
        <w:rPr>
          <w:lang w:val="fr-CA"/>
        </w:rPr>
        <w:fldChar w:fldCharType="separate"/>
      </w:r>
      <w:r w:rsidR="002459F9" w:rsidRPr="000B7739">
        <w:rPr>
          <w:lang w:val="fr-CA"/>
        </w:rPr>
        <w:t>2.1.4</w:t>
      </w:r>
      <w:r w:rsidR="002459F9" w:rsidRPr="000B7739">
        <w:rPr>
          <w:lang w:val="fr-CA"/>
        </w:rPr>
        <w:fldChar w:fldCharType="end"/>
      </w:r>
      <w:r w:rsidR="00CE0A4C" w:rsidRPr="000B7739">
        <w:rPr>
          <w:lang w:val="fr-CA"/>
        </w:rPr>
        <w:t>]</w:t>
      </w:r>
      <w:r w:rsidRPr="000B7739">
        <w:rPr>
          <w:lang w:val="fr-CA"/>
        </w:rPr>
        <w:t>;</w:t>
      </w:r>
    </w:p>
    <w:p w14:paraId="0E954D4F" w14:textId="02803301" w:rsidR="002C019E" w:rsidRPr="00B63BD5" w:rsidRDefault="00C04130" w:rsidP="000B7739">
      <w:pPr>
        <w:pStyle w:val="04LOLglNew3"/>
        <w:rPr>
          <w:lang w:val="fr-CA"/>
        </w:rPr>
      </w:pPr>
      <w:r w:rsidRPr="00B63BD5">
        <w:rPr>
          <w:lang w:val="fr-CA"/>
        </w:rPr>
        <w:t xml:space="preserve">pour un </w:t>
      </w:r>
      <w:r w:rsidR="002A566D" w:rsidRPr="00B63BD5">
        <w:rPr>
          <w:lang w:val="fr-CA"/>
        </w:rPr>
        <w:t xml:space="preserve">Prêt </w:t>
      </w:r>
      <w:r w:rsidR="00927950">
        <w:rPr>
          <w:lang w:val="fr-CA"/>
        </w:rPr>
        <w:t>au taux de base</w:t>
      </w:r>
      <w:r w:rsidR="002A566D" w:rsidRPr="00B63BD5">
        <w:rPr>
          <w:lang w:val="fr-CA"/>
        </w:rPr>
        <w:t xml:space="preserve"> américain</w:t>
      </w:r>
      <w:r w:rsidRPr="00B63BD5">
        <w:rPr>
          <w:lang w:val="fr-CA"/>
        </w:rPr>
        <w:t xml:space="preserve">, </w:t>
      </w:r>
      <w:r w:rsidR="00F52380" w:rsidRPr="00B63BD5">
        <w:rPr>
          <w:lang w:val="fr-CA"/>
        </w:rPr>
        <w:t>au</w:t>
      </w:r>
      <w:r w:rsidRPr="00B63BD5">
        <w:rPr>
          <w:lang w:val="fr-CA"/>
        </w:rPr>
        <w:t xml:space="preserve"> Taux</w:t>
      </w:r>
      <w:r w:rsidR="004806CA" w:rsidRPr="00B63BD5">
        <w:rPr>
          <w:lang w:val="fr-CA"/>
        </w:rPr>
        <w:t xml:space="preserve"> de base américain de la Banque</w:t>
      </w:r>
      <w:r w:rsidRPr="00B63BD5">
        <w:rPr>
          <w:lang w:val="fr-CA"/>
        </w:rPr>
        <w:t xml:space="preserve"> majoré de ●</w:t>
      </w:r>
      <w:r w:rsidR="00AC4107" w:rsidRPr="00B63BD5">
        <w:rPr>
          <w:lang w:val="fr-CA"/>
        </w:rPr>
        <w:t xml:space="preserve"> </w:t>
      </w:r>
      <w:r w:rsidRPr="00B63BD5">
        <w:rPr>
          <w:lang w:val="fr-CA"/>
        </w:rPr>
        <w:t xml:space="preserve">% par année, </w:t>
      </w:r>
      <w:r w:rsidR="004E10F8" w:rsidRPr="00B63BD5">
        <w:rPr>
          <w:lang w:val="fr-CA"/>
        </w:rPr>
        <w:t>l</w:t>
      </w:r>
      <w:r w:rsidR="00564B0C" w:rsidRPr="00B63BD5">
        <w:rPr>
          <w:lang w:val="fr-CA"/>
        </w:rPr>
        <w:t>’</w:t>
      </w:r>
      <w:r w:rsidR="004E10F8" w:rsidRPr="00B63BD5">
        <w:rPr>
          <w:lang w:val="fr-CA"/>
        </w:rPr>
        <w:t>intérêt court</w:t>
      </w:r>
      <w:r w:rsidRPr="00B63BD5">
        <w:rPr>
          <w:lang w:val="fr-CA"/>
        </w:rPr>
        <w:t xml:space="preserve"> quotidiennement, </w:t>
      </w:r>
      <w:r w:rsidR="004E10F8" w:rsidRPr="00B63BD5">
        <w:rPr>
          <w:lang w:val="fr-CA"/>
        </w:rPr>
        <w:t xml:space="preserve">est </w:t>
      </w:r>
      <w:r w:rsidRPr="00B63BD5">
        <w:rPr>
          <w:lang w:val="fr-CA"/>
        </w:rPr>
        <w:t>calculé mensuellement à terme échu sur le</w:t>
      </w:r>
      <w:r w:rsidR="00A73FBE" w:rsidRPr="00B63BD5">
        <w:rPr>
          <w:lang w:val="fr-CA"/>
        </w:rPr>
        <w:t> </w:t>
      </w:r>
      <w:r w:rsidRPr="00B63BD5">
        <w:rPr>
          <w:lang w:val="fr-CA"/>
        </w:rPr>
        <w:t>solde quotidien</w:t>
      </w:r>
      <w:r w:rsidR="005267DB" w:rsidRPr="00B63BD5">
        <w:rPr>
          <w:lang w:val="fr-CA"/>
        </w:rPr>
        <w:t xml:space="preserve"> et</w:t>
      </w:r>
      <w:r w:rsidRPr="00B63BD5">
        <w:rPr>
          <w:lang w:val="fr-CA"/>
        </w:rPr>
        <w:t xml:space="preserve"> </w:t>
      </w:r>
      <w:r w:rsidR="004806CA" w:rsidRPr="00B63BD5">
        <w:rPr>
          <w:lang w:val="fr-CA"/>
        </w:rPr>
        <w:t xml:space="preserve">est </w:t>
      </w:r>
      <w:r w:rsidRPr="00B63BD5">
        <w:rPr>
          <w:lang w:val="fr-CA"/>
        </w:rPr>
        <w:t xml:space="preserve">payable conformément au </w:t>
      </w:r>
      <w:r w:rsidR="00DB658A" w:rsidRPr="00B63BD5">
        <w:rPr>
          <w:lang w:val="fr-CA"/>
        </w:rPr>
        <w:t>paragraphe</w:t>
      </w:r>
      <w:r w:rsidR="00B056F9" w:rsidRPr="00B63BD5">
        <w:rPr>
          <w:lang w:val="fr-CA"/>
        </w:rPr>
        <w:t> </w:t>
      </w:r>
      <w:r w:rsidR="00CE0A4C" w:rsidRPr="00B63BD5">
        <w:rPr>
          <w:lang w:val="fr-CA"/>
        </w:rPr>
        <w:t>[</w:t>
      </w:r>
      <w:r w:rsidR="002459F9" w:rsidRPr="00B63BD5">
        <w:rPr>
          <w:lang w:val="fr-CA"/>
        </w:rPr>
        <w:fldChar w:fldCharType="begin"/>
      </w:r>
      <w:r w:rsidR="002459F9" w:rsidRPr="00B63BD5">
        <w:rPr>
          <w:lang w:val="fr-CA"/>
        </w:rPr>
        <w:instrText xml:space="preserve"> REF _Ref464464565 \r \h </w:instrText>
      </w:r>
      <w:r w:rsidR="00F90A83" w:rsidRPr="00B63BD5">
        <w:rPr>
          <w:lang w:val="fr-CA"/>
        </w:rPr>
        <w:instrText xml:space="preserve"> \* MERGEFORMAT </w:instrText>
      </w:r>
      <w:r w:rsidR="002459F9" w:rsidRPr="00B63BD5">
        <w:rPr>
          <w:lang w:val="fr-CA"/>
        </w:rPr>
      </w:r>
      <w:r w:rsidR="002459F9" w:rsidRPr="00B63BD5">
        <w:rPr>
          <w:lang w:val="fr-CA"/>
        </w:rPr>
        <w:fldChar w:fldCharType="separate"/>
      </w:r>
      <w:r w:rsidR="002459F9" w:rsidRPr="00B63BD5">
        <w:rPr>
          <w:lang w:val="fr-CA"/>
        </w:rPr>
        <w:t>2.1.4</w:t>
      </w:r>
      <w:r w:rsidR="002459F9" w:rsidRPr="00B63BD5">
        <w:rPr>
          <w:lang w:val="fr-CA"/>
        </w:rPr>
        <w:fldChar w:fldCharType="end"/>
      </w:r>
      <w:r w:rsidR="00CE0A4C" w:rsidRPr="00B63BD5">
        <w:rPr>
          <w:lang w:val="fr-CA"/>
        </w:rPr>
        <w:t>]</w:t>
      </w:r>
      <w:r w:rsidR="002C019E" w:rsidRPr="00B63BD5">
        <w:rPr>
          <w:lang w:val="fr-CA"/>
        </w:rPr>
        <w:t>;</w:t>
      </w:r>
    </w:p>
    <w:p w14:paraId="10C3984F" w14:textId="08F7ABD5" w:rsidR="009926E7" w:rsidRPr="00B63BD5" w:rsidRDefault="00C04130" w:rsidP="000B7739">
      <w:pPr>
        <w:pStyle w:val="04LOLglNew3"/>
        <w:rPr>
          <w:lang w:val="fr-CA"/>
        </w:rPr>
      </w:pPr>
      <w:r w:rsidRPr="00B63BD5">
        <w:rPr>
          <w:lang w:val="fr-CA"/>
        </w:rPr>
        <w:t xml:space="preserve">pour un </w:t>
      </w:r>
      <w:r w:rsidR="002A566D" w:rsidRPr="00B63BD5">
        <w:rPr>
          <w:lang w:val="fr-CA"/>
        </w:rPr>
        <w:t>Prêt à taux fixe en dollars canadiens</w:t>
      </w:r>
      <w:r w:rsidRPr="00B63BD5">
        <w:rPr>
          <w:lang w:val="fr-CA"/>
        </w:rPr>
        <w:t xml:space="preserve">, </w:t>
      </w:r>
      <w:r w:rsidR="00F52380" w:rsidRPr="00B63BD5">
        <w:rPr>
          <w:lang w:val="fr-CA"/>
        </w:rPr>
        <w:t>au</w:t>
      </w:r>
      <w:r w:rsidRPr="00B63BD5">
        <w:rPr>
          <w:lang w:val="fr-CA"/>
        </w:rPr>
        <w:t xml:space="preserve"> Taux fixe en dollars canadiens de la Banque par</w:t>
      </w:r>
      <w:r w:rsidR="00A73FBE" w:rsidRPr="00B63BD5">
        <w:rPr>
          <w:lang w:val="fr-CA"/>
        </w:rPr>
        <w:t> </w:t>
      </w:r>
      <w:r w:rsidRPr="00B63BD5">
        <w:rPr>
          <w:lang w:val="fr-CA"/>
        </w:rPr>
        <w:t xml:space="preserve">année, </w:t>
      </w:r>
      <w:r w:rsidR="004E10F8" w:rsidRPr="00B63BD5">
        <w:rPr>
          <w:lang w:val="fr-CA"/>
        </w:rPr>
        <w:t>l</w:t>
      </w:r>
      <w:r w:rsidR="00564B0C" w:rsidRPr="00B63BD5">
        <w:rPr>
          <w:lang w:val="fr-CA"/>
        </w:rPr>
        <w:t>’</w:t>
      </w:r>
      <w:r w:rsidR="004E10F8" w:rsidRPr="00B63BD5">
        <w:rPr>
          <w:lang w:val="fr-CA"/>
        </w:rPr>
        <w:t>intérêt court</w:t>
      </w:r>
      <w:r w:rsidRPr="00B63BD5">
        <w:rPr>
          <w:lang w:val="fr-CA"/>
        </w:rPr>
        <w:t xml:space="preserve"> quotidiennement, </w:t>
      </w:r>
      <w:r w:rsidR="004E10F8" w:rsidRPr="00B63BD5">
        <w:rPr>
          <w:lang w:val="fr-CA"/>
        </w:rPr>
        <w:t xml:space="preserve">est </w:t>
      </w:r>
      <w:r w:rsidRPr="00B63BD5">
        <w:rPr>
          <w:lang w:val="fr-CA"/>
        </w:rPr>
        <w:t>calculé mensuellement à terme échu sur le solde quotidien</w:t>
      </w:r>
      <w:r w:rsidR="005267DB" w:rsidRPr="00B63BD5">
        <w:rPr>
          <w:lang w:val="fr-CA"/>
        </w:rPr>
        <w:t xml:space="preserve"> et</w:t>
      </w:r>
      <w:r w:rsidRPr="00B63BD5">
        <w:rPr>
          <w:lang w:val="fr-CA"/>
        </w:rPr>
        <w:t xml:space="preserve"> </w:t>
      </w:r>
      <w:r w:rsidR="00EF314F" w:rsidRPr="00B63BD5">
        <w:rPr>
          <w:lang w:val="fr-CA"/>
        </w:rPr>
        <w:t xml:space="preserve">est </w:t>
      </w:r>
      <w:r w:rsidRPr="00B63BD5">
        <w:rPr>
          <w:lang w:val="fr-CA"/>
        </w:rPr>
        <w:t xml:space="preserve">payable conformément au </w:t>
      </w:r>
      <w:r w:rsidR="00DB658A" w:rsidRPr="00B63BD5">
        <w:rPr>
          <w:lang w:val="fr-CA"/>
        </w:rPr>
        <w:t>paragraphe</w:t>
      </w:r>
      <w:r w:rsidR="00B056F9" w:rsidRPr="00B63BD5">
        <w:rPr>
          <w:lang w:val="fr-CA"/>
        </w:rPr>
        <w:t> </w:t>
      </w:r>
      <w:r w:rsidR="00CE0A4C" w:rsidRPr="00B63BD5">
        <w:rPr>
          <w:lang w:val="fr-CA"/>
        </w:rPr>
        <w:t>[</w:t>
      </w:r>
      <w:r w:rsidR="002459F9" w:rsidRPr="00B63BD5">
        <w:rPr>
          <w:lang w:val="fr-CA"/>
        </w:rPr>
        <w:fldChar w:fldCharType="begin"/>
      </w:r>
      <w:r w:rsidR="002459F9" w:rsidRPr="00B63BD5">
        <w:rPr>
          <w:lang w:val="fr-CA"/>
        </w:rPr>
        <w:instrText xml:space="preserve"> REF _Ref464464565 \r \h </w:instrText>
      </w:r>
      <w:r w:rsidR="00F90A83" w:rsidRPr="00B63BD5">
        <w:rPr>
          <w:lang w:val="fr-CA"/>
        </w:rPr>
        <w:instrText xml:space="preserve"> \* MERGEFORMAT </w:instrText>
      </w:r>
      <w:r w:rsidR="002459F9" w:rsidRPr="00B63BD5">
        <w:rPr>
          <w:lang w:val="fr-CA"/>
        </w:rPr>
      </w:r>
      <w:r w:rsidR="002459F9" w:rsidRPr="00B63BD5">
        <w:rPr>
          <w:lang w:val="fr-CA"/>
        </w:rPr>
        <w:fldChar w:fldCharType="separate"/>
      </w:r>
      <w:r w:rsidR="002459F9" w:rsidRPr="00B63BD5">
        <w:rPr>
          <w:lang w:val="fr-CA"/>
        </w:rPr>
        <w:t>2.1.4</w:t>
      </w:r>
      <w:r w:rsidR="002459F9" w:rsidRPr="00B63BD5">
        <w:rPr>
          <w:lang w:val="fr-CA"/>
        </w:rPr>
        <w:fldChar w:fldCharType="end"/>
      </w:r>
      <w:r w:rsidR="00CE0A4C" w:rsidRPr="00B63BD5">
        <w:rPr>
          <w:lang w:val="fr-CA"/>
        </w:rPr>
        <w:t>]</w:t>
      </w:r>
      <w:r w:rsidR="009926E7" w:rsidRPr="00B63BD5">
        <w:rPr>
          <w:lang w:val="fr-CA"/>
        </w:rPr>
        <w:t>;</w:t>
      </w:r>
      <w:r w:rsidR="00871125" w:rsidRPr="00B63BD5">
        <w:rPr>
          <w:lang w:val="fr-CA"/>
        </w:rPr>
        <w:t xml:space="preserve"> </w:t>
      </w:r>
    </w:p>
    <w:p w14:paraId="3AB6C28D" w14:textId="2087C08E" w:rsidR="002C019E" w:rsidRPr="00B63BD5" w:rsidRDefault="00C04130" w:rsidP="000B7739">
      <w:pPr>
        <w:pStyle w:val="04LOLglNew3"/>
        <w:rPr>
          <w:lang w:val="fr-CA"/>
        </w:rPr>
      </w:pPr>
      <w:r w:rsidRPr="00B63BD5">
        <w:rPr>
          <w:lang w:val="fr-CA"/>
        </w:rPr>
        <w:t xml:space="preserve">pour un </w:t>
      </w:r>
      <w:r w:rsidR="002A566D" w:rsidRPr="00B63BD5">
        <w:rPr>
          <w:lang w:val="fr-CA"/>
        </w:rPr>
        <w:t>Prêt à taux fixe en dollars américains</w:t>
      </w:r>
      <w:r w:rsidRPr="00B63BD5">
        <w:rPr>
          <w:lang w:val="fr-CA"/>
        </w:rPr>
        <w:t xml:space="preserve">, </w:t>
      </w:r>
      <w:r w:rsidR="00F52380" w:rsidRPr="00B63BD5">
        <w:rPr>
          <w:lang w:val="fr-CA"/>
        </w:rPr>
        <w:t>au</w:t>
      </w:r>
      <w:r w:rsidRPr="00B63BD5">
        <w:rPr>
          <w:lang w:val="fr-CA"/>
        </w:rPr>
        <w:t xml:space="preserve"> Taux fixe en dollars américains de la Banque par</w:t>
      </w:r>
      <w:r w:rsidR="00A73FBE" w:rsidRPr="00B63BD5">
        <w:rPr>
          <w:lang w:val="fr-CA"/>
        </w:rPr>
        <w:t> </w:t>
      </w:r>
      <w:r w:rsidRPr="00B63BD5">
        <w:rPr>
          <w:lang w:val="fr-CA"/>
        </w:rPr>
        <w:t>année</w:t>
      </w:r>
      <w:r w:rsidR="00EF314F" w:rsidRPr="00B63BD5">
        <w:rPr>
          <w:lang w:val="fr-CA"/>
        </w:rPr>
        <w:t xml:space="preserve"> en fonction d</w:t>
      </w:r>
      <w:r w:rsidR="00564B0C" w:rsidRPr="00B63BD5">
        <w:rPr>
          <w:lang w:val="fr-CA"/>
        </w:rPr>
        <w:t>’</w:t>
      </w:r>
      <w:r w:rsidR="005267DB" w:rsidRPr="00B63BD5">
        <w:rPr>
          <w:lang w:val="fr-CA"/>
        </w:rPr>
        <w:t xml:space="preserve">une </w:t>
      </w:r>
      <w:r w:rsidRPr="00B63BD5">
        <w:rPr>
          <w:lang w:val="fr-CA"/>
        </w:rPr>
        <w:t>année de 360</w:t>
      </w:r>
      <w:r w:rsidR="00AC4107" w:rsidRPr="00B63BD5">
        <w:rPr>
          <w:lang w:val="fr-CA"/>
        </w:rPr>
        <w:t xml:space="preserve"> </w:t>
      </w:r>
      <w:r w:rsidRPr="00B63BD5">
        <w:rPr>
          <w:lang w:val="fr-CA"/>
        </w:rPr>
        <w:t xml:space="preserve">jours, </w:t>
      </w:r>
      <w:r w:rsidR="004E10F8" w:rsidRPr="00B63BD5">
        <w:rPr>
          <w:lang w:val="fr-CA"/>
        </w:rPr>
        <w:t>l</w:t>
      </w:r>
      <w:r w:rsidR="00564B0C" w:rsidRPr="00B63BD5">
        <w:rPr>
          <w:lang w:val="fr-CA"/>
        </w:rPr>
        <w:t>’</w:t>
      </w:r>
      <w:r w:rsidR="004E10F8" w:rsidRPr="00B63BD5">
        <w:rPr>
          <w:lang w:val="fr-CA"/>
        </w:rPr>
        <w:t>intérêt court</w:t>
      </w:r>
      <w:r w:rsidRPr="00B63BD5">
        <w:rPr>
          <w:lang w:val="fr-CA"/>
        </w:rPr>
        <w:t xml:space="preserve"> quotidiennement, </w:t>
      </w:r>
      <w:r w:rsidR="004E10F8" w:rsidRPr="00B63BD5">
        <w:rPr>
          <w:lang w:val="fr-CA"/>
        </w:rPr>
        <w:t>est</w:t>
      </w:r>
      <w:r w:rsidR="00A73FBE" w:rsidRPr="00B63BD5">
        <w:rPr>
          <w:lang w:val="fr-CA"/>
        </w:rPr>
        <w:t> </w:t>
      </w:r>
      <w:r w:rsidR="00450A73" w:rsidRPr="00B63BD5">
        <w:rPr>
          <w:lang w:val="fr-CA"/>
        </w:rPr>
        <w:t>calculé</w:t>
      </w:r>
      <w:r w:rsidR="00A73FBE" w:rsidRPr="00B63BD5">
        <w:rPr>
          <w:lang w:val="fr-CA"/>
        </w:rPr>
        <w:t> </w:t>
      </w:r>
      <w:r w:rsidRPr="00B63BD5">
        <w:rPr>
          <w:lang w:val="fr-CA"/>
        </w:rPr>
        <w:t>mensuellement à terme échu sur le solde quotidien</w:t>
      </w:r>
      <w:r w:rsidR="005267DB" w:rsidRPr="00B63BD5">
        <w:rPr>
          <w:lang w:val="fr-CA"/>
        </w:rPr>
        <w:t xml:space="preserve"> et</w:t>
      </w:r>
      <w:r w:rsidRPr="00B63BD5">
        <w:rPr>
          <w:lang w:val="fr-CA"/>
        </w:rPr>
        <w:t xml:space="preserve"> </w:t>
      </w:r>
      <w:r w:rsidR="00EF314F" w:rsidRPr="00B63BD5">
        <w:rPr>
          <w:lang w:val="fr-CA"/>
        </w:rPr>
        <w:t xml:space="preserve">est </w:t>
      </w:r>
      <w:r w:rsidRPr="00B63BD5">
        <w:rPr>
          <w:lang w:val="fr-CA"/>
        </w:rPr>
        <w:t>payable conformément au</w:t>
      </w:r>
      <w:r w:rsidR="00A73FBE" w:rsidRPr="00B63BD5">
        <w:rPr>
          <w:lang w:val="fr-CA"/>
        </w:rPr>
        <w:t> </w:t>
      </w:r>
      <w:r w:rsidR="00DB658A" w:rsidRPr="00B63BD5">
        <w:rPr>
          <w:lang w:val="fr-CA"/>
        </w:rPr>
        <w:t>paragraphe</w:t>
      </w:r>
      <w:r w:rsidR="00B056F9" w:rsidRPr="00B63BD5">
        <w:rPr>
          <w:lang w:val="fr-CA"/>
        </w:rPr>
        <w:t> </w:t>
      </w:r>
      <w:r w:rsidR="00CE0A4C" w:rsidRPr="00B63BD5">
        <w:rPr>
          <w:lang w:val="fr-CA"/>
        </w:rPr>
        <w:t>[</w:t>
      </w:r>
      <w:r w:rsidR="002459F9" w:rsidRPr="00B63BD5">
        <w:rPr>
          <w:lang w:val="fr-CA"/>
        </w:rPr>
        <w:fldChar w:fldCharType="begin"/>
      </w:r>
      <w:r w:rsidR="002459F9" w:rsidRPr="00B63BD5">
        <w:rPr>
          <w:lang w:val="fr-CA"/>
        </w:rPr>
        <w:instrText xml:space="preserve"> REF _Ref464464565 \r \h </w:instrText>
      </w:r>
      <w:r w:rsidR="00F90A83" w:rsidRPr="00B63BD5">
        <w:rPr>
          <w:lang w:val="fr-CA"/>
        </w:rPr>
        <w:instrText xml:space="preserve"> \* MERGEFORMAT </w:instrText>
      </w:r>
      <w:r w:rsidR="002459F9" w:rsidRPr="00B63BD5">
        <w:rPr>
          <w:lang w:val="fr-CA"/>
        </w:rPr>
      </w:r>
      <w:r w:rsidR="002459F9" w:rsidRPr="00B63BD5">
        <w:rPr>
          <w:lang w:val="fr-CA"/>
        </w:rPr>
        <w:fldChar w:fldCharType="separate"/>
      </w:r>
      <w:r w:rsidR="002459F9" w:rsidRPr="00B63BD5">
        <w:rPr>
          <w:lang w:val="fr-CA"/>
        </w:rPr>
        <w:t>2.1.4</w:t>
      </w:r>
      <w:r w:rsidR="002459F9" w:rsidRPr="00B63BD5">
        <w:rPr>
          <w:lang w:val="fr-CA"/>
        </w:rPr>
        <w:fldChar w:fldCharType="end"/>
      </w:r>
      <w:r w:rsidR="00CE0A4C" w:rsidRPr="00B63BD5">
        <w:rPr>
          <w:lang w:val="fr-CA"/>
        </w:rPr>
        <w:t>]</w:t>
      </w:r>
      <w:r w:rsidR="00F81B2D" w:rsidRPr="00B63BD5">
        <w:rPr>
          <w:lang w:val="fr-CA"/>
        </w:rPr>
        <w:t>;</w:t>
      </w:r>
    </w:p>
    <w:p w14:paraId="37BB5C95" w14:textId="19785769" w:rsidR="00927950" w:rsidRPr="008B4783" w:rsidRDefault="00424576" w:rsidP="00C37F68">
      <w:pPr>
        <w:pStyle w:val="04LOLglNew3"/>
        <w:widowControl w:val="0"/>
        <w:rPr>
          <w:b/>
          <w:color w:val="00B0F0"/>
          <w:lang w:val="fr-CA"/>
        </w:rPr>
      </w:pPr>
      <w:r w:rsidRPr="008B4783">
        <w:rPr>
          <w:b/>
          <w:color w:val="00B0F0"/>
          <w:lang w:val="fr-CA"/>
        </w:rPr>
        <w:t xml:space="preserve">[TAUX SOFR À TERME, </w:t>
      </w:r>
      <w:r w:rsidR="00927950" w:rsidRPr="008B4783">
        <w:rPr>
          <w:b/>
          <w:color w:val="00B0F0"/>
          <w:lang w:val="fr-CA"/>
        </w:rPr>
        <w:t xml:space="preserve"> </w:t>
      </w:r>
      <w:r w:rsidR="00135683">
        <w:rPr>
          <w:b/>
          <w:color w:val="00B0F0"/>
          <w:lang w:val="fr-CA"/>
        </w:rPr>
        <w:t>RAJUSTEMENT DE L’ÉCART</w:t>
      </w:r>
      <w:r w:rsidR="00927950" w:rsidRPr="008B4783">
        <w:rPr>
          <w:b/>
          <w:color w:val="00B0F0"/>
          <w:lang w:val="fr-CA"/>
        </w:rPr>
        <w:t xml:space="preserve"> SÉPARÉ]</w:t>
      </w:r>
    </w:p>
    <w:p w14:paraId="3B772C67" w14:textId="584A4AE9" w:rsidR="00424576" w:rsidRPr="00B63BD5" w:rsidRDefault="00424576" w:rsidP="00632863">
      <w:pPr>
        <w:widowControl w:val="0"/>
        <w:spacing w:after="240"/>
        <w:ind w:left="709"/>
        <w:jc w:val="both"/>
        <w:rPr>
          <w:lang w:val="fr-CA"/>
        </w:rPr>
      </w:pPr>
      <w:r w:rsidRPr="00B63BD5">
        <w:rPr>
          <w:b/>
          <w:color w:val="00B0F0"/>
          <w:lang w:val="fr-CA"/>
        </w:rPr>
        <w:t>Sélectionner cette option pour les clients qui demandent que</w:t>
      </w:r>
      <w:r w:rsidR="00A73FBE" w:rsidRPr="00B63BD5">
        <w:rPr>
          <w:b/>
          <w:color w:val="00B0F0"/>
          <w:lang w:val="fr-CA"/>
        </w:rPr>
        <w:t> </w:t>
      </w:r>
      <w:r w:rsidRPr="00B63BD5">
        <w:rPr>
          <w:b/>
          <w:color w:val="00B0F0"/>
          <w:lang w:val="fr-CA"/>
        </w:rPr>
        <w:t>le</w:t>
      </w:r>
      <w:r w:rsidR="00A73FBE" w:rsidRPr="00B63BD5">
        <w:rPr>
          <w:b/>
          <w:color w:val="00B0F0"/>
          <w:lang w:val="fr-CA"/>
        </w:rPr>
        <w:t> </w:t>
      </w:r>
      <w:r w:rsidRPr="00B63BD5">
        <w:rPr>
          <w:b/>
          <w:color w:val="00B0F0"/>
          <w:lang w:val="fr-CA"/>
        </w:rPr>
        <w:t>rajustement de l</w:t>
      </w:r>
      <w:r w:rsidR="00564B0C" w:rsidRPr="00B63BD5">
        <w:rPr>
          <w:b/>
          <w:color w:val="00B0F0"/>
          <w:lang w:val="fr-CA"/>
        </w:rPr>
        <w:t>’</w:t>
      </w:r>
      <w:r w:rsidRPr="00B63BD5">
        <w:rPr>
          <w:b/>
          <w:color w:val="00B0F0"/>
          <w:lang w:val="fr-CA"/>
        </w:rPr>
        <w:t>écart soit indiqué séparément.</w:t>
      </w:r>
      <w:r w:rsidR="00AC4107" w:rsidRPr="00B63BD5">
        <w:rPr>
          <w:b/>
          <w:color w:val="00B0F0"/>
          <w:lang w:val="fr-CA"/>
        </w:rPr>
        <w:t xml:space="preserve"> </w:t>
      </w:r>
      <w:r w:rsidRPr="00B63BD5">
        <w:rPr>
          <w:b/>
          <w:color w:val="00B0F0"/>
          <w:lang w:val="fr-CA"/>
        </w:rPr>
        <w:t>Important :</w:t>
      </w:r>
      <w:r w:rsidR="00AC4107" w:rsidRPr="00B63BD5">
        <w:rPr>
          <w:b/>
          <w:color w:val="00B0F0"/>
          <w:lang w:val="fr-CA"/>
        </w:rPr>
        <w:t xml:space="preserve"> </w:t>
      </w:r>
      <w:r w:rsidRPr="00B63BD5">
        <w:rPr>
          <w:b/>
          <w:color w:val="00B0F0"/>
          <w:lang w:val="fr-CA"/>
        </w:rPr>
        <w:t>Insérer le rajustement de</w:t>
      </w:r>
      <w:r w:rsidR="00A73FBE" w:rsidRPr="00B63BD5">
        <w:rPr>
          <w:b/>
          <w:color w:val="00B0F0"/>
          <w:lang w:val="fr-CA"/>
        </w:rPr>
        <w:t> </w:t>
      </w:r>
      <w:r w:rsidRPr="00B63BD5">
        <w:rPr>
          <w:b/>
          <w:color w:val="00B0F0"/>
          <w:lang w:val="fr-CA"/>
        </w:rPr>
        <w:t>l</w:t>
      </w:r>
      <w:r w:rsidR="00564B0C" w:rsidRPr="00B63BD5">
        <w:rPr>
          <w:b/>
          <w:color w:val="00B0F0"/>
          <w:lang w:val="fr-CA"/>
        </w:rPr>
        <w:t>’</w:t>
      </w:r>
      <w:r w:rsidRPr="00B63BD5">
        <w:rPr>
          <w:b/>
          <w:color w:val="00B0F0"/>
          <w:lang w:val="fr-CA"/>
        </w:rPr>
        <w:t>écart indiqué au point i). Insérer l</w:t>
      </w:r>
      <w:r w:rsidR="00564B0C" w:rsidRPr="00B63BD5">
        <w:rPr>
          <w:b/>
          <w:color w:val="00B0F0"/>
          <w:lang w:val="fr-CA"/>
        </w:rPr>
        <w:t>’</w:t>
      </w:r>
      <w:r w:rsidRPr="00B63BD5">
        <w:rPr>
          <w:b/>
          <w:color w:val="00B0F0"/>
          <w:lang w:val="fr-CA"/>
        </w:rPr>
        <w:t>écart ou la marge de la Banque au point</w:t>
      </w:r>
      <w:r w:rsidR="00B056F9" w:rsidRPr="00B63BD5">
        <w:rPr>
          <w:b/>
          <w:color w:val="00B0F0"/>
          <w:lang w:val="fr-CA"/>
        </w:rPr>
        <w:t> </w:t>
      </w:r>
      <w:r w:rsidRPr="00B63BD5">
        <w:rPr>
          <w:b/>
          <w:color w:val="00B0F0"/>
          <w:lang w:val="fr-CA"/>
        </w:rPr>
        <w:t xml:space="preserve">ii).] </w:t>
      </w:r>
      <w:r w:rsidRPr="00B63BD5">
        <w:rPr>
          <w:lang w:val="fr-CA"/>
        </w:rPr>
        <w:t>pour</w:t>
      </w:r>
      <w:r w:rsidR="00AB0594" w:rsidRPr="00B63BD5">
        <w:rPr>
          <w:lang w:val="fr-CA"/>
        </w:rPr>
        <w:t xml:space="preserve"> </w:t>
      </w:r>
      <w:r w:rsidRPr="00B63BD5">
        <w:rPr>
          <w:lang w:val="fr-CA"/>
        </w:rPr>
        <w:t>les</w:t>
      </w:r>
      <w:r w:rsidR="00AB0594" w:rsidRPr="00B63BD5">
        <w:rPr>
          <w:lang w:val="fr-CA"/>
        </w:rPr>
        <w:t xml:space="preserve"> </w:t>
      </w:r>
      <w:r w:rsidRPr="00B63BD5">
        <w:rPr>
          <w:lang w:val="fr-CA"/>
        </w:rPr>
        <w:t>Prêts</w:t>
      </w:r>
      <w:r w:rsidR="00AB0594" w:rsidRPr="00B63BD5">
        <w:rPr>
          <w:lang w:val="fr-CA"/>
        </w:rPr>
        <w:t xml:space="preserve"> </w:t>
      </w:r>
      <w:r w:rsidRPr="00B63BD5">
        <w:rPr>
          <w:lang w:val="fr-CA"/>
        </w:rPr>
        <w:t>au taux SOFR à terme, le Taux de référence SOFR majoré</w:t>
      </w:r>
      <w:r w:rsidR="00AC4107" w:rsidRPr="00B63BD5">
        <w:rPr>
          <w:lang w:val="fr-CA"/>
        </w:rPr>
        <w:t xml:space="preserve"> </w:t>
      </w:r>
      <w:r w:rsidR="009B2CB7" w:rsidRPr="00B63BD5">
        <w:rPr>
          <w:lang w:val="fr-CA"/>
        </w:rPr>
        <w:t>:</w:t>
      </w:r>
    </w:p>
    <w:p w14:paraId="65EF3B11" w14:textId="36367616" w:rsidR="00424576" w:rsidRPr="00B63BD5" w:rsidRDefault="00424576" w:rsidP="00AF7C93">
      <w:pPr>
        <w:pStyle w:val="04LOLglNew4"/>
        <w:numPr>
          <w:ilvl w:val="3"/>
          <w:numId w:val="26"/>
        </w:numPr>
        <w:rPr>
          <w:b/>
          <w:color w:val="00B0F0"/>
          <w:szCs w:val="20"/>
          <w:lang w:val="fr-CA"/>
        </w:rPr>
      </w:pPr>
      <w:r w:rsidRPr="00B63BD5">
        <w:rPr>
          <w:rStyle w:val="Prompt"/>
          <w:color w:val="auto"/>
          <w:szCs w:val="20"/>
          <w:lang w:val="fr-CA"/>
        </w:rPr>
        <w:t>d</w:t>
      </w:r>
      <w:r w:rsidR="00564B0C" w:rsidRPr="00B63BD5">
        <w:rPr>
          <w:rStyle w:val="Prompt"/>
          <w:color w:val="auto"/>
          <w:szCs w:val="20"/>
          <w:lang w:val="fr-CA"/>
        </w:rPr>
        <w:t>’</w:t>
      </w:r>
      <w:r w:rsidRPr="00B63BD5">
        <w:rPr>
          <w:rStyle w:val="Prompt"/>
          <w:color w:val="auto"/>
          <w:szCs w:val="20"/>
          <w:lang w:val="fr-CA"/>
        </w:rPr>
        <w:t xml:space="preserve">un pourcentage par année, comme il est indiqué ci-dessous, pour la Période SOFR </w:t>
      </w:r>
      <w:r w:rsidR="003C01E7" w:rsidRPr="00B63BD5">
        <w:rPr>
          <w:rStyle w:val="Prompt"/>
          <w:color w:val="auto"/>
          <w:szCs w:val="20"/>
          <w:lang w:val="fr-CA"/>
        </w:rPr>
        <w:t>applicable </w:t>
      </w:r>
      <w:r w:rsidRPr="00B63BD5">
        <w:rPr>
          <w:rStyle w:val="Prompt"/>
          <w:color w:val="auto"/>
          <w:szCs w:val="20"/>
          <w:lang w:val="fr-CA"/>
        </w:rPr>
        <w:t xml:space="preserve">: </w:t>
      </w:r>
      <w:r w:rsidR="003C01E7" w:rsidRPr="00B63BD5">
        <w:rPr>
          <w:b/>
          <w:color w:val="00B0F0"/>
          <w:szCs w:val="20"/>
          <w:lang w:val="fr-CA"/>
        </w:rPr>
        <w:t>[N.B. : Si un rajustement de l</w:t>
      </w:r>
      <w:r w:rsidR="00564B0C" w:rsidRPr="00B63BD5">
        <w:rPr>
          <w:b/>
          <w:color w:val="00B0F0"/>
          <w:szCs w:val="20"/>
          <w:lang w:val="fr-CA"/>
        </w:rPr>
        <w:t>’</w:t>
      </w:r>
      <w:r w:rsidR="003C01E7" w:rsidRPr="00B63BD5">
        <w:rPr>
          <w:b/>
          <w:color w:val="00B0F0"/>
          <w:szCs w:val="20"/>
          <w:lang w:val="fr-CA"/>
        </w:rPr>
        <w:t xml:space="preserve">écart </w:t>
      </w:r>
      <w:r w:rsidR="003C01E7" w:rsidRPr="00B63BD5">
        <w:rPr>
          <w:b/>
          <w:color w:val="FF0000"/>
          <w:szCs w:val="20"/>
          <w:lang w:val="fr-CA"/>
        </w:rPr>
        <w:t>historique</w:t>
      </w:r>
      <w:r w:rsidR="003C01E7" w:rsidRPr="00B63BD5">
        <w:rPr>
          <w:b/>
          <w:color w:val="00B0F0"/>
          <w:szCs w:val="20"/>
          <w:lang w:val="fr-CA"/>
        </w:rPr>
        <w:t xml:space="preserve"> est utilisé (selon le formulaire des principales conditions), se reporter aux rajustements indiqués dans le tableau ci-dessous (et supprimer les crochets), à moins que le GRB recommande un autre rajustement de l</w:t>
      </w:r>
      <w:r w:rsidR="00564B0C" w:rsidRPr="00B63BD5">
        <w:rPr>
          <w:b/>
          <w:color w:val="00B0F0"/>
          <w:szCs w:val="20"/>
          <w:lang w:val="fr-CA"/>
        </w:rPr>
        <w:t>’</w:t>
      </w:r>
      <w:r w:rsidR="003C01E7" w:rsidRPr="00B63BD5">
        <w:rPr>
          <w:b/>
          <w:color w:val="00B0F0"/>
          <w:szCs w:val="20"/>
          <w:lang w:val="fr-CA"/>
        </w:rPr>
        <w:t>écart. Si un rajustement de l</w:t>
      </w:r>
      <w:r w:rsidR="00564B0C" w:rsidRPr="00B63BD5">
        <w:rPr>
          <w:b/>
          <w:color w:val="00B0F0"/>
          <w:szCs w:val="20"/>
          <w:lang w:val="fr-CA"/>
        </w:rPr>
        <w:t>’</w:t>
      </w:r>
      <w:r w:rsidR="003C01E7" w:rsidRPr="00B63BD5">
        <w:rPr>
          <w:b/>
          <w:color w:val="00B0F0"/>
          <w:szCs w:val="20"/>
          <w:lang w:val="fr-CA"/>
        </w:rPr>
        <w:t xml:space="preserve">écart </w:t>
      </w:r>
      <w:r w:rsidR="003C01E7" w:rsidRPr="00B63BD5">
        <w:rPr>
          <w:b/>
          <w:color w:val="FF0000"/>
          <w:szCs w:val="20"/>
          <w:lang w:val="fr-CA"/>
        </w:rPr>
        <w:t>prospectif</w:t>
      </w:r>
      <w:r w:rsidR="003C01E7" w:rsidRPr="00B63BD5">
        <w:rPr>
          <w:b/>
          <w:color w:val="00B0F0"/>
          <w:szCs w:val="20"/>
          <w:lang w:val="fr-CA"/>
        </w:rPr>
        <w:t xml:space="preserve"> est utilisé (selon le formulaire des principales conditions), se reporter aux rajustements indiqués dans le formula</w:t>
      </w:r>
      <w:r w:rsidR="002F1A2F" w:rsidRPr="00B63BD5">
        <w:rPr>
          <w:b/>
          <w:color w:val="00B0F0"/>
          <w:szCs w:val="20"/>
          <w:lang w:val="fr-CA"/>
        </w:rPr>
        <w:t>ire des principales conditions.</w:t>
      </w:r>
      <w:r w:rsidR="003C01E7" w:rsidRPr="00B63BD5">
        <w:rPr>
          <w:b/>
          <w:color w:val="00B0F0"/>
          <w:szCs w:val="20"/>
          <w:lang w:val="fr-CA"/>
        </w:rPr>
        <w:t xml:space="preserve"> Prendre note que dans le cas des rajustements prospectifs, seules les périodes SOFR d</w:t>
      </w:r>
      <w:r w:rsidR="00564B0C" w:rsidRPr="00B63BD5">
        <w:rPr>
          <w:b/>
          <w:color w:val="00B0F0"/>
          <w:szCs w:val="20"/>
          <w:lang w:val="fr-CA"/>
        </w:rPr>
        <w:t>’</w:t>
      </w:r>
      <w:r w:rsidR="003C01E7" w:rsidRPr="00B63BD5">
        <w:rPr>
          <w:b/>
          <w:color w:val="00B0F0"/>
          <w:szCs w:val="20"/>
          <w:lang w:val="fr-CA"/>
        </w:rPr>
        <w:t xml:space="preserve">un mois et de trois mois sont possibles; supprimer les deux dernières lignes du tableau ci-dessous. </w:t>
      </w:r>
      <w:r w:rsidR="00574CF2" w:rsidRPr="00B63BD5">
        <w:rPr>
          <w:b/>
          <w:color w:val="00B0F0"/>
          <w:lang w:val="fr-CA"/>
        </w:rPr>
        <w:t xml:space="preserve">Si un rajustement de l’écart de 10/15/25 est utilisé (selon le formulaire des principales conditions), indiquer 0,10 %, 0,15 % et 0,25 % dans le tableau ci-dessous. Prendre note que pour l’option 10/15/25, la période de SOFR de douze mois n’est pas offerte; supprimer la dernière ligne. </w:t>
      </w:r>
      <w:r w:rsidR="003C01E7" w:rsidRPr="00B63BD5">
        <w:rPr>
          <w:b/>
          <w:color w:val="00B0F0"/>
          <w:szCs w:val="20"/>
          <w:lang w:val="fr-CA"/>
        </w:rPr>
        <w:t>Si</w:t>
      </w:r>
      <w:r w:rsidR="00363F9D" w:rsidRPr="00B63BD5">
        <w:rPr>
          <w:b/>
          <w:color w:val="00B0F0"/>
          <w:szCs w:val="20"/>
          <w:lang w:val="fr-CA"/>
        </w:rPr>
        <w:t> </w:t>
      </w:r>
      <w:r w:rsidR="003C01E7" w:rsidRPr="00B63BD5">
        <w:rPr>
          <w:b/>
          <w:color w:val="00B0F0"/>
          <w:szCs w:val="20"/>
          <w:lang w:val="fr-CA"/>
        </w:rPr>
        <w:t>l</w:t>
      </w:r>
      <w:r w:rsidR="00564B0C" w:rsidRPr="00B63BD5">
        <w:rPr>
          <w:b/>
          <w:color w:val="00B0F0"/>
          <w:szCs w:val="20"/>
          <w:lang w:val="fr-CA"/>
        </w:rPr>
        <w:t>’</w:t>
      </w:r>
      <w:r w:rsidR="003C01E7" w:rsidRPr="00B63BD5">
        <w:rPr>
          <w:b/>
          <w:color w:val="00B0F0"/>
          <w:szCs w:val="20"/>
          <w:lang w:val="fr-CA"/>
        </w:rPr>
        <w:t>écart sera calculé à une date ultérieure, ajouter la mention «</w:t>
      </w:r>
      <w:r w:rsidR="00B056F9" w:rsidRPr="00B63BD5">
        <w:rPr>
          <w:b/>
          <w:color w:val="00B0F0"/>
          <w:szCs w:val="20"/>
          <w:lang w:val="fr-CA"/>
        </w:rPr>
        <w:t> </w:t>
      </w:r>
      <w:r w:rsidR="003C01E7" w:rsidRPr="00B63BD5">
        <w:rPr>
          <w:b/>
          <w:color w:val="00B0F0"/>
          <w:szCs w:val="20"/>
          <w:lang w:val="fr-CA"/>
        </w:rPr>
        <w:t>À déterminer à la Date de substitution</w:t>
      </w:r>
      <w:r w:rsidR="00B056F9" w:rsidRPr="00B63BD5">
        <w:rPr>
          <w:b/>
          <w:color w:val="00B0F0"/>
          <w:szCs w:val="20"/>
          <w:lang w:val="fr-CA"/>
        </w:rPr>
        <w:t> </w:t>
      </w:r>
      <w:r w:rsidR="003C01E7" w:rsidRPr="00B63BD5">
        <w:rPr>
          <w:b/>
          <w:color w:val="00B0F0"/>
          <w:szCs w:val="20"/>
          <w:lang w:val="fr-CA"/>
        </w:rPr>
        <w:t>» dans la colonne «</w:t>
      </w:r>
      <w:r w:rsidR="00B056F9" w:rsidRPr="00B63BD5">
        <w:rPr>
          <w:b/>
          <w:color w:val="00B0F0"/>
          <w:szCs w:val="20"/>
          <w:lang w:val="fr-CA"/>
        </w:rPr>
        <w:t> </w:t>
      </w:r>
      <w:r w:rsidR="003C01E7" w:rsidRPr="00B63BD5">
        <w:rPr>
          <w:b/>
          <w:color w:val="00B0F0"/>
          <w:szCs w:val="20"/>
          <w:lang w:val="fr-CA"/>
        </w:rPr>
        <w:t>Pourcentage</w:t>
      </w:r>
      <w:r w:rsidR="00B056F9" w:rsidRPr="00B63BD5">
        <w:rPr>
          <w:b/>
          <w:color w:val="00B0F0"/>
          <w:szCs w:val="20"/>
          <w:lang w:val="fr-CA"/>
        </w:rPr>
        <w:t> </w:t>
      </w:r>
      <w:r w:rsidR="003C01E7" w:rsidRPr="00B63BD5">
        <w:rPr>
          <w:b/>
          <w:color w:val="00B0F0"/>
          <w:szCs w:val="20"/>
          <w:lang w:val="fr-CA"/>
        </w:rPr>
        <w:t>» au lieu du taux indiqué.]</w:t>
      </w:r>
      <w:r w:rsidR="00564B0C" w:rsidRPr="00B63BD5">
        <w:rPr>
          <w:b/>
          <w:color w:val="00B0F0"/>
          <w:szCs w:val="20"/>
          <w:lang w:val="fr-CA"/>
        </w:rPr>
        <w:t xml:space="preserve"> </w:t>
      </w:r>
    </w:p>
    <w:tbl>
      <w:tblPr>
        <w:tblStyle w:val="TableGrid"/>
        <w:tblW w:w="0" w:type="auto"/>
        <w:tblInd w:w="1345" w:type="dxa"/>
        <w:tblLook w:val="04A0" w:firstRow="1" w:lastRow="0" w:firstColumn="1" w:lastColumn="0" w:noHBand="0" w:noVBand="1"/>
      </w:tblPr>
      <w:tblGrid>
        <w:gridCol w:w="1769"/>
        <w:gridCol w:w="6151"/>
      </w:tblGrid>
      <w:tr w:rsidR="006F4D0B" w:rsidRPr="00B63BD5" w14:paraId="6F7C290E" w14:textId="77777777" w:rsidTr="006F4D0B">
        <w:tc>
          <w:tcPr>
            <w:tcW w:w="1769" w:type="dxa"/>
            <w:tcBorders>
              <w:top w:val="single" w:sz="4" w:space="0" w:color="auto"/>
              <w:left w:val="single" w:sz="4" w:space="0" w:color="auto"/>
              <w:bottom w:val="single" w:sz="4" w:space="0" w:color="auto"/>
              <w:right w:val="single" w:sz="4" w:space="0" w:color="auto"/>
            </w:tcBorders>
            <w:hideMark/>
          </w:tcPr>
          <w:p w14:paraId="736B3E70" w14:textId="77777777" w:rsidR="006F4D0B" w:rsidRPr="00B63BD5" w:rsidRDefault="006F4D0B">
            <w:pPr>
              <w:pStyle w:val="FootnoteText"/>
              <w:rPr>
                <w:u w:val="single"/>
                <w:lang w:val="fr-CA"/>
              </w:rPr>
            </w:pPr>
            <w:r w:rsidRPr="00B63BD5">
              <w:rPr>
                <w:u w:val="single"/>
                <w:lang w:val="fr-CA"/>
              </w:rPr>
              <w:t>Période SOFR</w:t>
            </w:r>
          </w:p>
        </w:tc>
        <w:tc>
          <w:tcPr>
            <w:tcW w:w="6151" w:type="dxa"/>
            <w:tcBorders>
              <w:top w:val="single" w:sz="4" w:space="0" w:color="auto"/>
              <w:left w:val="single" w:sz="4" w:space="0" w:color="auto"/>
              <w:bottom w:val="single" w:sz="4" w:space="0" w:color="auto"/>
              <w:right w:val="single" w:sz="4" w:space="0" w:color="auto"/>
            </w:tcBorders>
            <w:hideMark/>
          </w:tcPr>
          <w:p w14:paraId="7447545B" w14:textId="77777777" w:rsidR="006F4D0B" w:rsidRPr="00B63BD5" w:rsidRDefault="006F4D0B">
            <w:pPr>
              <w:pStyle w:val="FootnoteText"/>
              <w:rPr>
                <w:u w:val="single"/>
                <w:lang w:val="fr-CA"/>
              </w:rPr>
            </w:pPr>
            <w:r w:rsidRPr="00B63BD5">
              <w:rPr>
                <w:u w:val="single"/>
                <w:lang w:val="fr-CA"/>
              </w:rPr>
              <w:t>Pourcentage</w:t>
            </w:r>
          </w:p>
        </w:tc>
      </w:tr>
      <w:tr w:rsidR="00574CF2" w:rsidRPr="002C047F" w14:paraId="3FF02689" w14:textId="77777777" w:rsidTr="006F4D0B">
        <w:tc>
          <w:tcPr>
            <w:tcW w:w="1769" w:type="dxa"/>
            <w:tcBorders>
              <w:top w:val="single" w:sz="4" w:space="0" w:color="auto"/>
              <w:left w:val="single" w:sz="4" w:space="0" w:color="auto"/>
              <w:bottom w:val="single" w:sz="4" w:space="0" w:color="auto"/>
              <w:right w:val="single" w:sz="4" w:space="0" w:color="auto"/>
            </w:tcBorders>
            <w:hideMark/>
          </w:tcPr>
          <w:p w14:paraId="094003FD" w14:textId="77777777" w:rsidR="00574CF2" w:rsidRPr="00B63BD5" w:rsidRDefault="00574CF2" w:rsidP="00574CF2">
            <w:pPr>
              <w:pStyle w:val="FootnoteText"/>
              <w:rPr>
                <w:lang w:val="fr-CA"/>
              </w:rPr>
            </w:pPr>
            <w:r w:rsidRPr="00B63BD5">
              <w:rPr>
                <w:lang w:val="fr-CA"/>
              </w:rPr>
              <w:lastRenderedPageBreak/>
              <w:t>Un mois</w:t>
            </w:r>
          </w:p>
        </w:tc>
        <w:tc>
          <w:tcPr>
            <w:tcW w:w="6151" w:type="dxa"/>
            <w:tcBorders>
              <w:top w:val="single" w:sz="4" w:space="0" w:color="auto"/>
              <w:left w:val="single" w:sz="4" w:space="0" w:color="auto"/>
              <w:bottom w:val="single" w:sz="4" w:space="0" w:color="auto"/>
              <w:right w:val="single" w:sz="4" w:space="0" w:color="auto"/>
            </w:tcBorders>
            <w:hideMark/>
          </w:tcPr>
          <w:p w14:paraId="77E5A4CC" w14:textId="40E2DF5A" w:rsidR="00574CF2" w:rsidRPr="00B63BD5" w:rsidRDefault="00574CF2" w:rsidP="00574CF2">
            <w:pPr>
              <w:pStyle w:val="FootnoteText"/>
              <w:rPr>
                <w:lang w:val="fr-CA"/>
              </w:rPr>
            </w:pPr>
            <w:r w:rsidRPr="00B63BD5">
              <w:rPr>
                <w:rStyle w:val="Prompt"/>
                <w:lang w:val="fr-CA"/>
              </w:rPr>
              <w:t>[</w:t>
            </w:r>
            <w:r w:rsidRPr="00B63BD5">
              <w:rPr>
                <w:lang w:val="fr-CA"/>
              </w:rPr>
              <w:t xml:space="preserve">0,11448] </w:t>
            </w:r>
            <w:r w:rsidRPr="00B63BD5">
              <w:rPr>
                <w:rStyle w:val="Prompt"/>
                <w:lang w:val="fr-CA"/>
              </w:rPr>
              <w:t>[0,</w:t>
            </w:r>
            <w:r w:rsidRPr="00B63BD5">
              <w:rPr>
                <w:lang w:val="fr-CA"/>
              </w:rPr>
              <w:t>10] % [À déterminer à la Date de substitution]</w:t>
            </w:r>
          </w:p>
        </w:tc>
      </w:tr>
      <w:tr w:rsidR="00574CF2" w:rsidRPr="002C047F" w14:paraId="6E2E3FB3" w14:textId="77777777" w:rsidTr="006F4D0B">
        <w:tc>
          <w:tcPr>
            <w:tcW w:w="1769" w:type="dxa"/>
            <w:tcBorders>
              <w:top w:val="single" w:sz="4" w:space="0" w:color="auto"/>
              <w:left w:val="single" w:sz="4" w:space="0" w:color="auto"/>
              <w:bottom w:val="single" w:sz="4" w:space="0" w:color="auto"/>
              <w:right w:val="single" w:sz="4" w:space="0" w:color="auto"/>
            </w:tcBorders>
            <w:hideMark/>
          </w:tcPr>
          <w:p w14:paraId="7B033C7E" w14:textId="77777777" w:rsidR="00574CF2" w:rsidRPr="00B63BD5" w:rsidRDefault="00574CF2" w:rsidP="00574CF2">
            <w:pPr>
              <w:pStyle w:val="FootnoteText"/>
              <w:rPr>
                <w:lang w:val="fr-CA"/>
              </w:rPr>
            </w:pPr>
            <w:r w:rsidRPr="00B63BD5">
              <w:rPr>
                <w:lang w:val="fr-CA"/>
              </w:rPr>
              <w:t>Trois mois</w:t>
            </w:r>
          </w:p>
        </w:tc>
        <w:tc>
          <w:tcPr>
            <w:tcW w:w="6151" w:type="dxa"/>
            <w:tcBorders>
              <w:top w:val="single" w:sz="4" w:space="0" w:color="auto"/>
              <w:left w:val="single" w:sz="4" w:space="0" w:color="auto"/>
              <w:bottom w:val="single" w:sz="4" w:space="0" w:color="auto"/>
              <w:right w:val="single" w:sz="4" w:space="0" w:color="auto"/>
            </w:tcBorders>
            <w:hideMark/>
          </w:tcPr>
          <w:p w14:paraId="4634AF1A" w14:textId="2DDBD2B6" w:rsidR="00574CF2" w:rsidRPr="00B63BD5" w:rsidRDefault="00574CF2" w:rsidP="00574CF2">
            <w:pPr>
              <w:pStyle w:val="FootnoteText"/>
              <w:rPr>
                <w:lang w:val="fr-CA"/>
              </w:rPr>
            </w:pPr>
            <w:r w:rsidRPr="00B63BD5">
              <w:rPr>
                <w:rStyle w:val="Prompt"/>
                <w:lang w:val="fr-CA"/>
              </w:rPr>
              <w:t>[</w:t>
            </w:r>
            <w:r w:rsidRPr="00B63BD5">
              <w:rPr>
                <w:lang w:val="fr-CA"/>
              </w:rPr>
              <w:t xml:space="preserve">0,26161] </w:t>
            </w:r>
            <w:r w:rsidRPr="00B63BD5">
              <w:rPr>
                <w:rStyle w:val="Prompt"/>
                <w:lang w:val="fr-CA"/>
              </w:rPr>
              <w:t>[0,</w:t>
            </w:r>
            <w:r w:rsidRPr="00B63BD5">
              <w:rPr>
                <w:lang w:val="fr-CA"/>
              </w:rPr>
              <w:t>15] % [À déterminer à la Date de substitution]</w:t>
            </w:r>
          </w:p>
        </w:tc>
      </w:tr>
      <w:tr w:rsidR="00574CF2" w:rsidRPr="002C047F" w14:paraId="39A0EC8F" w14:textId="77777777" w:rsidTr="006F4D0B">
        <w:tc>
          <w:tcPr>
            <w:tcW w:w="1769" w:type="dxa"/>
            <w:tcBorders>
              <w:top w:val="single" w:sz="4" w:space="0" w:color="auto"/>
              <w:left w:val="single" w:sz="4" w:space="0" w:color="auto"/>
              <w:bottom w:val="single" w:sz="4" w:space="0" w:color="auto"/>
              <w:right w:val="single" w:sz="4" w:space="0" w:color="auto"/>
            </w:tcBorders>
            <w:hideMark/>
          </w:tcPr>
          <w:p w14:paraId="7F4EAC43" w14:textId="77777777" w:rsidR="00574CF2" w:rsidRPr="00B63BD5" w:rsidRDefault="00574CF2" w:rsidP="00574CF2">
            <w:pPr>
              <w:pStyle w:val="FootnoteText"/>
              <w:rPr>
                <w:lang w:val="fr-CA"/>
              </w:rPr>
            </w:pPr>
            <w:r w:rsidRPr="00B63BD5">
              <w:rPr>
                <w:lang w:val="fr-CA"/>
              </w:rPr>
              <w:t>Six mois</w:t>
            </w:r>
          </w:p>
        </w:tc>
        <w:tc>
          <w:tcPr>
            <w:tcW w:w="6151" w:type="dxa"/>
            <w:tcBorders>
              <w:top w:val="single" w:sz="4" w:space="0" w:color="auto"/>
              <w:left w:val="single" w:sz="4" w:space="0" w:color="auto"/>
              <w:bottom w:val="single" w:sz="4" w:space="0" w:color="auto"/>
              <w:right w:val="single" w:sz="4" w:space="0" w:color="auto"/>
            </w:tcBorders>
            <w:hideMark/>
          </w:tcPr>
          <w:p w14:paraId="08337876" w14:textId="652F580C" w:rsidR="00574CF2" w:rsidRPr="00B63BD5" w:rsidRDefault="00574CF2" w:rsidP="00574CF2">
            <w:pPr>
              <w:pStyle w:val="FootnoteText"/>
              <w:rPr>
                <w:lang w:val="fr-CA"/>
              </w:rPr>
            </w:pPr>
            <w:r w:rsidRPr="00B63BD5">
              <w:rPr>
                <w:lang w:val="fr-CA"/>
              </w:rPr>
              <w:t xml:space="preserve">[0,42826] </w:t>
            </w:r>
            <w:r w:rsidRPr="00B63BD5">
              <w:rPr>
                <w:rStyle w:val="Prompt"/>
                <w:lang w:val="fr-CA"/>
              </w:rPr>
              <w:t>[0,</w:t>
            </w:r>
            <w:r w:rsidRPr="00B63BD5">
              <w:rPr>
                <w:lang w:val="fr-CA"/>
              </w:rPr>
              <w:t>25] % [À déterminer à la Date de substitution]</w:t>
            </w:r>
          </w:p>
        </w:tc>
      </w:tr>
      <w:tr w:rsidR="006F4D0B" w:rsidRPr="002C047F" w14:paraId="51953A16" w14:textId="77777777" w:rsidTr="006F4D0B">
        <w:tc>
          <w:tcPr>
            <w:tcW w:w="1769" w:type="dxa"/>
            <w:tcBorders>
              <w:top w:val="single" w:sz="4" w:space="0" w:color="auto"/>
              <w:left w:val="single" w:sz="4" w:space="0" w:color="auto"/>
              <w:bottom w:val="single" w:sz="4" w:space="0" w:color="auto"/>
              <w:right w:val="single" w:sz="4" w:space="0" w:color="auto"/>
            </w:tcBorders>
            <w:hideMark/>
          </w:tcPr>
          <w:p w14:paraId="6D9FEB6F" w14:textId="77777777" w:rsidR="006F4D0B" w:rsidRPr="00B63BD5" w:rsidRDefault="006F4D0B">
            <w:pPr>
              <w:pStyle w:val="FootnoteText"/>
              <w:rPr>
                <w:b/>
                <w:color w:val="00B0F0"/>
                <w:lang w:val="fr-CA"/>
              </w:rPr>
            </w:pPr>
            <w:r w:rsidRPr="00B63BD5">
              <w:rPr>
                <w:lang w:val="fr-CA"/>
              </w:rPr>
              <w:t>Douze mois</w:t>
            </w:r>
          </w:p>
        </w:tc>
        <w:tc>
          <w:tcPr>
            <w:tcW w:w="6151" w:type="dxa"/>
            <w:tcBorders>
              <w:top w:val="single" w:sz="4" w:space="0" w:color="auto"/>
              <w:left w:val="single" w:sz="4" w:space="0" w:color="auto"/>
              <w:bottom w:val="single" w:sz="4" w:space="0" w:color="auto"/>
              <w:right w:val="single" w:sz="4" w:space="0" w:color="auto"/>
            </w:tcBorders>
            <w:hideMark/>
          </w:tcPr>
          <w:p w14:paraId="2B17F816" w14:textId="418A1ABE" w:rsidR="006F4D0B" w:rsidRPr="00B63BD5" w:rsidRDefault="006F4D0B" w:rsidP="006F4D0B">
            <w:pPr>
              <w:pStyle w:val="FootnoteText"/>
              <w:rPr>
                <w:b/>
                <w:color w:val="00B0F0"/>
                <w:lang w:val="fr-CA"/>
              </w:rPr>
            </w:pPr>
            <w:r w:rsidRPr="00B63BD5">
              <w:rPr>
                <w:lang w:val="fr-CA"/>
              </w:rPr>
              <w:t>[0,71513] % [À déterminer à la Date de substitution]</w:t>
            </w:r>
          </w:p>
        </w:tc>
      </w:tr>
    </w:tbl>
    <w:p w14:paraId="2E7B5B4C" w14:textId="77777777" w:rsidR="000F0FF2" w:rsidRPr="00B63BD5" w:rsidRDefault="000F0FF2" w:rsidP="000F0FF2">
      <w:pPr>
        <w:rPr>
          <w:lang w:val="fr-CA"/>
        </w:rPr>
      </w:pPr>
    </w:p>
    <w:p w14:paraId="27C8239F" w14:textId="7D0B793C" w:rsidR="00424576" w:rsidRPr="00B63BD5" w:rsidRDefault="00424576" w:rsidP="00AD3177">
      <w:pPr>
        <w:pStyle w:val="04LOLglNew4"/>
        <w:numPr>
          <w:ilvl w:val="0"/>
          <w:numId w:val="0"/>
        </w:numPr>
        <w:ind w:left="1418"/>
        <w:rPr>
          <w:szCs w:val="20"/>
          <w:lang w:val="fr-CA"/>
        </w:rPr>
      </w:pPr>
      <w:r w:rsidRPr="00B63BD5">
        <w:rPr>
          <w:szCs w:val="20"/>
          <w:lang w:val="fr-CA"/>
        </w:rPr>
        <w:t xml:space="preserve">Si le total du Taux de référence SOFR majoré du montant indiqué au point </w:t>
      </w:r>
      <w:r w:rsidR="00D33630" w:rsidRPr="00B63BD5">
        <w:rPr>
          <w:szCs w:val="20"/>
          <w:lang w:val="fr-CA"/>
        </w:rPr>
        <w:t>(</w:t>
      </w:r>
      <w:r w:rsidRPr="00B63BD5">
        <w:rPr>
          <w:szCs w:val="20"/>
          <w:lang w:val="fr-CA"/>
        </w:rPr>
        <w:t>i) ci-dessus est</w:t>
      </w:r>
      <w:r w:rsidR="00A73FBE" w:rsidRPr="00B63BD5">
        <w:rPr>
          <w:szCs w:val="20"/>
          <w:lang w:val="fr-CA"/>
        </w:rPr>
        <w:t> </w:t>
      </w:r>
      <w:r w:rsidRPr="00B63BD5">
        <w:rPr>
          <w:szCs w:val="20"/>
          <w:lang w:val="fr-CA"/>
        </w:rPr>
        <w:t>négatif, le total de ces montants (et non le Taux de référence SOFR pour éviter toute ambiguïté) est réputé être égal à zéro.</w:t>
      </w:r>
    </w:p>
    <w:p w14:paraId="11F93D7A" w14:textId="18F5ABB3" w:rsidR="009D53BF" w:rsidRPr="00B63BD5" w:rsidRDefault="006A321B" w:rsidP="00AF7C93">
      <w:pPr>
        <w:pStyle w:val="04LOLglNew4"/>
        <w:numPr>
          <w:ilvl w:val="3"/>
          <w:numId w:val="26"/>
        </w:numPr>
        <w:rPr>
          <w:szCs w:val="20"/>
          <w:lang w:val="fr-CA"/>
        </w:rPr>
      </w:pPr>
      <w:r w:rsidRPr="00B63BD5">
        <w:rPr>
          <w:szCs w:val="20"/>
          <w:lang w:val="fr-CA"/>
        </w:rPr>
        <w:t xml:space="preserve">majoré de </w:t>
      </w:r>
      <w:r w:rsidR="009C796D" w:rsidRPr="00B63BD5">
        <w:rPr>
          <w:szCs w:val="20"/>
          <w:lang w:val="fr-CA"/>
        </w:rPr>
        <w:t>●</w:t>
      </w:r>
      <w:r w:rsidR="00AB0594" w:rsidRPr="00B63BD5">
        <w:rPr>
          <w:szCs w:val="20"/>
          <w:lang w:val="fr-CA"/>
        </w:rPr>
        <w:t> </w:t>
      </w:r>
      <w:r w:rsidRPr="00B63BD5">
        <w:rPr>
          <w:szCs w:val="20"/>
          <w:lang w:val="fr-CA"/>
        </w:rPr>
        <w:t>% par année</w:t>
      </w:r>
      <w:r w:rsidR="00424576" w:rsidRPr="00B63BD5">
        <w:rPr>
          <w:szCs w:val="20"/>
          <w:lang w:val="fr-CA"/>
        </w:rPr>
        <w:t xml:space="preserve">, </w:t>
      </w:r>
    </w:p>
    <w:p w14:paraId="20A9ADBA" w14:textId="0F23C94A" w:rsidR="006A321B" w:rsidRPr="00B63BD5" w:rsidRDefault="00424576" w:rsidP="00632863">
      <w:pPr>
        <w:pStyle w:val="Heading4"/>
        <w:ind w:left="709"/>
        <w:jc w:val="both"/>
      </w:pPr>
      <w:r w:rsidRPr="00B63BD5">
        <w:t>dans chacun des cas</w:t>
      </w:r>
      <w:r w:rsidR="006A321B" w:rsidRPr="00B63BD5">
        <w:t xml:space="preserve"> en fonction d</w:t>
      </w:r>
      <w:r w:rsidR="00564B0C" w:rsidRPr="00B63BD5">
        <w:t>’</w:t>
      </w:r>
      <w:r w:rsidR="006A321B" w:rsidRPr="00B63BD5">
        <w:t>une année de 360</w:t>
      </w:r>
      <w:r w:rsidR="00AB0594" w:rsidRPr="00B63BD5">
        <w:t> </w:t>
      </w:r>
      <w:r w:rsidR="006A321B" w:rsidRPr="00B63BD5">
        <w:t>jours, calculé sur le solde quotidien et payable aux dates suivantes</w:t>
      </w:r>
      <w:r w:rsidR="00AC4107" w:rsidRPr="00B63BD5">
        <w:t xml:space="preserve"> </w:t>
      </w:r>
      <w:r w:rsidR="006A321B" w:rsidRPr="00B63BD5">
        <w:t>:</w:t>
      </w:r>
    </w:p>
    <w:p w14:paraId="287A78A3" w14:textId="64E4FC68" w:rsidR="006A321B" w:rsidRPr="00B63BD5" w:rsidRDefault="006A321B" w:rsidP="00CE0A4C">
      <w:pPr>
        <w:pStyle w:val="04LOLglNew5"/>
        <w:rPr>
          <w:szCs w:val="20"/>
          <w:lang w:val="fr-CA"/>
        </w:rPr>
      </w:pPr>
      <w:r w:rsidRPr="00B63BD5">
        <w:rPr>
          <w:szCs w:val="20"/>
          <w:lang w:val="fr-CA"/>
        </w:rPr>
        <w:t xml:space="preserve">à la fin de la Période </w:t>
      </w:r>
      <w:r w:rsidR="00424576" w:rsidRPr="00B63BD5">
        <w:rPr>
          <w:szCs w:val="20"/>
          <w:lang w:val="fr-CA"/>
        </w:rPr>
        <w:t xml:space="preserve">SOFR </w:t>
      </w:r>
      <w:r w:rsidRPr="00B63BD5">
        <w:rPr>
          <w:szCs w:val="20"/>
          <w:lang w:val="fr-CA"/>
        </w:rPr>
        <w:t>applicable;</w:t>
      </w:r>
    </w:p>
    <w:p w14:paraId="7D72C44D" w14:textId="385DDD50" w:rsidR="006A321B" w:rsidRPr="00B63BD5" w:rsidRDefault="006A321B" w:rsidP="00CE0A4C">
      <w:pPr>
        <w:pStyle w:val="04LOLglNew5"/>
        <w:rPr>
          <w:szCs w:val="20"/>
          <w:lang w:val="fr-CA"/>
        </w:rPr>
      </w:pPr>
      <w:r w:rsidRPr="00B63BD5">
        <w:rPr>
          <w:szCs w:val="20"/>
          <w:lang w:val="fr-CA"/>
        </w:rPr>
        <w:t xml:space="preserve">si la Période </w:t>
      </w:r>
      <w:r w:rsidR="00424576" w:rsidRPr="00B63BD5">
        <w:rPr>
          <w:szCs w:val="20"/>
          <w:lang w:val="fr-CA"/>
        </w:rPr>
        <w:t xml:space="preserve">SOFR </w:t>
      </w:r>
      <w:r w:rsidRPr="00B63BD5">
        <w:rPr>
          <w:szCs w:val="20"/>
          <w:lang w:val="fr-CA"/>
        </w:rPr>
        <w:t>applicable dépasse 90</w:t>
      </w:r>
      <w:r w:rsidR="00AB0594" w:rsidRPr="00B63BD5">
        <w:rPr>
          <w:szCs w:val="20"/>
          <w:lang w:val="fr-CA"/>
        </w:rPr>
        <w:t> </w:t>
      </w:r>
      <w:r w:rsidRPr="00B63BD5">
        <w:rPr>
          <w:szCs w:val="20"/>
          <w:lang w:val="fr-CA"/>
        </w:rPr>
        <w:t>jours, à la fin de chaque période</w:t>
      </w:r>
      <w:r w:rsidR="00265D92" w:rsidRPr="00B63BD5">
        <w:rPr>
          <w:szCs w:val="20"/>
          <w:lang w:val="fr-CA"/>
        </w:rPr>
        <w:t> </w:t>
      </w:r>
      <w:r w:rsidRPr="00B63BD5">
        <w:rPr>
          <w:szCs w:val="20"/>
          <w:lang w:val="fr-CA"/>
        </w:rPr>
        <w:t>de 90</w:t>
      </w:r>
      <w:r w:rsidR="00AC4107" w:rsidRPr="00B63BD5">
        <w:rPr>
          <w:szCs w:val="20"/>
          <w:lang w:val="fr-CA"/>
        </w:rPr>
        <w:t xml:space="preserve"> </w:t>
      </w:r>
      <w:r w:rsidRPr="00B63BD5">
        <w:rPr>
          <w:szCs w:val="20"/>
          <w:lang w:val="fr-CA"/>
        </w:rPr>
        <w:t xml:space="preserve">jours comprise dans la Période </w:t>
      </w:r>
      <w:r w:rsidR="00424576" w:rsidRPr="00B63BD5">
        <w:rPr>
          <w:szCs w:val="20"/>
          <w:lang w:val="fr-CA"/>
        </w:rPr>
        <w:t xml:space="preserve">SOFR </w:t>
      </w:r>
      <w:r w:rsidRPr="00B63BD5">
        <w:rPr>
          <w:szCs w:val="20"/>
          <w:lang w:val="fr-CA"/>
        </w:rPr>
        <w:t>et le dernier jour de</w:t>
      </w:r>
      <w:r w:rsidR="00AB0594" w:rsidRPr="00B63BD5">
        <w:rPr>
          <w:szCs w:val="20"/>
          <w:lang w:val="fr-CA"/>
        </w:rPr>
        <w:t xml:space="preserve"> </w:t>
      </w:r>
      <w:r w:rsidRPr="00B63BD5">
        <w:rPr>
          <w:szCs w:val="20"/>
          <w:lang w:val="fr-CA"/>
        </w:rPr>
        <w:t>la</w:t>
      </w:r>
      <w:r w:rsidR="00AB0594" w:rsidRPr="00B63BD5">
        <w:rPr>
          <w:szCs w:val="20"/>
          <w:lang w:val="fr-CA"/>
        </w:rPr>
        <w:t xml:space="preserve"> </w:t>
      </w:r>
      <w:r w:rsidRPr="00B63BD5">
        <w:rPr>
          <w:szCs w:val="20"/>
          <w:lang w:val="fr-CA"/>
        </w:rPr>
        <w:t xml:space="preserve">Période </w:t>
      </w:r>
      <w:r w:rsidR="00424576" w:rsidRPr="00B63BD5">
        <w:rPr>
          <w:szCs w:val="20"/>
          <w:lang w:val="fr-CA"/>
        </w:rPr>
        <w:t>SOFR</w:t>
      </w:r>
      <w:r w:rsidRPr="00B63BD5">
        <w:rPr>
          <w:szCs w:val="20"/>
          <w:lang w:val="fr-CA"/>
        </w:rPr>
        <w:t>;</w:t>
      </w:r>
    </w:p>
    <w:p w14:paraId="36E1BBEE" w14:textId="17EBA554" w:rsidR="006A321B" w:rsidRPr="00B63BD5" w:rsidRDefault="006A321B" w:rsidP="00CE0A4C">
      <w:pPr>
        <w:pStyle w:val="04LOLglNew5"/>
        <w:rPr>
          <w:szCs w:val="20"/>
          <w:lang w:val="fr-CA"/>
        </w:rPr>
      </w:pPr>
      <w:r w:rsidRPr="00B63BD5">
        <w:rPr>
          <w:szCs w:val="20"/>
          <w:lang w:val="fr-CA"/>
        </w:rPr>
        <w:t xml:space="preserve">à la date à laquelle le Prêt au taux </w:t>
      </w:r>
      <w:r w:rsidR="00424576" w:rsidRPr="00B63BD5">
        <w:rPr>
          <w:szCs w:val="20"/>
          <w:lang w:val="fr-CA"/>
        </w:rPr>
        <w:t xml:space="preserve">SOFR à terme </w:t>
      </w:r>
      <w:r w:rsidRPr="00B63BD5">
        <w:rPr>
          <w:szCs w:val="20"/>
          <w:lang w:val="fr-CA"/>
        </w:rPr>
        <w:t>devient exigible (ou</w:t>
      </w:r>
      <w:r w:rsidR="00265D92" w:rsidRPr="00B63BD5">
        <w:rPr>
          <w:szCs w:val="20"/>
          <w:lang w:val="fr-CA"/>
        </w:rPr>
        <w:t> </w:t>
      </w:r>
      <w:r w:rsidRPr="00B63BD5">
        <w:rPr>
          <w:szCs w:val="20"/>
          <w:lang w:val="fr-CA"/>
        </w:rPr>
        <w:t>est</w:t>
      </w:r>
      <w:r w:rsidR="00265D92" w:rsidRPr="00B63BD5">
        <w:rPr>
          <w:szCs w:val="20"/>
          <w:lang w:val="fr-CA"/>
        </w:rPr>
        <w:t> </w:t>
      </w:r>
      <w:r w:rsidRPr="00B63BD5">
        <w:rPr>
          <w:szCs w:val="20"/>
          <w:lang w:val="fr-CA"/>
        </w:rPr>
        <w:t>remboursé par anticipation</w:t>
      </w:r>
      <w:r w:rsidR="00424576" w:rsidRPr="00B63BD5">
        <w:rPr>
          <w:szCs w:val="20"/>
          <w:lang w:val="fr-CA"/>
        </w:rPr>
        <w:t>.</w:t>
      </w:r>
    </w:p>
    <w:p w14:paraId="67A946D5" w14:textId="6C03D4B6" w:rsidR="008B4783" w:rsidRPr="002C047F" w:rsidRDefault="00EA656A" w:rsidP="00155AC2">
      <w:pPr>
        <w:pStyle w:val="04LOLglNew3"/>
        <w:widowControl w:val="0"/>
        <w:spacing w:before="240"/>
        <w:rPr>
          <w:b/>
          <w:color w:val="00B0F0"/>
          <w:lang w:val="fr-FR"/>
        </w:rPr>
      </w:pPr>
      <w:r w:rsidRPr="008B4783">
        <w:rPr>
          <w:b/>
          <w:color w:val="00B0F0"/>
          <w:lang w:val="fr-CA"/>
        </w:rPr>
        <w:t xml:space="preserve">[TAUX SOFR À TERME, </w:t>
      </w:r>
      <w:r w:rsidR="00CC5B5B" w:rsidRPr="008B4783">
        <w:rPr>
          <w:b/>
          <w:color w:val="00B0F0"/>
          <w:lang w:val="fr-CA"/>
        </w:rPr>
        <w:t xml:space="preserve"> </w:t>
      </w:r>
      <w:r w:rsidR="00135683">
        <w:rPr>
          <w:b/>
          <w:color w:val="00B0F0"/>
          <w:lang w:val="fr-CA"/>
        </w:rPr>
        <w:t>RAJUSTEMENT DE L’ÉCART</w:t>
      </w:r>
      <w:r w:rsidR="00CC5B5B" w:rsidRPr="008B4783">
        <w:rPr>
          <w:b/>
          <w:color w:val="00B0F0"/>
          <w:lang w:val="fr-CA"/>
        </w:rPr>
        <w:t xml:space="preserve"> COMBINÉ</w:t>
      </w:r>
      <w:r w:rsidR="00AC4107" w:rsidRPr="008B4783">
        <w:rPr>
          <w:b/>
          <w:color w:val="00B0F0"/>
          <w:lang w:val="fr-CA"/>
        </w:rPr>
        <w:t xml:space="preserve"> </w:t>
      </w:r>
      <w:r w:rsidRPr="008B4783">
        <w:rPr>
          <w:b/>
          <w:color w:val="00B0F0"/>
          <w:lang w:val="fr-CA"/>
        </w:rPr>
        <w:t>: Sélectionner cette option pour les clients qui</w:t>
      </w:r>
      <w:r w:rsidR="00265D92" w:rsidRPr="008B4783">
        <w:rPr>
          <w:b/>
          <w:color w:val="00B0F0"/>
          <w:lang w:val="fr-CA"/>
        </w:rPr>
        <w:t> </w:t>
      </w:r>
      <w:r w:rsidRPr="008B4783">
        <w:rPr>
          <w:b/>
          <w:color w:val="00B0F0"/>
          <w:lang w:val="fr-CA"/>
        </w:rPr>
        <w:t>optent pour le taux SOFR à terme et qui ne demandent pas que le rajustement de l</w:t>
      </w:r>
      <w:r w:rsidR="00564B0C" w:rsidRPr="008B4783">
        <w:rPr>
          <w:b/>
          <w:color w:val="00B0F0"/>
          <w:lang w:val="fr-CA"/>
        </w:rPr>
        <w:t>’</w:t>
      </w:r>
      <w:r w:rsidRPr="008B4783">
        <w:rPr>
          <w:b/>
          <w:color w:val="00B0F0"/>
          <w:lang w:val="fr-CA"/>
        </w:rPr>
        <w:t xml:space="preserve">écart soit indiqué séparément] </w:t>
      </w:r>
      <w:r w:rsidRPr="002C047F">
        <w:rPr>
          <w:lang w:val="fr-FR"/>
        </w:rPr>
        <w:t xml:space="preserve">pour les Prêts au taux SOFR à terme, au Taux de référence SOFR majoré </w:t>
      </w:r>
      <w:r w:rsidR="00C20C40" w:rsidRPr="002C047F">
        <w:rPr>
          <w:lang w:val="fr-FR"/>
        </w:rPr>
        <w:t>du pourcentage annuel indiqué ci-dessous pour la Période SOFR applicable :</w:t>
      </w:r>
      <w:r w:rsidRPr="002C047F">
        <w:rPr>
          <w:lang w:val="fr-FR"/>
        </w:rPr>
        <w:t xml:space="preserve"> </w:t>
      </w:r>
    </w:p>
    <w:p w14:paraId="10F45D1C" w14:textId="3E53AFA5" w:rsidR="006F4D0B" w:rsidRPr="002C047F" w:rsidRDefault="00E15D3A" w:rsidP="008B4783">
      <w:pPr>
        <w:pStyle w:val="04LOLglNew3"/>
        <w:widowControl w:val="0"/>
        <w:numPr>
          <w:ilvl w:val="0"/>
          <w:numId w:val="0"/>
        </w:numPr>
        <w:spacing w:before="240"/>
        <w:ind w:left="709"/>
        <w:rPr>
          <w:b/>
          <w:color w:val="00B0F0"/>
          <w:lang w:val="fr-FR"/>
        </w:rPr>
      </w:pPr>
      <w:r w:rsidRPr="002C047F">
        <w:rPr>
          <w:b/>
          <w:color w:val="00B0F0"/>
          <w:lang w:val="fr-FR"/>
        </w:rPr>
        <w:t>[N.B. : Ajouter la marge applicable au rajustement de l</w:t>
      </w:r>
      <w:r w:rsidR="00564B0C" w:rsidRPr="002C047F">
        <w:rPr>
          <w:b/>
          <w:color w:val="00B0F0"/>
          <w:lang w:val="fr-FR"/>
        </w:rPr>
        <w:t>’</w:t>
      </w:r>
      <w:r w:rsidRPr="002C047F">
        <w:rPr>
          <w:b/>
          <w:color w:val="00B0F0"/>
          <w:lang w:val="fr-FR"/>
        </w:rPr>
        <w:t>écart et indiquer dans le tableau ci-dessous le nombre total (et supprimer les crochets). Si un rajustement de l</w:t>
      </w:r>
      <w:r w:rsidR="00564B0C" w:rsidRPr="002C047F">
        <w:rPr>
          <w:b/>
          <w:color w:val="00B0F0"/>
          <w:lang w:val="fr-FR"/>
        </w:rPr>
        <w:t>’</w:t>
      </w:r>
      <w:r w:rsidRPr="002C047F">
        <w:rPr>
          <w:b/>
          <w:color w:val="00B0F0"/>
          <w:lang w:val="fr-FR"/>
        </w:rPr>
        <w:t xml:space="preserve">écart </w:t>
      </w:r>
      <w:r w:rsidRPr="002C047F">
        <w:rPr>
          <w:b/>
          <w:color w:val="FF0000"/>
          <w:lang w:val="fr-FR"/>
        </w:rPr>
        <w:t>historique</w:t>
      </w:r>
      <w:r w:rsidRPr="002C047F">
        <w:rPr>
          <w:b/>
          <w:color w:val="00B0F0"/>
          <w:lang w:val="fr-FR"/>
        </w:rPr>
        <w:t xml:space="preserve"> est utilisé (selon le formulaire des principales conditions), se reporter aux rajustements indiqués dans le tableau ci-dessous, à moins que le GRB recommande un autre rajustement de l</w:t>
      </w:r>
      <w:r w:rsidR="00564B0C" w:rsidRPr="002C047F">
        <w:rPr>
          <w:b/>
          <w:color w:val="00B0F0"/>
          <w:lang w:val="fr-FR"/>
        </w:rPr>
        <w:t>’</w:t>
      </w:r>
      <w:r w:rsidRPr="002C047F">
        <w:rPr>
          <w:b/>
          <w:color w:val="00B0F0"/>
          <w:lang w:val="fr-FR"/>
        </w:rPr>
        <w:t>écart. Si un rajustement de l</w:t>
      </w:r>
      <w:r w:rsidR="00564B0C" w:rsidRPr="002C047F">
        <w:rPr>
          <w:b/>
          <w:color w:val="00B0F0"/>
          <w:lang w:val="fr-FR"/>
        </w:rPr>
        <w:t>’</w:t>
      </w:r>
      <w:r w:rsidRPr="002C047F">
        <w:rPr>
          <w:b/>
          <w:color w:val="00B0F0"/>
          <w:lang w:val="fr-FR"/>
        </w:rPr>
        <w:t xml:space="preserve">écart </w:t>
      </w:r>
      <w:r w:rsidRPr="002C047F">
        <w:rPr>
          <w:b/>
          <w:color w:val="FF0000"/>
          <w:lang w:val="fr-FR"/>
        </w:rPr>
        <w:t>prospectif</w:t>
      </w:r>
      <w:r w:rsidRPr="002C047F">
        <w:rPr>
          <w:b/>
          <w:color w:val="00B0F0"/>
          <w:lang w:val="fr-FR"/>
        </w:rPr>
        <w:t xml:space="preserve"> est utilisé (selon le formulaire des principales conditions intitulé), se reporter aux rajustements indiqués dans le formulaire des principales conditions. Prendre note que dans le cas des rajustements prospectifs, seules les périodes SOFR d</w:t>
      </w:r>
      <w:r w:rsidR="00564B0C" w:rsidRPr="002C047F">
        <w:rPr>
          <w:b/>
          <w:color w:val="00B0F0"/>
          <w:lang w:val="fr-FR"/>
        </w:rPr>
        <w:t>’</w:t>
      </w:r>
      <w:r w:rsidRPr="002C047F">
        <w:rPr>
          <w:b/>
          <w:color w:val="00B0F0"/>
          <w:lang w:val="fr-FR"/>
        </w:rPr>
        <w:t xml:space="preserve">un mois et de trois mois sont possibles; supprimer les deux dernières lignes du tableau ci-dessous. </w:t>
      </w:r>
      <w:r w:rsidR="00FC4EAB" w:rsidRPr="002C047F">
        <w:rPr>
          <w:b/>
          <w:color w:val="00B0F0"/>
          <w:lang w:val="fr-FR"/>
        </w:rPr>
        <w:t xml:space="preserve">Si un rajustement de l’écart de 10/15/25 est utilisé (selon le formulaire des principales conditions), indiquer 0,10 %, 0,15 % et 0,25 % dans le tableau ci-dessous. Prendre note que pour l’option 10/15/25, la période de SOFR de douze mois n’est pas offerte; supprimer la dernière ligne. </w:t>
      </w:r>
      <w:r w:rsidRPr="002C047F">
        <w:rPr>
          <w:b/>
          <w:color w:val="00B0F0"/>
          <w:lang w:val="fr-FR"/>
        </w:rPr>
        <w:t>Si l</w:t>
      </w:r>
      <w:r w:rsidR="00564B0C" w:rsidRPr="002C047F">
        <w:rPr>
          <w:b/>
          <w:color w:val="00B0F0"/>
          <w:lang w:val="fr-FR"/>
        </w:rPr>
        <w:t>’</w:t>
      </w:r>
      <w:r w:rsidRPr="002C047F">
        <w:rPr>
          <w:b/>
          <w:color w:val="00B0F0"/>
          <w:lang w:val="fr-FR"/>
        </w:rPr>
        <w:t>écart sera calculé à une date ultérieure, ajouter la mention «</w:t>
      </w:r>
      <w:r w:rsidR="00B056F9" w:rsidRPr="002C047F">
        <w:rPr>
          <w:b/>
          <w:color w:val="00B0F0"/>
          <w:lang w:val="fr-FR"/>
        </w:rPr>
        <w:t> </w:t>
      </w:r>
      <w:r w:rsidRPr="002C047F">
        <w:rPr>
          <w:b/>
          <w:color w:val="00B0F0"/>
          <w:lang w:val="fr-FR"/>
        </w:rPr>
        <w:t>À déterminer à la Date de substitution</w:t>
      </w:r>
      <w:r w:rsidR="00B056F9" w:rsidRPr="002C047F">
        <w:rPr>
          <w:b/>
          <w:color w:val="00B0F0"/>
          <w:lang w:val="fr-FR"/>
        </w:rPr>
        <w:t> </w:t>
      </w:r>
      <w:r w:rsidRPr="002C047F">
        <w:rPr>
          <w:b/>
          <w:color w:val="00B0F0"/>
          <w:lang w:val="fr-FR"/>
        </w:rPr>
        <w:t>» dans la colonne «</w:t>
      </w:r>
      <w:r w:rsidR="00B056F9" w:rsidRPr="002C047F">
        <w:rPr>
          <w:b/>
          <w:color w:val="00B0F0"/>
          <w:lang w:val="fr-FR"/>
        </w:rPr>
        <w:t> </w:t>
      </w:r>
      <w:r w:rsidRPr="002C047F">
        <w:rPr>
          <w:b/>
          <w:color w:val="00B0F0"/>
          <w:lang w:val="fr-FR"/>
        </w:rPr>
        <w:t>Pourcentage</w:t>
      </w:r>
      <w:r w:rsidR="00B056F9" w:rsidRPr="002C047F">
        <w:rPr>
          <w:b/>
          <w:color w:val="00B0F0"/>
          <w:lang w:val="fr-FR"/>
        </w:rPr>
        <w:t> </w:t>
      </w:r>
      <w:r w:rsidRPr="002C047F">
        <w:rPr>
          <w:b/>
          <w:color w:val="00B0F0"/>
          <w:lang w:val="fr-FR"/>
        </w:rPr>
        <w:t>» au lieu du taux indiqué.]</w:t>
      </w:r>
    </w:p>
    <w:tbl>
      <w:tblPr>
        <w:tblStyle w:val="TableGrid"/>
        <w:tblW w:w="0" w:type="auto"/>
        <w:tblInd w:w="1345" w:type="dxa"/>
        <w:tblLook w:val="04A0" w:firstRow="1" w:lastRow="0" w:firstColumn="1" w:lastColumn="0" w:noHBand="0" w:noVBand="1"/>
      </w:tblPr>
      <w:tblGrid>
        <w:gridCol w:w="1769"/>
        <w:gridCol w:w="6151"/>
      </w:tblGrid>
      <w:tr w:rsidR="00BC1EA5" w:rsidRPr="00B63BD5" w14:paraId="081CB45E" w14:textId="77777777" w:rsidTr="00BC1EA5">
        <w:tc>
          <w:tcPr>
            <w:tcW w:w="1769" w:type="dxa"/>
            <w:tcBorders>
              <w:top w:val="single" w:sz="4" w:space="0" w:color="auto"/>
              <w:left w:val="single" w:sz="4" w:space="0" w:color="auto"/>
              <w:bottom w:val="single" w:sz="4" w:space="0" w:color="auto"/>
              <w:right w:val="single" w:sz="4" w:space="0" w:color="auto"/>
            </w:tcBorders>
            <w:hideMark/>
          </w:tcPr>
          <w:p w14:paraId="2D890DCB" w14:textId="77777777" w:rsidR="00BC1EA5" w:rsidRPr="00B63BD5" w:rsidRDefault="00BC1EA5" w:rsidP="00BC1EA5">
            <w:pPr>
              <w:pStyle w:val="FootnoteText"/>
              <w:rPr>
                <w:u w:val="single"/>
                <w:lang w:val="fr-CA"/>
              </w:rPr>
            </w:pPr>
            <w:r w:rsidRPr="00B63BD5">
              <w:rPr>
                <w:u w:val="single"/>
                <w:lang w:val="fr-CA"/>
              </w:rPr>
              <w:t>Période SOFR</w:t>
            </w:r>
          </w:p>
        </w:tc>
        <w:tc>
          <w:tcPr>
            <w:tcW w:w="6151" w:type="dxa"/>
            <w:tcBorders>
              <w:top w:val="single" w:sz="4" w:space="0" w:color="auto"/>
              <w:left w:val="single" w:sz="4" w:space="0" w:color="auto"/>
              <w:bottom w:val="single" w:sz="4" w:space="0" w:color="auto"/>
              <w:right w:val="single" w:sz="4" w:space="0" w:color="auto"/>
            </w:tcBorders>
            <w:hideMark/>
          </w:tcPr>
          <w:p w14:paraId="7DE2FD4F" w14:textId="77777777" w:rsidR="00BC1EA5" w:rsidRPr="00B63BD5" w:rsidRDefault="00BC1EA5" w:rsidP="00BC1EA5">
            <w:pPr>
              <w:pStyle w:val="FootnoteText"/>
              <w:rPr>
                <w:u w:val="single"/>
                <w:lang w:val="fr-CA"/>
              </w:rPr>
            </w:pPr>
            <w:r w:rsidRPr="00B63BD5">
              <w:rPr>
                <w:u w:val="single"/>
                <w:lang w:val="fr-CA"/>
              </w:rPr>
              <w:t>Pourcentage</w:t>
            </w:r>
          </w:p>
        </w:tc>
      </w:tr>
      <w:tr w:rsidR="00FC4EAB" w:rsidRPr="002C047F" w14:paraId="666C9DC6" w14:textId="77777777" w:rsidTr="00BC1EA5">
        <w:tc>
          <w:tcPr>
            <w:tcW w:w="1769" w:type="dxa"/>
            <w:tcBorders>
              <w:top w:val="single" w:sz="4" w:space="0" w:color="auto"/>
              <w:left w:val="single" w:sz="4" w:space="0" w:color="auto"/>
              <w:bottom w:val="single" w:sz="4" w:space="0" w:color="auto"/>
              <w:right w:val="single" w:sz="4" w:space="0" w:color="auto"/>
            </w:tcBorders>
            <w:hideMark/>
          </w:tcPr>
          <w:p w14:paraId="50402695" w14:textId="77777777" w:rsidR="00FC4EAB" w:rsidRPr="00B63BD5" w:rsidRDefault="00FC4EAB" w:rsidP="00FC4EAB">
            <w:pPr>
              <w:pStyle w:val="FootnoteText"/>
              <w:rPr>
                <w:lang w:val="fr-CA"/>
              </w:rPr>
            </w:pPr>
            <w:r w:rsidRPr="00B63BD5">
              <w:rPr>
                <w:lang w:val="fr-CA"/>
              </w:rPr>
              <w:t>Un mois</w:t>
            </w:r>
          </w:p>
        </w:tc>
        <w:tc>
          <w:tcPr>
            <w:tcW w:w="6151" w:type="dxa"/>
            <w:tcBorders>
              <w:top w:val="single" w:sz="4" w:space="0" w:color="auto"/>
              <w:left w:val="single" w:sz="4" w:space="0" w:color="auto"/>
              <w:bottom w:val="single" w:sz="4" w:space="0" w:color="auto"/>
              <w:right w:val="single" w:sz="4" w:space="0" w:color="auto"/>
            </w:tcBorders>
            <w:hideMark/>
          </w:tcPr>
          <w:p w14:paraId="4814F0F4" w14:textId="50A25187" w:rsidR="00FC4EAB" w:rsidRPr="00B63BD5" w:rsidRDefault="00FC4EAB" w:rsidP="00FC4EAB">
            <w:pPr>
              <w:pStyle w:val="FootnoteText"/>
              <w:rPr>
                <w:lang w:val="fr-CA"/>
              </w:rPr>
            </w:pPr>
            <w:r w:rsidRPr="00B63BD5">
              <w:rPr>
                <w:rStyle w:val="Prompt"/>
                <w:lang w:val="fr-CA"/>
              </w:rPr>
              <w:t>[</w:t>
            </w:r>
            <w:r w:rsidRPr="00B63BD5">
              <w:rPr>
                <w:lang w:val="fr-CA"/>
              </w:rPr>
              <w:t xml:space="preserve">0,11448 + </w:t>
            </w:r>
            <w:r w:rsidRPr="00B63BD5">
              <w:rPr>
                <w:rStyle w:val="Prompt"/>
                <w:lang w:val="fr-CA"/>
              </w:rPr>
              <w:sym w:font="Wingdings" w:char="F06C"/>
            </w:r>
            <w:r w:rsidRPr="00B63BD5">
              <w:rPr>
                <w:lang w:val="fr-CA"/>
              </w:rPr>
              <w:t>]</w:t>
            </w:r>
            <w:r w:rsidRPr="00B63BD5">
              <w:rPr>
                <w:rStyle w:val="Prompt"/>
                <w:lang w:val="fr-CA"/>
              </w:rPr>
              <w:t>[0,</w:t>
            </w:r>
            <w:r w:rsidRPr="00B63BD5">
              <w:rPr>
                <w:lang w:val="fr-CA"/>
              </w:rPr>
              <w:t xml:space="preserve">10 + </w:t>
            </w:r>
            <w:r w:rsidRPr="00B63BD5">
              <w:rPr>
                <w:rStyle w:val="Prompt"/>
                <w:lang w:val="fr-CA"/>
              </w:rPr>
              <w:sym w:font="Wingdings" w:char="F06C"/>
            </w:r>
            <w:r w:rsidRPr="00B63BD5">
              <w:rPr>
                <w:lang w:val="fr-CA"/>
              </w:rPr>
              <w:t>] % [À déterminer à la Date de substitution]</w:t>
            </w:r>
          </w:p>
        </w:tc>
      </w:tr>
      <w:tr w:rsidR="00FC4EAB" w:rsidRPr="002C047F" w14:paraId="577B20FF" w14:textId="77777777" w:rsidTr="00BC1EA5">
        <w:tc>
          <w:tcPr>
            <w:tcW w:w="1769" w:type="dxa"/>
            <w:tcBorders>
              <w:top w:val="single" w:sz="4" w:space="0" w:color="auto"/>
              <w:left w:val="single" w:sz="4" w:space="0" w:color="auto"/>
              <w:bottom w:val="single" w:sz="4" w:space="0" w:color="auto"/>
              <w:right w:val="single" w:sz="4" w:space="0" w:color="auto"/>
            </w:tcBorders>
            <w:hideMark/>
          </w:tcPr>
          <w:p w14:paraId="6FEDACAA" w14:textId="77777777" w:rsidR="00FC4EAB" w:rsidRPr="00B63BD5" w:rsidRDefault="00FC4EAB" w:rsidP="00FC4EAB">
            <w:pPr>
              <w:pStyle w:val="FootnoteText"/>
              <w:rPr>
                <w:lang w:val="fr-CA"/>
              </w:rPr>
            </w:pPr>
            <w:r w:rsidRPr="00B63BD5">
              <w:rPr>
                <w:lang w:val="fr-CA"/>
              </w:rPr>
              <w:t>Trois mois</w:t>
            </w:r>
          </w:p>
        </w:tc>
        <w:tc>
          <w:tcPr>
            <w:tcW w:w="6151" w:type="dxa"/>
            <w:tcBorders>
              <w:top w:val="single" w:sz="4" w:space="0" w:color="auto"/>
              <w:left w:val="single" w:sz="4" w:space="0" w:color="auto"/>
              <w:bottom w:val="single" w:sz="4" w:space="0" w:color="auto"/>
              <w:right w:val="single" w:sz="4" w:space="0" w:color="auto"/>
            </w:tcBorders>
            <w:hideMark/>
          </w:tcPr>
          <w:p w14:paraId="0C05D9A4" w14:textId="54BB55A4" w:rsidR="00FC4EAB" w:rsidRPr="00B63BD5" w:rsidRDefault="00FC4EAB" w:rsidP="00FC4EAB">
            <w:pPr>
              <w:pStyle w:val="FootnoteText"/>
              <w:rPr>
                <w:lang w:val="fr-CA"/>
              </w:rPr>
            </w:pPr>
            <w:r w:rsidRPr="00B63BD5">
              <w:rPr>
                <w:rStyle w:val="Prompt"/>
                <w:lang w:val="fr-CA"/>
              </w:rPr>
              <w:t>[</w:t>
            </w:r>
            <w:r w:rsidRPr="00B63BD5">
              <w:rPr>
                <w:lang w:val="fr-CA"/>
              </w:rPr>
              <w:t xml:space="preserve">0,26161 + </w:t>
            </w:r>
            <w:r w:rsidRPr="00B63BD5">
              <w:rPr>
                <w:rStyle w:val="Prompt"/>
                <w:lang w:val="fr-CA"/>
              </w:rPr>
              <w:sym w:font="Wingdings" w:char="F06C"/>
            </w:r>
            <w:r w:rsidRPr="00B63BD5">
              <w:rPr>
                <w:lang w:val="fr-CA"/>
              </w:rPr>
              <w:t>]</w:t>
            </w:r>
            <w:r w:rsidRPr="00B63BD5">
              <w:rPr>
                <w:rStyle w:val="Prompt"/>
                <w:lang w:val="fr-CA"/>
              </w:rPr>
              <w:t>[0,</w:t>
            </w:r>
            <w:r w:rsidRPr="00B63BD5">
              <w:rPr>
                <w:lang w:val="fr-CA"/>
              </w:rPr>
              <w:t xml:space="preserve">15 + </w:t>
            </w:r>
            <w:r w:rsidRPr="00B63BD5">
              <w:rPr>
                <w:rStyle w:val="Prompt"/>
                <w:lang w:val="fr-CA"/>
              </w:rPr>
              <w:sym w:font="Wingdings" w:char="F06C"/>
            </w:r>
            <w:r w:rsidRPr="00B63BD5">
              <w:rPr>
                <w:lang w:val="fr-CA"/>
              </w:rPr>
              <w:t>] % [À déterminer à la Date de substitution]</w:t>
            </w:r>
          </w:p>
        </w:tc>
      </w:tr>
      <w:tr w:rsidR="00FC4EAB" w:rsidRPr="002C047F" w14:paraId="5AB66541" w14:textId="77777777" w:rsidTr="00FC4EAB">
        <w:trPr>
          <w:trHeight w:val="65"/>
        </w:trPr>
        <w:tc>
          <w:tcPr>
            <w:tcW w:w="1769" w:type="dxa"/>
            <w:tcBorders>
              <w:top w:val="single" w:sz="4" w:space="0" w:color="auto"/>
              <w:left w:val="single" w:sz="4" w:space="0" w:color="auto"/>
              <w:bottom w:val="single" w:sz="4" w:space="0" w:color="auto"/>
              <w:right w:val="single" w:sz="4" w:space="0" w:color="auto"/>
            </w:tcBorders>
            <w:hideMark/>
          </w:tcPr>
          <w:p w14:paraId="29ADCE39" w14:textId="77777777" w:rsidR="00FC4EAB" w:rsidRPr="00B63BD5" w:rsidRDefault="00FC4EAB" w:rsidP="00FC4EAB">
            <w:pPr>
              <w:pStyle w:val="FootnoteText"/>
              <w:rPr>
                <w:lang w:val="fr-CA"/>
              </w:rPr>
            </w:pPr>
            <w:r w:rsidRPr="00B63BD5">
              <w:rPr>
                <w:lang w:val="fr-CA"/>
              </w:rPr>
              <w:t>Six mois</w:t>
            </w:r>
          </w:p>
        </w:tc>
        <w:tc>
          <w:tcPr>
            <w:tcW w:w="6151" w:type="dxa"/>
            <w:tcBorders>
              <w:top w:val="single" w:sz="4" w:space="0" w:color="auto"/>
              <w:left w:val="single" w:sz="4" w:space="0" w:color="auto"/>
              <w:bottom w:val="single" w:sz="4" w:space="0" w:color="auto"/>
              <w:right w:val="single" w:sz="4" w:space="0" w:color="auto"/>
            </w:tcBorders>
            <w:hideMark/>
          </w:tcPr>
          <w:p w14:paraId="0BCD36A7" w14:textId="43E6C0C4" w:rsidR="00FC4EAB" w:rsidRPr="00B63BD5" w:rsidRDefault="00FC4EAB" w:rsidP="00FC4EAB">
            <w:pPr>
              <w:pStyle w:val="FootnoteText"/>
              <w:rPr>
                <w:lang w:val="fr-CA"/>
              </w:rPr>
            </w:pPr>
            <w:r w:rsidRPr="00B63BD5">
              <w:rPr>
                <w:lang w:val="fr-CA"/>
              </w:rPr>
              <w:t xml:space="preserve">[0,42826 + </w:t>
            </w:r>
            <w:r w:rsidRPr="00B63BD5">
              <w:rPr>
                <w:lang w:val="fr-CA"/>
              </w:rPr>
              <w:sym w:font="Wingdings" w:char="F06C"/>
            </w:r>
            <w:r w:rsidRPr="00B63BD5">
              <w:rPr>
                <w:lang w:val="fr-CA"/>
              </w:rPr>
              <w:t>]</w:t>
            </w:r>
            <w:r w:rsidRPr="00B63BD5">
              <w:rPr>
                <w:rStyle w:val="Prompt"/>
                <w:lang w:val="fr-CA"/>
              </w:rPr>
              <w:t>[0,</w:t>
            </w:r>
            <w:r w:rsidRPr="00B63BD5">
              <w:rPr>
                <w:lang w:val="fr-CA"/>
              </w:rPr>
              <w:t xml:space="preserve">25 + </w:t>
            </w:r>
            <w:r w:rsidRPr="00B63BD5">
              <w:rPr>
                <w:rStyle w:val="Prompt"/>
                <w:lang w:val="fr-CA"/>
              </w:rPr>
              <w:sym w:font="Wingdings" w:char="F06C"/>
            </w:r>
            <w:r w:rsidRPr="00B63BD5">
              <w:rPr>
                <w:lang w:val="fr-CA"/>
              </w:rPr>
              <w:t>] % [À déterminer à la Date de substitution]</w:t>
            </w:r>
          </w:p>
        </w:tc>
      </w:tr>
      <w:tr w:rsidR="00BC1EA5" w:rsidRPr="002C047F" w14:paraId="3443AFCF" w14:textId="77777777" w:rsidTr="00BC1EA5">
        <w:tc>
          <w:tcPr>
            <w:tcW w:w="1769" w:type="dxa"/>
            <w:tcBorders>
              <w:top w:val="single" w:sz="4" w:space="0" w:color="auto"/>
              <w:left w:val="single" w:sz="4" w:space="0" w:color="auto"/>
              <w:bottom w:val="single" w:sz="4" w:space="0" w:color="auto"/>
              <w:right w:val="single" w:sz="4" w:space="0" w:color="auto"/>
            </w:tcBorders>
            <w:hideMark/>
          </w:tcPr>
          <w:p w14:paraId="22575E7C" w14:textId="77777777" w:rsidR="00BC1EA5" w:rsidRPr="00B63BD5" w:rsidRDefault="00BC1EA5" w:rsidP="00BC1EA5">
            <w:pPr>
              <w:pStyle w:val="FootnoteText"/>
              <w:rPr>
                <w:b/>
                <w:color w:val="00B0F0"/>
                <w:lang w:val="fr-CA"/>
              </w:rPr>
            </w:pPr>
            <w:r w:rsidRPr="00B63BD5">
              <w:rPr>
                <w:lang w:val="fr-CA"/>
              </w:rPr>
              <w:t>Douze mois</w:t>
            </w:r>
          </w:p>
        </w:tc>
        <w:tc>
          <w:tcPr>
            <w:tcW w:w="6151" w:type="dxa"/>
            <w:tcBorders>
              <w:top w:val="single" w:sz="4" w:space="0" w:color="auto"/>
              <w:left w:val="single" w:sz="4" w:space="0" w:color="auto"/>
              <w:bottom w:val="single" w:sz="4" w:space="0" w:color="auto"/>
              <w:right w:val="single" w:sz="4" w:space="0" w:color="auto"/>
            </w:tcBorders>
            <w:hideMark/>
          </w:tcPr>
          <w:p w14:paraId="0CD075CB" w14:textId="77777777" w:rsidR="00BC1EA5" w:rsidRPr="00B63BD5" w:rsidRDefault="00BC1EA5" w:rsidP="00BC1EA5">
            <w:pPr>
              <w:pStyle w:val="FootnoteText"/>
              <w:rPr>
                <w:b/>
                <w:color w:val="00B0F0"/>
                <w:lang w:val="fr-CA"/>
              </w:rPr>
            </w:pPr>
            <w:r w:rsidRPr="00B63BD5">
              <w:rPr>
                <w:lang w:val="fr-CA"/>
              </w:rPr>
              <w:t xml:space="preserve">[0,71513 + </w:t>
            </w:r>
            <w:r w:rsidRPr="00B63BD5">
              <w:rPr>
                <w:rStyle w:val="Prompt"/>
                <w:lang w:val="fr-CA"/>
              </w:rPr>
              <w:sym w:font="Wingdings" w:char="F06C"/>
            </w:r>
            <w:r w:rsidRPr="00B63BD5">
              <w:rPr>
                <w:lang w:val="fr-CA"/>
              </w:rPr>
              <w:t>] % [À déterminer à la Date de substitution]</w:t>
            </w:r>
          </w:p>
        </w:tc>
      </w:tr>
    </w:tbl>
    <w:p w14:paraId="2F8C23A0" w14:textId="4D174EF1" w:rsidR="00EA656A" w:rsidRPr="00B63BD5" w:rsidRDefault="006B6BC0" w:rsidP="006F4D0B">
      <w:pPr>
        <w:pStyle w:val="Heading4"/>
        <w:spacing w:before="240"/>
        <w:ind w:left="709"/>
        <w:jc w:val="both"/>
      </w:pPr>
      <w:r w:rsidRPr="00B63BD5">
        <w:t xml:space="preserve">dans tous les cas, </w:t>
      </w:r>
      <w:r w:rsidR="00EA656A" w:rsidRPr="00B63BD5">
        <w:t>en fonction d</w:t>
      </w:r>
      <w:r w:rsidR="00564B0C" w:rsidRPr="00B63BD5">
        <w:t>’</w:t>
      </w:r>
      <w:r w:rsidR="00EA656A" w:rsidRPr="00B63BD5">
        <w:t>une année de 360</w:t>
      </w:r>
      <w:r w:rsidR="00AB0594" w:rsidRPr="00B63BD5">
        <w:t> </w:t>
      </w:r>
      <w:r w:rsidR="00EA656A" w:rsidRPr="00B63BD5">
        <w:t>jours, calculé sur le solde quotidien et</w:t>
      </w:r>
      <w:r w:rsidR="00265D92" w:rsidRPr="00B63BD5">
        <w:t> </w:t>
      </w:r>
      <w:r w:rsidR="00EA656A" w:rsidRPr="00B63BD5">
        <w:t>payable aux dates suivantes</w:t>
      </w:r>
      <w:r w:rsidR="00AC4107" w:rsidRPr="00B63BD5">
        <w:t xml:space="preserve"> </w:t>
      </w:r>
      <w:r w:rsidR="00EA656A" w:rsidRPr="00B63BD5">
        <w:t>:</w:t>
      </w:r>
    </w:p>
    <w:p w14:paraId="2E3F704A" w14:textId="6059CCEB" w:rsidR="00EA656A" w:rsidRPr="00B63BD5" w:rsidRDefault="00EA656A" w:rsidP="00AF7C93">
      <w:pPr>
        <w:pStyle w:val="04LOLglNew5"/>
        <w:numPr>
          <w:ilvl w:val="4"/>
          <w:numId w:val="27"/>
        </w:numPr>
        <w:rPr>
          <w:szCs w:val="20"/>
          <w:lang w:val="fr-CA"/>
        </w:rPr>
      </w:pPr>
      <w:r w:rsidRPr="00B63BD5">
        <w:rPr>
          <w:szCs w:val="20"/>
          <w:lang w:val="fr-CA"/>
        </w:rPr>
        <w:t>à la fin de la Période SOFR applicable;</w:t>
      </w:r>
    </w:p>
    <w:p w14:paraId="52C3A571" w14:textId="30D9759F" w:rsidR="00EA656A" w:rsidRPr="00B63BD5" w:rsidRDefault="00EA656A" w:rsidP="00AF7C93">
      <w:pPr>
        <w:pStyle w:val="04LOLglNew5"/>
        <w:numPr>
          <w:ilvl w:val="4"/>
          <w:numId w:val="27"/>
        </w:numPr>
        <w:rPr>
          <w:szCs w:val="20"/>
          <w:lang w:val="fr-CA"/>
        </w:rPr>
      </w:pPr>
      <w:r w:rsidRPr="00B63BD5">
        <w:rPr>
          <w:szCs w:val="20"/>
          <w:lang w:val="fr-CA"/>
        </w:rPr>
        <w:t>si la Période SOFR applicable dépasse 90</w:t>
      </w:r>
      <w:r w:rsidR="00AB0594" w:rsidRPr="00B63BD5">
        <w:rPr>
          <w:szCs w:val="20"/>
          <w:lang w:val="fr-CA"/>
        </w:rPr>
        <w:t> </w:t>
      </w:r>
      <w:r w:rsidRPr="00B63BD5">
        <w:rPr>
          <w:szCs w:val="20"/>
          <w:lang w:val="fr-CA"/>
        </w:rPr>
        <w:t>jours, à la fin de chaque période de 90</w:t>
      </w:r>
      <w:r w:rsidR="00AB0594" w:rsidRPr="00B63BD5">
        <w:rPr>
          <w:szCs w:val="20"/>
          <w:lang w:val="fr-CA"/>
        </w:rPr>
        <w:t> </w:t>
      </w:r>
      <w:r w:rsidRPr="00B63BD5">
        <w:rPr>
          <w:szCs w:val="20"/>
          <w:lang w:val="fr-CA"/>
        </w:rPr>
        <w:t>jours comprise dans la Période SOFR et le dernier jour de la Période SOFR;</w:t>
      </w:r>
      <w:r w:rsidR="00AC4107" w:rsidRPr="00B63BD5">
        <w:rPr>
          <w:szCs w:val="20"/>
          <w:lang w:val="fr-CA"/>
        </w:rPr>
        <w:t xml:space="preserve"> </w:t>
      </w:r>
    </w:p>
    <w:p w14:paraId="36AEC2BB" w14:textId="14F4BA91" w:rsidR="00EA656A" w:rsidRPr="00B63BD5" w:rsidRDefault="00EA656A" w:rsidP="00AF7C93">
      <w:pPr>
        <w:pStyle w:val="04LOLglNew5"/>
        <w:numPr>
          <w:ilvl w:val="4"/>
          <w:numId w:val="27"/>
        </w:numPr>
        <w:rPr>
          <w:szCs w:val="20"/>
          <w:lang w:val="fr-CA"/>
        </w:rPr>
      </w:pPr>
      <w:r w:rsidRPr="00B63BD5">
        <w:rPr>
          <w:szCs w:val="20"/>
          <w:lang w:val="fr-CA"/>
        </w:rPr>
        <w:t>à la date à laquelle le Prêt au taux SOFR à terme devient exigible (ou est remboursé par</w:t>
      </w:r>
      <w:r w:rsidR="00265D92" w:rsidRPr="00B63BD5">
        <w:rPr>
          <w:szCs w:val="20"/>
          <w:lang w:val="fr-CA"/>
        </w:rPr>
        <w:t> </w:t>
      </w:r>
      <w:r w:rsidRPr="00B63BD5">
        <w:rPr>
          <w:szCs w:val="20"/>
          <w:lang w:val="fr-CA"/>
        </w:rPr>
        <w:t>anticipation).</w:t>
      </w:r>
    </w:p>
    <w:p w14:paraId="43125F2A" w14:textId="77777777" w:rsidR="00891C62" w:rsidRPr="00B63BD5" w:rsidRDefault="00891C62" w:rsidP="00FC4EAB">
      <w:pPr>
        <w:pStyle w:val="04LOLglNew5"/>
        <w:numPr>
          <w:ilvl w:val="0"/>
          <w:numId w:val="0"/>
        </w:numPr>
        <w:ind w:left="1418"/>
        <w:rPr>
          <w:szCs w:val="20"/>
          <w:lang w:val="fr-CA"/>
        </w:rPr>
      </w:pPr>
      <w:r w:rsidRPr="00B63BD5">
        <w:rPr>
          <w:szCs w:val="20"/>
          <w:lang w:val="fr-CA"/>
        </w:rPr>
        <w:lastRenderedPageBreak/>
        <w:t>Si le total du Taux de référence SOFR majoré du montant indiqué ci-dessus est négatif, le total de ces montants (et non le Taux de référence SOFR pour éviter toute ambiguïté) est réputé être égal à zéro.</w:t>
      </w:r>
    </w:p>
    <w:p w14:paraId="3DD2A3FD" w14:textId="4EAF3D4B" w:rsidR="00EA656A" w:rsidRPr="008B4783" w:rsidRDefault="00EA656A" w:rsidP="008B4783">
      <w:pPr>
        <w:pStyle w:val="04LOLglNew3"/>
        <w:widowControl w:val="0"/>
        <w:spacing w:before="240"/>
        <w:rPr>
          <w:b/>
          <w:color w:val="00B0F0"/>
          <w:lang w:val="fr-CA"/>
        </w:rPr>
      </w:pPr>
      <w:r w:rsidRPr="008B4783">
        <w:rPr>
          <w:b/>
          <w:color w:val="00B0F0"/>
          <w:lang w:val="fr-CA"/>
        </w:rPr>
        <w:t xml:space="preserve">[TAUX SOFR SIMPLE QUOTIDIEN, </w:t>
      </w:r>
      <w:r w:rsidR="00927950" w:rsidRPr="008B4783">
        <w:rPr>
          <w:b/>
          <w:color w:val="00B0F0"/>
          <w:lang w:val="fr-CA"/>
        </w:rPr>
        <w:t>RÉ SÉPARÉ</w:t>
      </w:r>
      <w:r w:rsidR="00AC4107" w:rsidRPr="008B4783">
        <w:rPr>
          <w:b/>
          <w:color w:val="00B0F0"/>
          <w:lang w:val="fr-CA"/>
        </w:rPr>
        <w:t xml:space="preserve"> </w:t>
      </w:r>
      <w:r w:rsidRPr="008B4783">
        <w:rPr>
          <w:b/>
          <w:color w:val="00B0F0"/>
          <w:lang w:val="fr-CA"/>
        </w:rPr>
        <w:t>: Sélectionner cette option pour les clients qui</w:t>
      </w:r>
      <w:r w:rsidR="00775FA7" w:rsidRPr="008B4783">
        <w:rPr>
          <w:b/>
          <w:color w:val="00B0F0"/>
          <w:lang w:val="fr-CA"/>
        </w:rPr>
        <w:t> </w:t>
      </w:r>
      <w:r w:rsidRPr="008B4783">
        <w:rPr>
          <w:b/>
          <w:color w:val="00B0F0"/>
          <w:lang w:val="fr-CA"/>
        </w:rPr>
        <w:t xml:space="preserve"> demandent que le rajustement de l</w:t>
      </w:r>
      <w:r w:rsidR="00564B0C" w:rsidRPr="008B4783">
        <w:rPr>
          <w:b/>
          <w:color w:val="00B0F0"/>
          <w:lang w:val="fr-CA"/>
        </w:rPr>
        <w:t>’</w:t>
      </w:r>
      <w:r w:rsidRPr="008B4783">
        <w:rPr>
          <w:b/>
          <w:color w:val="00B0F0"/>
          <w:lang w:val="fr-CA"/>
        </w:rPr>
        <w:t>écart soit indiqué séparément. Important :</w:t>
      </w:r>
      <w:r w:rsidR="00AC4107" w:rsidRPr="008B4783">
        <w:rPr>
          <w:b/>
          <w:color w:val="00B0F0"/>
          <w:lang w:val="fr-CA"/>
        </w:rPr>
        <w:t xml:space="preserve"> </w:t>
      </w:r>
      <w:r w:rsidRPr="008B4783">
        <w:rPr>
          <w:b/>
          <w:color w:val="00B0F0"/>
          <w:lang w:val="fr-CA"/>
        </w:rPr>
        <w:t>Insérer le rajustement de l</w:t>
      </w:r>
      <w:r w:rsidR="00564B0C" w:rsidRPr="008B4783">
        <w:rPr>
          <w:b/>
          <w:color w:val="00B0F0"/>
          <w:lang w:val="fr-CA"/>
        </w:rPr>
        <w:t>’</w:t>
      </w:r>
      <w:r w:rsidRPr="008B4783">
        <w:rPr>
          <w:b/>
          <w:color w:val="00B0F0"/>
          <w:lang w:val="fr-CA"/>
        </w:rPr>
        <w:t>écart indiqué au point i). Insérer l</w:t>
      </w:r>
      <w:r w:rsidR="00564B0C" w:rsidRPr="008B4783">
        <w:rPr>
          <w:b/>
          <w:color w:val="00B0F0"/>
          <w:lang w:val="fr-CA"/>
        </w:rPr>
        <w:t>’</w:t>
      </w:r>
      <w:r w:rsidRPr="008B4783">
        <w:rPr>
          <w:b/>
          <w:color w:val="00B0F0"/>
          <w:lang w:val="fr-CA"/>
        </w:rPr>
        <w:t>écart ou la marge de la Banque au point</w:t>
      </w:r>
      <w:r w:rsidR="00B056F9" w:rsidRPr="008B4783">
        <w:rPr>
          <w:b/>
          <w:color w:val="00B0F0"/>
          <w:lang w:val="fr-CA"/>
        </w:rPr>
        <w:t> </w:t>
      </w:r>
      <w:r w:rsidRPr="008B4783">
        <w:rPr>
          <w:b/>
          <w:color w:val="00B0F0"/>
          <w:lang w:val="fr-CA"/>
        </w:rPr>
        <w:t xml:space="preserve">ii).] </w:t>
      </w:r>
      <w:r w:rsidRPr="002C047F">
        <w:rPr>
          <w:lang w:val="fr-FR"/>
        </w:rPr>
        <w:t>pour les Prêts au taux SOFR simple quotidien, le Taux de référence SOFR majoré de</w:t>
      </w:r>
      <w:r w:rsidR="00AC4107" w:rsidRPr="002C047F">
        <w:rPr>
          <w:lang w:val="fr-FR"/>
        </w:rPr>
        <w:t xml:space="preserve"> </w:t>
      </w:r>
      <w:r w:rsidR="009B2CB7" w:rsidRPr="002C047F">
        <w:rPr>
          <w:lang w:val="fr-FR"/>
        </w:rPr>
        <w:t>:</w:t>
      </w:r>
    </w:p>
    <w:p w14:paraId="6FF17494" w14:textId="302825AF" w:rsidR="00FC4EAB" w:rsidRPr="00B63BD5" w:rsidRDefault="00EA656A" w:rsidP="00FC4EAB">
      <w:pPr>
        <w:pStyle w:val="04LOLglNew4"/>
        <w:numPr>
          <w:ilvl w:val="3"/>
          <w:numId w:val="26"/>
        </w:numPr>
        <w:rPr>
          <w:b/>
          <w:color w:val="00B0F0"/>
          <w:szCs w:val="24"/>
          <w:lang w:val="fr-CA"/>
        </w:rPr>
      </w:pPr>
      <w:r w:rsidRPr="00B63BD5">
        <w:rPr>
          <w:rStyle w:val="Prompt"/>
          <w:color w:val="auto"/>
          <w:szCs w:val="20"/>
          <w:lang w:val="fr-CA"/>
        </w:rPr>
        <w:sym w:font="Wingdings" w:char="F06C"/>
      </w:r>
      <w:r w:rsidR="00AC4107" w:rsidRPr="00B63BD5">
        <w:rPr>
          <w:rStyle w:val="Prompt"/>
          <w:color w:val="auto"/>
          <w:szCs w:val="20"/>
          <w:lang w:val="fr-CA"/>
        </w:rPr>
        <w:t xml:space="preserve"> </w:t>
      </w:r>
      <w:r w:rsidRPr="00B63BD5">
        <w:rPr>
          <w:szCs w:val="20"/>
          <w:lang w:val="fr-CA"/>
        </w:rPr>
        <w:t xml:space="preserve">% </w:t>
      </w:r>
      <w:r w:rsidRPr="00B63BD5">
        <w:rPr>
          <w:rStyle w:val="Prompt"/>
          <w:color w:val="auto"/>
          <w:lang w:val="fr-CA"/>
        </w:rPr>
        <w:t>par</w:t>
      </w:r>
      <w:r w:rsidRPr="00B63BD5">
        <w:rPr>
          <w:szCs w:val="20"/>
          <w:lang w:val="fr-CA"/>
        </w:rPr>
        <w:t xml:space="preserve"> année </w:t>
      </w:r>
      <w:r w:rsidRPr="00B63BD5">
        <w:rPr>
          <w:b/>
          <w:color w:val="00B0F0"/>
          <w:szCs w:val="20"/>
          <w:lang w:val="fr-CA"/>
        </w:rPr>
        <w:t>[N.B.</w:t>
      </w:r>
      <w:r w:rsidR="00AC4107" w:rsidRPr="00B63BD5">
        <w:rPr>
          <w:b/>
          <w:color w:val="00B0F0"/>
          <w:szCs w:val="20"/>
          <w:lang w:val="fr-CA"/>
        </w:rPr>
        <w:t xml:space="preserve"> </w:t>
      </w:r>
      <w:r w:rsidRPr="00B63BD5">
        <w:rPr>
          <w:b/>
          <w:color w:val="00B0F0"/>
          <w:szCs w:val="20"/>
          <w:lang w:val="fr-CA"/>
        </w:rPr>
        <w:t>: À moins que le GRB recommande un autre rajustement de l</w:t>
      </w:r>
      <w:r w:rsidR="00564B0C" w:rsidRPr="00B63BD5">
        <w:rPr>
          <w:b/>
          <w:color w:val="00B0F0"/>
          <w:szCs w:val="20"/>
          <w:lang w:val="fr-CA"/>
        </w:rPr>
        <w:t>’</w:t>
      </w:r>
      <w:r w:rsidRPr="00B63BD5">
        <w:rPr>
          <w:b/>
          <w:color w:val="00B0F0"/>
          <w:szCs w:val="20"/>
          <w:lang w:val="fr-CA"/>
        </w:rPr>
        <w:t>écart</w:t>
      </w:r>
      <w:r w:rsidR="003E1B22" w:rsidRPr="00B63BD5">
        <w:rPr>
          <w:b/>
          <w:color w:val="00B0F0"/>
          <w:szCs w:val="20"/>
          <w:lang w:val="fr-CA"/>
        </w:rPr>
        <w:t xml:space="preserve"> (ou qu’un autre rajustement de l’écart soit indiqué dans le formulaire des principales conditions)</w:t>
      </w:r>
      <w:r w:rsidRPr="00B63BD5">
        <w:rPr>
          <w:b/>
          <w:color w:val="00B0F0"/>
          <w:szCs w:val="20"/>
          <w:lang w:val="fr-CA"/>
        </w:rPr>
        <w:t xml:space="preserve">, utiliser </w:t>
      </w:r>
      <w:r w:rsidR="00FC4EAB" w:rsidRPr="00B63BD5">
        <w:rPr>
          <w:b/>
          <w:color w:val="00B0F0"/>
          <w:szCs w:val="20"/>
          <w:lang w:val="fr-CA"/>
        </w:rPr>
        <w:t xml:space="preserve">A) </w:t>
      </w:r>
      <w:r w:rsidR="00FC4EAB" w:rsidRPr="00B63BD5">
        <w:rPr>
          <w:b/>
          <w:color w:val="00B0F0"/>
          <w:szCs w:val="24"/>
          <w:lang w:val="fr-CA"/>
        </w:rPr>
        <w:t>0,11448</w:t>
      </w:r>
      <w:r w:rsidR="00FC4EAB" w:rsidRPr="00B63BD5">
        <w:rPr>
          <w:b/>
          <w:color w:val="00B0F0"/>
          <w:szCs w:val="20"/>
          <w:lang w:val="fr-CA"/>
        </w:rPr>
        <w:t xml:space="preserve"> </w:t>
      </w:r>
      <w:r w:rsidR="00FC4EAB" w:rsidRPr="00B63BD5">
        <w:rPr>
          <w:b/>
          <w:color w:val="00B0F0"/>
          <w:szCs w:val="24"/>
          <w:lang w:val="fr-CA"/>
        </w:rPr>
        <w:t xml:space="preserve">% par année </w:t>
      </w:r>
      <w:r w:rsidR="00FC4EAB" w:rsidRPr="00B63BD5">
        <w:rPr>
          <w:b/>
          <w:color w:val="00B0F0"/>
          <w:szCs w:val="20"/>
          <w:lang w:val="fr-CA"/>
        </w:rPr>
        <w:t xml:space="preserve">pour un rajustement de l’écart historique ou 0,10 % pour un rajustement de crédit selon l’option 10/15/25 </w:t>
      </w:r>
      <w:r w:rsidR="00FC4EAB" w:rsidRPr="00B63BD5">
        <w:rPr>
          <w:b/>
          <w:color w:val="00B0F0"/>
          <w:szCs w:val="24"/>
          <w:lang w:val="fr-CA"/>
        </w:rPr>
        <w:t>si la période de paiement est mensuelle</w:t>
      </w:r>
      <w:r w:rsidR="00FC4EAB" w:rsidRPr="00B63BD5">
        <w:rPr>
          <w:b/>
          <w:color w:val="00B0F0"/>
          <w:szCs w:val="20"/>
          <w:lang w:val="fr-CA"/>
        </w:rPr>
        <w:t>; ou B)</w:t>
      </w:r>
      <w:r w:rsidR="00FC4EAB" w:rsidRPr="00B63BD5">
        <w:rPr>
          <w:b/>
          <w:color w:val="00B0F0"/>
          <w:szCs w:val="24"/>
          <w:lang w:val="fr-CA"/>
        </w:rPr>
        <w:t xml:space="preserve"> 0,26161 % par</w:t>
      </w:r>
      <w:r w:rsidR="00FC4EAB" w:rsidRPr="00B63BD5">
        <w:rPr>
          <w:b/>
          <w:color w:val="00B0F0"/>
          <w:szCs w:val="20"/>
          <w:lang w:val="fr-CA"/>
        </w:rPr>
        <w:t xml:space="preserve"> </w:t>
      </w:r>
      <w:r w:rsidR="00FC4EAB" w:rsidRPr="00B63BD5">
        <w:rPr>
          <w:b/>
          <w:color w:val="00B0F0"/>
          <w:szCs w:val="24"/>
          <w:lang w:val="fr-CA"/>
        </w:rPr>
        <w:t xml:space="preserve">année </w:t>
      </w:r>
      <w:r w:rsidR="00FC4EAB" w:rsidRPr="00B63BD5">
        <w:rPr>
          <w:b/>
          <w:color w:val="00B0F0"/>
          <w:szCs w:val="20"/>
          <w:lang w:val="fr-CA"/>
        </w:rPr>
        <w:t xml:space="preserve">pour un rajustement de l’écart historique ou 0,15 % pour un rajustement de crédit selon l’option 10/15/25 </w:t>
      </w:r>
      <w:r w:rsidR="00FC4EAB" w:rsidRPr="00B63BD5">
        <w:rPr>
          <w:b/>
          <w:color w:val="00B0F0"/>
          <w:szCs w:val="24"/>
          <w:lang w:val="fr-CA"/>
        </w:rPr>
        <w:t>si la période de paiement est trimestrielle.]</w:t>
      </w:r>
      <w:r w:rsidR="00FC4EAB" w:rsidRPr="00B63BD5">
        <w:rPr>
          <w:b/>
          <w:color w:val="00B0F0"/>
          <w:szCs w:val="20"/>
          <w:lang w:val="fr-CA"/>
        </w:rPr>
        <w:t xml:space="preserve"> </w:t>
      </w:r>
    </w:p>
    <w:p w14:paraId="2E681362" w14:textId="52686CD2" w:rsidR="00EA656A" w:rsidRPr="00B63BD5" w:rsidRDefault="00EA656A" w:rsidP="00FC4EAB">
      <w:pPr>
        <w:pStyle w:val="04LOLglNew4"/>
        <w:numPr>
          <w:ilvl w:val="0"/>
          <w:numId w:val="0"/>
        </w:numPr>
        <w:ind w:left="1418"/>
        <w:rPr>
          <w:szCs w:val="20"/>
          <w:lang w:val="fr-CA"/>
        </w:rPr>
      </w:pPr>
      <w:r w:rsidRPr="00B63BD5">
        <w:rPr>
          <w:szCs w:val="20"/>
          <w:lang w:val="fr-CA"/>
        </w:rPr>
        <w:t xml:space="preserve">Si le total du Taux de référence SOFR majoré du montant indiqué au point </w:t>
      </w:r>
      <w:r w:rsidR="00D33630" w:rsidRPr="00B63BD5">
        <w:rPr>
          <w:szCs w:val="20"/>
          <w:lang w:val="fr-CA"/>
        </w:rPr>
        <w:t>(</w:t>
      </w:r>
      <w:r w:rsidRPr="00B63BD5">
        <w:rPr>
          <w:szCs w:val="20"/>
          <w:lang w:val="fr-CA"/>
        </w:rPr>
        <w:t>i) ci-dessus est</w:t>
      </w:r>
      <w:r w:rsidR="00775FA7" w:rsidRPr="00B63BD5">
        <w:rPr>
          <w:szCs w:val="20"/>
          <w:lang w:val="fr-CA"/>
        </w:rPr>
        <w:t> </w:t>
      </w:r>
      <w:r w:rsidRPr="00B63BD5">
        <w:rPr>
          <w:szCs w:val="20"/>
          <w:lang w:val="fr-CA"/>
        </w:rPr>
        <w:t>négatif, le total de ces montants (et non le Taux de référence SOFR pour éviter toute</w:t>
      </w:r>
      <w:r w:rsidR="00775FA7" w:rsidRPr="00B63BD5">
        <w:rPr>
          <w:szCs w:val="20"/>
          <w:lang w:val="fr-CA"/>
        </w:rPr>
        <w:t> </w:t>
      </w:r>
      <w:r w:rsidRPr="00B63BD5">
        <w:rPr>
          <w:szCs w:val="20"/>
          <w:lang w:val="fr-CA"/>
        </w:rPr>
        <w:t>ambiguïté) est réputé être égal à zéro.</w:t>
      </w:r>
    </w:p>
    <w:p w14:paraId="69BC540A" w14:textId="6C2B28E7" w:rsidR="00EA656A" w:rsidRPr="00B63BD5" w:rsidRDefault="00EA656A" w:rsidP="00AF7C93">
      <w:pPr>
        <w:pStyle w:val="04LOLglNew4"/>
        <w:numPr>
          <w:ilvl w:val="3"/>
          <w:numId w:val="26"/>
        </w:numPr>
        <w:rPr>
          <w:szCs w:val="20"/>
          <w:lang w:val="fr-CA"/>
        </w:rPr>
      </w:pPr>
      <w:r w:rsidRPr="00B63BD5">
        <w:rPr>
          <w:rStyle w:val="Prompt"/>
          <w:color w:val="auto"/>
          <w:szCs w:val="20"/>
          <w:lang w:val="fr-CA"/>
        </w:rPr>
        <w:t xml:space="preserve">majoré de </w:t>
      </w:r>
      <w:r w:rsidRPr="00B63BD5">
        <w:rPr>
          <w:rStyle w:val="Prompt"/>
          <w:color w:val="auto"/>
          <w:szCs w:val="20"/>
          <w:lang w:val="fr-CA"/>
        </w:rPr>
        <w:sym w:font="Wingdings" w:char="F06C"/>
      </w:r>
      <w:r w:rsidR="00AB0594" w:rsidRPr="00B63BD5">
        <w:rPr>
          <w:szCs w:val="20"/>
          <w:lang w:val="fr-CA"/>
        </w:rPr>
        <w:t> </w:t>
      </w:r>
      <w:r w:rsidRPr="00B63BD5">
        <w:rPr>
          <w:szCs w:val="20"/>
          <w:lang w:val="fr-CA"/>
        </w:rPr>
        <w:t>% par année,</w:t>
      </w:r>
    </w:p>
    <w:p w14:paraId="78F101BC" w14:textId="12CE70B0" w:rsidR="00EA656A" w:rsidRPr="00B63BD5" w:rsidRDefault="00EA656A" w:rsidP="00632863">
      <w:pPr>
        <w:pStyle w:val="Heading5"/>
        <w:ind w:left="720"/>
        <w:jc w:val="both"/>
        <w:rPr>
          <w:b/>
          <w:color w:val="00B0F0"/>
          <w:lang w:val="fr-CA"/>
        </w:rPr>
      </w:pPr>
      <w:r w:rsidRPr="00B63BD5">
        <w:rPr>
          <w:lang w:val="fr-CA"/>
        </w:rPr>
        <w:t>calculé [mensuellement/trimestriellement] à terme échu sur le solde quotidien et payable selon les directives de la Banque.</w:t>
      </w:r>
      <w:r w:rsidR="00AC4107" w:rsidRPr="00B63BD5">
        <w:rPr>
          <w:lang w:val="fr-CA"/>
        </w:rPr>
        <w:t xml:space="preserve"> </w:t>
      </w:r>
      <w:r w:rsidRPr="00B63BD5">
        <w:rPr>
          <w:b/>
          <w:color w:val="00B0F0"/>
          <w:lang w:val="fr-CA"/>
        </w:rPr>
        <w:t>[N.B.</w:t>
      </w:r>
      <w:r w:rsidR="00AC4107" w:rsidRPr="00B63BD5">
        <w:rPr>
          <w:b/>
          <w:color w:val="00B0F0"/>
          <w:lang w:val="fr-CA"/>
        </w:rPr>
        <w:t xml:space="preserve"> </w:t>
      </w:r>
      <w:r w:rsidRPr="00B63BD5">
        <w:rPr>
          <w:b/>
          <w:color w:val="00B0F0"/>
          <w:lang w:val="fr-CA"/>
        </w:rPr>
        <w:t xml:space="preserve">: Sélectionner la période de </w:t>
      </w:r>
      <w:r w:rsidR="00BD5D6C" w:rsidRPr="00B63BD5">
        <w:rPr>
          <w:b/>
          <w:color w:val="00B0F0"/>
          <w:lang w:val="fr-CA"/>
        </w:rPr>
        <w:t>paiement</w:t>
      </w:r>
      <w:r w:rsidRPr="00B63BD5">
        <w:rPr>
          <w:b/>
          <w:color w:val="00B0F0"/>
          <w:lang w:val="fr-CA"/>
        </w:rPr>
        <w:t xml:space="preserve"> d</w:t>
      </w:r>
      <w:r w:rsidR="00564B0C" w:rsidRPr="00B63BD5">
        <w:rPr>
          <w:b/>
          <w:color w:val="00B0F0"/>
          <w:lang w:val="fr-CA"/>
        </w:rPr>
        <w:t>’</w:t>
      </w:r>
      <w:r w:rsidRPr="00B63BD5">
        <w:rPr>
          <w:b/>
          <w:color w:val="00B0F0"/>
          <w:lang w:val="fr-CA"/>
        </w:rPr>
        <w:t>intérêt appropriée pour les Prêts au taux SOFR simple quotidien. Si la fréquence de remboursement n</w:t>
      </w:r>
      <w:r w:rsidR="00564B0C" w:rsidRPr="00B63BD5">
        <w:rPr>
          <w:b/>
          <w:color w:val="00B0F0"/>
          <w:lang w:val="fr-CA"/>
        </w:rPr>
        <w:t>’</w:t>
      </w:r>
      <w:r w:rsidRPr="00B63BD5">
        <w:rPr>
          <w:b/>
          <w:color w:val="00B0F0"/>
          <w:lang w:val="fr-CA"/>
        </w:rPr>
        <w:t>est</w:t>
      </w:r>
      <w:r w:rsidR="00775FA7" w:rsidRPr="00B63BD5">
        <w:rPr>
          <w:b/>
          <w:color w:val="00B0F0"/>
          <w:lang w:val="fr-CA"/>
        </w:rPr>
        <w:t> </w:t>
      </w:r>
      <w:r w:rsidRPr="00B63BD5">
        <w:rPr>
          <w:b/>
          <w:color w:val="00B0F0"/>
          <w:lang w:val="fr-CA"/>
        </w:rPr>
        <w:t>pas</w:t>
      </w:r>
      <w:r w:rsidR="00775FA7" w:rsidRPr="00B63BD5">
        <w:rPr>
          <w:b/>
          <w:color w:val="00B0F0"/>
          <w:lang w:val="fr-CA"/>
        </w:rPr>
        <w:t> </w:t>
      </w:r>
      <w:r w:rsidRPr="00B63BD5">
        <w:rPr>
          <w:b/>
          <w:color w:val="00B0F0"/>
          <w:lang w:val="fr-CA"/>
        </w:rPr>
        <w:t>précisée, utiliser une fréquence mensuelle.]</w:t>
      </w:r>
      <w:r w:rsidR="00564B0C" w:rsidRPr="00B63BD5">
        <w:rPr>
          <w:b/>
          <w:color w:val="00B0F0"/>
          <w:lang w:val="fr-CA"/>
        </w:rPr>
        <w:t xml:space="preserve"> </w:t>
      </w:r>
    </w:p>
    <w:p w14:paraId="50DC7E09" w14:textId="71EB57FA" w:rsidR="00EA656A" w:rsidRPr="002C047F" w:rsidRDefault="00EA656A" w:rsidP="008A2736">
      <w:pPr>
        <w:pStyle w:val="04LOLglNew3"/>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b/>
          <w:color w:val="00B0F0"/>
          <w:lang w:val="fr-FR"/>
        </w:rPr>
      </w:pPr>
      <w:r w:rsidRPr="008B4783">
        <w:rPr>
          <w:b/>
          <w:color w:val="00B0F0"/>
          <w:lang w:val="fr-CA"/>
        </w:rPr>
        <w:t>[TAUX SOFR SIMPLE QUOTIDIEN,</w:t>
      </w:r>
      <w:r w:rsidR="00CC5B5B" w:rsidRPr="008B4783">
        <w:rPr>
          <w:b/>
          <w:color w:val="00B0F0"/>
          <w:lang w:val="fr-CA"/>
        </w:rPr>
        <w:t xml:space="preserve"> </w:t>
      </w:r>
      <w:r w:rsidR="00135683">
        <w:rPr>
          <w:b/>
          <w:color w:val="00B0F0"/>
          <w:lang w:val="fr-CA"/>
        </w:rPr>
        <w:t>RAJUSTEMENT DE L’ÉCART</w:t>
      </w:r>
      <w:r w:rsidR="00CC5B5B" w:rsidRPr="008B4783">
        <w:rPr>
          <w:b/>
          <w:color w:val="00B0F0"/>
          <w:lang w:val="fr-CA"/>
        </w:rPr>
        <w:t xml:space="preserve"> COMBINÉ</w:t>
      </w:r>
      <w:r w:rsidR="00AC4107" w:rsidRPr="008B4783">
        <w:rPr>
          <w:b/>
          <w:color w:val="00B0F0"/>
          <w:lang w:val="fr-CA"/>
        </w:rPr>
        <w:t xml:space="preserve"> </w:t>
      </w:r>
      <w:r w:rsidRPr="008B4783">
        <w:rPr>
          <w:b/>
          <w:color w:val="00B0F0"/>
          <w:lang w:val="fr-CA"/>
        </w:rPr>
        <w:t>: Sélectionner cette option pour les clients qui optent pour le taux SOFR simple quotidien et qui ne demandent pas</w:t>
      </w:r>
      <w:r w:rsidR="00775FA7" w:rsidRPr="008B4783">
        <w:rPr>
          <w:b/>
          <w:color w:val="00B0F0"/>
          <w:lang w:val="fr-CA"/>
        </w:rPr>
        <w:t> </w:t>
      </w:r>
      <w:r w:rsidRPr="008B4783">
        <w:rPr>
          <w:b/>
          <w:color w:val="00B0F0"/>
          <w:lang w:val="fr-CA"/>
        </w:rPr>
        <w:t>que</w:t>
      </w:r>
      <w:r w:rsidR="00775FA7" w:rsidRPr="008B4783">
        <w:rPr>
          <w:b/>
          <w:color w:val="00B0F0"/>
          <w:lang w:val="fr-CA"/>
        </w:rPr>
        <w:t> </w:t>
      </w:r>
      <w:r w:rsidRPr="008B4783">
        <w:rPr>
          <w:b/>
          <w:color w:val="00B0F0"/>
          <w:lang w:val="fr-CA"/>
        </w:rPr>
        <w:t>le</w:t>
      </w:r>
      <w:r w:rsidR="00775FA7" w:rsidRPr="008B4783">
        <w:rPr>
          <w:b/>
          <w:color w:val="00B0F0"/>
          <w:lang w:val="fr-CA"/>
        </w:rPr>
        <w:t> </w:t>
      </w:r>
      <w:r w:rsidRPr="008B4783">
        <w:rPr>
          <w:b/>
          <w:color w:val="00B0F0"/>
          <w:lang w:val="fr-CA"/>
        </w:rPr>
        <w:t>rajustement de l</w:t>
      </w:r>
      <w:r w:rsidR="00564B0C" w:rsidRPr="008B4783">
        <w:rPr>
          <w:b/>
          <w:color w:val="00B0F0"/>
          <w:lang w:val="fr-CA"/>
        </w:rPr>
        <w:t>’</w:t>
      </w:r>
      <w:r w:rsidRPr="008B4783">
        <w:rPr>
          <w:b/>
          <w:color w:val="00B0F0"/>
          <w:lang w:val="fr-CA"/>
        </w:rPr>
        <w:t>écart soit indiqué séparément]</w:t>
      </w:r>
      <w:r w:rsidR="008B4783">
        <w:rPr>
          <w:b/>
          <w:color w:val="00B0F0"/>
          <w:lang w:val="fr-CA"/>
        </w:rPr>
        <w:t xml:space="preserve"> </w:t>
      </w:r>
      <w:r w:rsidRPr="002C047F">
        <w:rPr>
          <w:lang w:val="fr-FR"/>
        </w:rPr>
        <w:t xml:space="preserve">pour les Prêts au taux SOFR simple quotidien, au Taux de référence SOFR majoré de </w:t>
      </w:r>
      <w:r w:rsidRPr="00B63BD5">
        <w:rPr>
          <w:rStyle w:val="Prompt"/>
          <w:color w:val="auto"/>
        </w:rPr>
        <w:sym w:font="Wingdings" w:char="F06C"/>
      </w:r>
      <w:r w:rsidR="00AB0594" w:rsidRPr="002C047F">
        <w:rPr>
          <w:lang w:val="fr-FR"/>
        </w:rPr>
        <w:t> </w:t>
      </w:r>
      <w:r w:rsidRPr="002C047F">
        <w:rPr>
          <w:lang w:val="fr-FR"/>
        </w:rPr>
        <w:t xml:space="preserve">% </w:t>
      </w:r>
      <w:r w:rsidR="00927950" w:rsidRPr="002C047F">
        <w:rPr>
          <w:lang w:val="fr-FR"/>
        </w:rPr>
        <w:t>[</w:t>
      </w:r>
      <w:r w:rsidR="00135683" w:rsidRPr="00135683">
        <w:rPr>
          <w:lang w:val="fr-CA"/>
        </w:rPr>
        <w:t>rajustement de l’écart</w:t>
      </w:r>
      <w:r w:rsidR="00927950" w:rsidRPr="002C047F">
        <w:rPr>
          <w:lang w:val="fr-FR"/>
        </w:rPr>
        <w:t xml:space="preserve"> + marge] </w:t>
      </w:r>
      <w:r w:rsidRPr="002C047F">
        <w:rPr>
          <w:lang w:val="fr-FR"/>
        </w:rPr>
        <w:t>par année en fonction d</w:t>
      </w:r>
      <w:r w:rsidR="00564B0C" w:rsidRPr="002C047F">
        <w:rPr>
          <w:lang w:val="fr-FR"/>
        </w:rPr>
        <w:t>’</w:t>
      </w:r>
      <w:r w:rsidRPr="002C047F">
        <w:rPr>
          <w:lang w:val="fr-FR"/>
        </w:rPr>
        <w:t>une année de</w:t>
      </w:r>
      <w:r w:rsidR="00775FA7" w:rsidRPr="002C047F">
        <w:rPr>
          <w:lang w:val="fr-FR"/>
        </w:rPr>
        <w:t> </w:t>
      </w:r>
      <w:r w:rsidRPr="002C047F">
        <w:rPr>
          <w:lang w:val="fr-FR"/>
        </w:rPr>
        <w:t>360</w:t>
      </w:r>
      <w:r w:rsidR="00775FA7" w:rsidRPr="002C047F">
        <w:rPr>
          <w:lang w:val="fr-FR"/>
        </w:rPr>
        <w:t> </w:t>
      </w:r>
      <w:r w:rsidRPr="002C047F">
        <w:rPr>
          <w:lang w:val="fr-FR"/>
        </w:rPr>
        <w:t>jours, calculé [mensuellement/trimestriellement] à terme échu sur le solde quotidien et</w:t>
      </w:r>
      <w:r w:rsidR="00775FA7" w:rsidRPr="002C047F">
        <w:rPr>
          <w:lang w:val="fr-FR"/>
        </w:rPr>
        <w:t> </w:t>
      </w:r>
      <w:r w:rsidRPr="002C047F">
        <w:rPr>
          <w:lang w:val="fr-FR"/>
        </w:rPr>
        <w:t xml:space="preserve">payable selon les directives de la Banque; ou </w:t>
      </w:r>
      <w:r w:rsidRPr="002C047F">
        <w:rPr>
          <w:b/>
          <w:color w:val="00B0F0"/>
          <w:lang w:val="fr-FR"/>
        </w:rPr>
        <w:t>[N.B.</w:t>
      </w:r>
      <w:r w:rsidR="00AC4107" w:rsidRPr="002C047F">
        <w:rPr>
          <w:b/>
          <w:color w:val="00B0F0"/>
          <w:lang w:val="fr-FR"/>
        </w:rPr>
        <w:t xml:space="preserve"> </w:t>
      </w:r>
      <w:r w:rsidRPr="002C047F">
        <w:rPr>
          <w:b/>
          <w:color w:val="00B0F0"/>
          <w:lang w:val="fr-FR"/>
        </w:rPr>
        <w:t xml:space="preserve">: Sélectionner la période de </w:t>
      </w:r>
      <w:r w:rsidR="00BD5D6C" w:rsidRPr="002C047F">
        <w:rPr>
          <w:b/>
          <w:color w:val="00B0F0"/>
          <w:lang w:val="fr-FR"/>
        </w:rPr>
        <w:t>paiement</w:t>
      </w:r>
      <w:r w:rsidRPr="002C047F">
        <w:rPr>
          <w:b/>
          <w:color w:val="00B0F0"/>
          <w:lang w:val="fr-FR"/>
        </w:rPr>
        <w:t xml:space="preserve"> d</w:t>
      </w:r>
      <w:r w:rsidR="00564B0C" w:rsidRPr="002C047F">
        <w:rPr>
          <w:b/>
          <w:color w:val="00B0F0"/>
          <w:lang w:val="fr-FR"/>
        </w:rPr>
        <w:t>’</w:t>
      </w:r>
      <w:r w:rsidRPr="002C047F">
        <w:rPr>
          <w:b/>
          <w:color w:val="00B0F0"/>
          <w:lang w:val="fr-FR"/>
        </w:rPr>
        <w:t>intérêt appropriée pour les Prêts au taux SOFR simple quotidien. Si la fréquence de</w:t>
      </w:r>
      <w:r w:rsidR="00775FA7" w:rsidRPr="002C047F">
        <w:rPr>
          <w:b/>
          <w:color w:val="00B0F0"/>
          <w:lang w:val="fr-FR"/>
        </w:rPr>
        <w:t> </w:t>
      </w:r>
      <w:r w:rsidRPr="002C047F">
        <w:rPr>
          <w:b/>
          <w:color w:val="00B0F0"/>
          <w:lang w:val="fr-FR"/>
        </w:rPr>
        <w:t>remboursement n</w:t>
      </w:r>
      <w:r w:rsidR="00564B0C" w:rsidRPr="002C047F">
        <w:rPr>
          <w:b/>
          <w:color w:val="00B0F0"/>
          <w:lang w:val="fr-FR"/>
        </w:rPr>
        <w:t>’</w:t>
      </w:r>
      <w:r w:rsidRPr="002C047F">
        <w:rPr>
          <w:b/>
          <w:color w:val="00B0F0"/>
          <w:lang w:val="fr-FR"/>
        </w:rPr>
        <w:t>est pas précisée, utiliser une fréquence mensuelle.]</w:t>
      </w:r>
      <w:r w:rsidR="00564B0C" w:rsidRPr="002C047F">
        <w:rPr>
          <w:b/>
          <w:color w:val="00B0F0"/>
          <w:lang w:val="fr-FR"/>
        </w:rPr>
        <w:t xml:space="preserve"> </w:t>
      </w:r>
    </w:p>
    <w:p w14:paraId="35DBF91C" w14:textId="60A64FBC" w:rsidR="00EA656A" w:rsidRPr="002C047F" w:rsidRDefault="00EA656A" w:rsidP="008B4783">
      <w:pPr>
        <w:pStyle w:val="04LOLglNew3"/>
        <w:rPr>
          <w:b/>
          <w:color w:val="00B0F0"/>
          <w:lang w:val="fr-FR"/>
        </w:rPr>
      </w:pPr>
      <w:r w:rsidRPr="002C047F">
        <w:rPr>
          <w:lang w:val="fr-FR"/>
        </w:rPr>
        <w:t xml:space="preserve">pour les Prêts au taux SONIA, au Taux de référence SONIA simple majoré de </w:t>
      </w:r>
      <w:r w:rsidRPr="00B63BD5">
        <w:rPr>
          <w:rStyle w:val="Prompt"/>
          <w:color w:val="auto"/>
        </w:rPr>
        <w:sym w:font="Wingdings" w:char="F06C"/>
      </w:r>
      <w:r w:rsidR="00AB0594" w:rsidRPr="002C047F">
        <w:rPr>
          <w:lang w:val="fr-FR"/>
        </w:rPr>
        <w:t> </w:t>
      </w:r>
      <w:r w:rsidRPr="002C047F">
        <w:rPr>
          <w:lang w:val="fr-FR"/>
        </w:rPr>
        <w:t>% par année en</w:t>
      </w:r>
      <w:r w:rsidR="00775FA7" w:rsidRPr="002C047F">
        <w:rPr>
          <w:lang w:val="fr-FR"/>
        </w:rPr>
        <w:t> </w:t>
      </w:r>
      <w:r w:rsidRPr="002C047F">
        <w:rPr>
          <w:lang w:val="fr-FR"/>
        </w:rPr>
        <w:t>fonction d</w:t>
      </w:r>
      <w:r w:rsidR="00564B0C" w:rsidRPr="002C047F">
        <w:rPr>
          <w:lang w:val="fr-FR"/>
        </w:rPr>
        <w:t>’</w:t>
      </w:r>
      <w:r w:rsidRPr="002C047F">
        <w:rPr>
          <w:lang w:val="fr-FR"/>
        </w:rPr>
        <w:t>une année de 365</w:t>
      </w:r>
      <w:r w:rsidR="00AB0594" w:rsidRPr="002C047F">
        <w:rPr>
          <w:lang w:val="fr-FR"/>
        </w:rPr>
        <w:t> </w:t>
      </w:r>
      <w:r w:rsidRPr="002C047F">
        <w:rPr>
          <w:lang w:val="fr-FR"/>
        </w:rPr>
        <w:t xml:space="preserve">jours, calculé </w:t>
      </w:r>
      <w:r w:rsidRPr="002C047F">
        <w:rPr>
          <w:b/>
          <w:lang w:val="fr-FR"/>
        </w:rPr>
        <w:t>[mensuellement/trimestriellement]</w:t>
      </w:r>
      <w:r w:rsidRPr="002C047F">
        <w:rPr>
          <w:lang w:val="fr-FR"/>
        </w:rPr>
        <w:t xml:space="preserve"> à terme échu sur le solde quotidien et payable selon les directives de la Banque; ou </w:t>
      </w:r>
      <w:r w:rsidRPr="002C047F">
        <w:rPr>
          <w:b/>
          <w:color w:val="00B0F0"/>
          <w:lang w:val="fr-FR"/>
        </w:rPr>
        <w:t>[N.B.</w:t>
      </w:r>
      <w:r w:rsidR="00AC4107" w:rsidRPr="002C047F">
        <w:rPr>
          <w:b/>
          <w:color w:val="00B0F0"/>
          <w:lang w:val="fr-FR"/>
        </w:rPr>
        <w:t xml:space="preserve"> </w:t>
      </w:r>
      <w:r w:rsidRPr="002C047F">
        <w:rPr>
          <w:b/>
          <w:color w:val="00B0F0"/>
          <w:lang w:val="fr-FR"/>
        </w:rPr>
        <w:t>: Sélectionner la</w:t>
      </w:r>
      <w:r w:rsidR="00AB0594" w:rsidRPr="002C047F">
        <w:rPr>
          <w:b/>
          <w:color w:val="00B0F0"/>
          <w:lang w:val="fr-FR"/>
        </w:rPr>
        <w:t xml:space="preserve"> </w:t>
      </w:r>
      <w:r w:rsidRPr="002C047F">
        <w:rPr>
          <w:b/>
          <w:color w:val="00B0F0"/>
          <w:lang w:val="fr-FR"/>
        </w:rPr>
        <w:t xml:space="preserve">période de </w:t>
      </w:r>
      <w:r w:rsidR="005F70C3" w:rsidRPr="002C047F">
        <w:rPr>
          <w:b/>
          <w:color w:val="00B0F0"/>
          <w:lang w:val="fr-FR"/>
        </w:rPr>
        <w:t>paiement</w:t>
      </w:r>
      <w:r w:rsidRPr="002C047F">
        <w:rPr>
          <w:b/>
          <w:color w:val="00B0F0"/>
          <w:lang w:val="fr-FR"/>
        </w:rPr>
        <w:t xml:space="preserve"> d</w:t>
      </w:r>
      <w:r w:rsidR="00564B0C" w:rsidRPr="002C047F">
        <w:rPr>
          <w:b/>
          <w:color w:val="00B0F0"/>
          <w:lang w:val="fr-FR"/>
        </w:rPr>
        <w:t>’</w:t>
      </w:r>
      <w:r w:rsidRPr="002C047F">
        <w:rPr>
          <w:b/>
          <w:color w:val="00B0F0"/>
          <w:lang w:val="fr-FR"/>
        </w:rPr>
        <w:t>intérêt appropriée pour les Prêts au taux SONIA. Si la fréquence de remboursement n</w:t>
      </w:r>
      <w:r w:rsidR="00564B0C" w:rsidRPr="002C047F">
        <w:rPr>
          <w:b/>
          <w:color w:val="00B0F0"/>
          <w:lang w:val="fr-FR"/>
        </w:rPr>
        <w:t>’</w:t>
      </w:r>
      <w:r w:rsidRPr="002C047F">
        <w:rPr>
          <w:b/>
          <w:color w:val="00B0F0"/>
          <w:lang w:val="fr-FR"/>
        </w:rPr>
        <w:t>est pas précisée, utiliser une fréquence mensuelle.]</w:t>
      </w:r>
      <w:r w:rsidR="00AC4107" w:rsidRPr="002C047F">
        <w:rPr>
          <w:b/>
          <w:color w:val="00B0F0"/>
          <w:lang w:val="fr-FR"/>
        </w:rPr>
        <w:t xml:space="preserve"> </w:t>
      </w:r>
    </w:p>
    <w:p w14:paraId="44A14CA9" w14:textId="14DD0B0C" w:rsidR="009926E7" w:rsidRPr="00B63BD5" w:rsidRDefault="00450A73" w:rsidP="00632863">
      <w:pPr>
        <w:pStyle w:val="Heading3"/>
        <w:keepNext w:val="0"/>
        <w:widowControl w:val="0"/>
        <w:numPr>
          <w:ilvl w:val="2"/>
          <w:numId w:val="1"/>
        </w:numPr>
        <w:tabs>
          <w:tab w:val="clear" w:pos="851"/>
          <w:tab w:val="clear" w:pos="1440"/>
        </w:tabs>
        <w:ind w:firstLine="0"/>
        <w:jc w:val="both"/>
      </w:pPr>
      <w:r w:rsidRPr="00B63BD5">
        <w:t>Frais</w:t>
      </w:r>
    </w:p>
    <w:p w14:paraId="7B06BF7D" w14:textId="097E0DA4" w:rsidR="000617B1" w:rsidRPr="00B63BD5" w:rsidRDefault="000617B1" w:rsidP="00632863">
      <w:pPr>
        <w:spacing w:after="240"/>
        <w:jc w:val="both"/>
        <w:rPr>
          <w:b/>
          <w:color w:val="00B0F0"/>
          <w:lang w:val="fr-CA"/>
        </w:rPr>
      </w:pPr>
      <w:r w:rsidRPr="00B63BD5">
        <w:rPr>
          <w:b/>
          <w:color w:val="00B0F0"/>
          <w:lang w:val="fr-CA"/>
        </w:rPr>
        <w:t>[</w:t>
      </w:r>
      <w:r w:rsidR="00EC3CB5" w:rsidRPr="00B63BD5">
        <w:rPr>
          <w:b/>
          <w:color w:val="00B0F0"/>
          <w:lang w:val="fr-CA"/>
        </w:rPr>
        <w:t>N.B. :</w:t>
      </w:r>
      <w:r w:rsidRPr="00B63BD5">
        <w:rPr>
          <w:b/>
          <w:color w:val="00B0F0"/>
          <w:lang w:val="fr-CA"/>
        </w:rPr>
        <w:t xml:space="preserve"> </w:t>
      </w:r>
      <w:r w:rsidR="00450A73" w:rsidRPr="00B63BD5">
        <w:rPr>
          <w:b/>
          <w:color w:val="00B0F0"/>
          <w:lang w:val="fr-CA"/>
        </w:rPr>
        <w:t>Rajuster au besoin</w:t>
      </w:r>
      <w:r w:rsidR="005F3D21" w:rsidRPr="00B63BD5">
        <w:rPr>
          <w:b/>
          <w:color w:val="00B0F0"/>
          <w:lang w:val="fr-CA"/>
        </w:rPr>
        <w:t xml:space="preserve"> afin de tenir compte </w:t>
      </w:r>
      <w:r w:rsidR="00043876" w:rsidRPr="00B63BD5">
        <w:rPr>
          <w:b/>
          <w:color w:val="00B0F0"/>
          <w:lang w:val="fr-CA"/>
        </w:rPr>
        <w:t xml:space="preserve">de la feuille de conditions </w:t>
      </w:r>
      <w:r w:rsidR="005F3D21" w:rsidRPr="00B63BD5">
        <w:rPr>
          <w:b/>
          <w:color w:val="00B0F0"/>
          <w:lang w:val="fr-CA"/>
        </w:rPr>
        <w:t>approuvé</w:t>
      </w:r>
      <w:r w:rsidR="00043876" w:rsidRPr="00B63BD5">
        <w:rPr>
          <w:b/>
          <w:color w:val="00B0F0"/>
          <w:lang w:val="fr-CA"/>
        </w:rPr>
        <w:t>e</w:t>
      </w:r>
      <w:r w:rsidR="005F3D21" w:rsidRPr="00B63BD5">
        <w:rPr>
          <w:b/>
          <w:color w:val="00B0F0"/>
          <w:lang w:val="fr-CA"/>
        </w:rPr>
        <w:t>. Ne</w:t>
      </w:r>
      <w:r w:rsidR="003F57FA" w:rsidRPr="00B63BD5">
        <w:rPr>
          <w:b/>
          <w:color w:val="00B0F0"/>
          <w:lang w:val="fr-CA"/>
        </w:rPr>
        <w:t> </w:t>
      </w:r>
      <w:r w:rsidR="005F3D21" w:rsidRPr="00B63BD5">
        <w:rPr>
          <w:b/>
          <w:color w:val="00B0F0"/>
          <w:lang w:val="fr-CA"/>
        </w:rPr>
        <w:t>pas</w:t>
      </w:r>
      <w:r w:rsidR="003F57FA" w:rsidRPr="00B63BD5">
        <w:rPr>
          <w:b/>
          <w:color w:val="00B0F0"/>
          <w:lang w:val="fr-CA"/>
        </w:rPr>
        <w:t> </w:t>
      </w:r>
      <w:r w:rsidR="005F3D21" w:rsidRPr="00B63BD5">
        <w:rPr>
          <w:b/>
          <w:color w:val="00B0F0"/>
          <w:lang w:val="fr-CA"/>
        </w:rPr>
        <w:t>dédoubler les frais déjà mentionnés dans le paragraphe</w:t>
      </w:r>
      <w:r w:rsidR="00B056F9" w:rsidRPr="00B63BD5">
        <w:rPr>
          <w:b/>
          <w:color w:val="00B0F0"/>
          <w:lang w:val="fr-CA"/>
        </w:rPr>
        <w:t> </w:t>
      </w:r>
      <w:r w:rsidR="007F0E39" w:rsidRPr="00B63BD5">
        <w:rPr>
          <w:b/>
          <w:color w:val="00B0F0"/>
          <w:lang w:val="fr-CA"/>
        </w:rPr>
        <w:fldChar w:fldCharType="begin"/>
      </w:r>
      <w:r w:rsidR="007F0E39" w:rsidRPr="00B63BD5">
        <w:rPr>
          <w:b/>
          <w:color w:val="00B0F0"/>
          <w:lang w:val="fr-CA"/>
        </w:rPr>
        <w:instrText xml:space="preserve"> REF _Ref490647753 \r \h </w:instrText>
      </w:r>
      <w:r w:rsidR="00F827C2" w:rsidRPr="00B63BD5">
        <w:rPr>
          <w:b/>
          <w:color w:val="00B0F0"/>
          <w:lang w:val="fr-CA"/>
        </w:rPr>
        <w:instrText xml:space="preserve"> \* MERGEFORMAT </w:instrText>
      </w:r>
      <w:r w:rsidR="007F0E39" w:rsidRPr="00B63BD5">
        <w:rPr>
          <w:b/>
          <w:color w:val="00B0F0"/>
          <w:lang w:val="fr-CA"/>
        </w:rPr>
      </w:r>
      <w:r w:rsidR="007F0E39" w:rsidRPr="00B63BD5">
        <w:rPr>
          <w:b/>
          <w:color w:val="00B0F0"/>
          <w:lang w:val="fr-CA"/>
        </w:rPr>
        <w:fldChar w:fldCharType="separate"/>
      </w:r>
      <w:r w:rsidR="000F2F99" w:rsidRPr="00B63BD5">
        <w:rPr>
          <w:b/>
          <w:color w:val="00B0F0"/>
          <w:lang w:val="fr-CA"/>
        </w:rPr>
        <w:t>1.7</w:t>
      </w:r>
      <w:r w:rsidR="007F0E39" w:rsidRPr="00B63BD5">
        <w:rPr>
          <w:b/>
          <w:color w:val="00B0F0"/>
          <w:lang w:val="fr-CA"/>
        </w:rPr>
        <w:fldChar w:fldCharType="end"/>
      </w:r>
      <w:r w:rsidR="005F3D21" w:rsidRPr="00B63BD5">
        <w:rPr>
          <w:b/>
          <w:color w:val="00B0F0"/>
          <w:lang w:val="fr-CA"/>
        </w:rPr>
        <w:t xml:space="preserve"> ci</w:t>
      </w:r>
      <w:r w:rsidR="005F3D21" w:rsidRPr="00B63BD5">
        <w:rPr>
          <w:b/>
          <w:color w:val="00B0F0"/>
          <w:lang w:val="fr-CA"/>
        </w:rPr>
        <w:noBreakHyphen/>
        <w:t>dessus</w:t>
      </w:r>
      <w:r w:rsidR="007F0E39" w:rsidRPr="00B63BD5">
        <w:rPr>
          <w:b/>
          <w:color w:val="00B0F0"/>
          <w:lang w:val="fr-CA"/>
        </w:rPr>
        <w:t>. S</w:t>
      </w:r>
      <w:r w:rsidR="00564B0C" w:rsidRPr="00B63BD5">
        <w:rPr>
          <w:b/>
          <w:color w:val="00B0F0"/>
          <w:lang w:val="fr-CA"/>
        </w:rPr>
        <w:t>’</w:t>
      </w:r>
      <w:r w:rsidR="007F0E39" w:rsidRPr="00B63BD5">
        <w:rPr>
          <w:b/>
          <w:color w:val="00B0F0"/>
          <w:lang w:val="fr-CA"/>
        </w:rPr>
        <w:t xml:space="preserve">il y a plusieurs </w:t>
      </w:r>
      <w:r w:rsidR="00E94BFE" w:rsidRPr="00B63BD5">
        <w:rPr>
          <w:b/>
          <w:color w:val="00B0F0"/>
          <w:lang w:val="fr-CA"/>
        </w:rPr>
        <w:t>Emprunteurs</w:t>
      </w:r>
      <w:r w:rsidR="007F0E39" w:rsidRPr="00B63BD5">
        <w:rPr>
          <w:b/>
          <w:color w:val="00B0F0"/>
          <w:lang w:val="fr-CA"/>
        </w:rPr>
        <w:t xml:space="preserve">, </w:t>
      </w:r>
      <w:r w:rsidR="00E94BFE" w:rsidRPr="00B63BD5">
        <w:rPr>
          <w:b/>
          <w:color w:val="00B0F0"/>
          <w:lang w:val="fr-CA"/>
        </w:rPr>
        <w:t xml:space="preserve">dans le premier paragraphe, </w:t>
      </w:r>
      <w:r w:rsidR="007F0E39" w:rsidRPr="00B63BD5">
        <w:rPr>
          <w:b/>
          <w:color w:val="00B0F0"/>
          <w:lang w:val="fr-CA"/>
        </w:rPr>
        <w:t>remplacer la mention «</w:t>
      </w:r>
      <w:r w:rsidR="0094743F" w:rsidRPr="00B63BD5">
        <w:rPr>
          <w:b/>
          <w:color w:val="00B0F0"/>
          <w:lang w:val="fr-CA"/>
        </w:rPr>
        <w:t> </w:t>
      </w:r>
      <w:r w:rsidR="007F0E39" w:rsidRPr="00B63BD5">
        <w:rPr>
          <w:b/>
          <w:color w:val="00B0F0"/>
          <w:lang w:val="fr-CA"/>
        </w:rPr>
        <w:t>L</w:t>
      </w:r>
      <w:r w:rsidR="00564B0C" w:rsidRPr="00B63BD5">
        <w:rPr>
          <w:b/>
          <w:color w:val="00B0F0"/>
          <w:lang w:val="fr-CA"/>
        </w:rPr>
        <w:t>’</w:t>
      </w:r>
      <w:r w:rsidR="007F0E39" w:rsidRPr="00B63BD5">
        <w:rPr>
          <w:b/>
          <w:color w:val="00B0F0"/>
          <w:lang w:val="fr-CA"/>
        </w:rPr>
        <w:t>Emprunteur</w:t>
      </w:r>
      <w:r w:rsidR="0094743F" w:rsidRPr="00B63BD5">
        <w:rPr>
          <w:b/>
          <w:color w:val="00B0F0"/>
          <w:lang w:val="fr-CA"/>
        </w:rPr>
        <w:t> </w:t>
      </w:r>
      <w:r w:rsidR="007F0E39" w:rsidRPr="00B63BD5">
        <w:rPr>
          <w:b/>
          <w:color w:val="00B0F0"/>
          <w:lang w:val="fr-CA"/>
        </w:rPr>
        <w:t>» par le nom de</w:t>
      </w:r>
      <w:r w:rsidR="003F57FA" w:rsidRPr="00B63BD5">
        <w:rPr>
          <w:b/>
          <w:color w:val="00B0F0"/>
          <w:lang w:val="fr-CA"/>
        </w:rPr>
        <w:t> </w:t>
      </w:r>
      <w:r w:rsidR="007F0E39" w:rsidRPr="00B63BD5">
        <w:rPr>
          <w:b/>
          <w:color w:val="00B0F0"/>
          <w:lang w:val="fr-CA"/>
        </w:rPr>
        <w:t>l</w:t>
      </w:r>
      <w:r w:rsidR="00564B0C" w:rsidRPr="00B63BD5">
        <w:rPr>
          <w:b/>
          <w:color w:val="00B0F0"/>
          <w:lang w:val="fr-CA"/>
        </w:rPr>
        <w:t>’</w:t>
      </w:r>
      <w:r w:rsidR="007F0E39" w:rsidRPr="00B63BD5">
        <w:rPr>
          <w:b/>
          <w:color w:val="00B0F0"/>
          <w:lang w:val="fr-CA"/>
        </w:rPr>
        <w:t xml:space="preserve">entité qui </w:t>
      </w:r>
      <w:r w:rsidR="00830777" w:rsidRPr="00B63BD5">
        <w:rPr>
          <w:b/>
          <w:color w:val="00B0F0"/>
          <w:lang w:val="fr-CA"/>
        </w:rPr>
        <w:t>assumera</w:t>
      </w:r>
      <w:r w:rsidR="007F0E39" w:rsidRPr="00B63BD5">
        <w:rPr>
          <w:b/>
          <w:color w:val="00B0F0"/>
          <w:lang w:val="fr-CA"/>
        </w:rPr>
        <w:t xml:space="preserve"> les frais.</w:t>
      </w:r>
      <w:r w:rsidR="005F3D21" w:rsidRPr="00B63BD5">
        <w:rPr>
          <w:b/>
          <w:color w:val="00B0F0"/>
          <w:lang w:val="fr-CA"/>
        </w:rPr>
        <w:t xml:space="preserve"> Si aucuns frais n</w:t>
      </w:r>
      <w:r w:rsidR="0037638C" w:rsidRPr="00B63BD5">
        <w:rPr>
          <w:b/>
          <w:color w:val="00B0F0"/>
          <w:lang w:val="fr-CA"/>
        </w:rPr>
        <w:t>e sont</w:t>
      </w:r>
      <w:r w:rsidR="005F3D21" w:rsidRPr="00B63BD5">
        <w:rPr>
          <w:b/>
          <w:color w:val="00B0F0"/>
          <w:lang w:val="fr-CA"/>
        </w:rPr>
        <w:t xml:space="preserve"> associé</w:t>
      </w:r>
      <w:r w:rsidR="0037638C" w:rsidRPr="00B63BD5">
        <w:rPr>
          <w:b/>
          <w:color w:val="00B0F0"/>
          <w:lang w:val="fr-CA"/>
        </w:rPr>
        <w:t>s</w:t>
      </w:r>
      <w:r w:rsidR="005F3D21" w:rsidRPr="00B63BD5">
        <w:rPr>
          <w:b/>
          <w:color w:val="00B0F0"/>
          <w:lang w:val="fr-CA"/>
        </w:rPr>
        <w:t xml:space="preserve"> à la Facilité de prêt relative </w:t>
      </w:r>
      <w:r w:rsidR="00904F3F" w:rsidRPr="00B63BD5">
        <w:rPr>
          <w:b/>
          <w:color w:val="00B0F0"/>
          <w:lang w:val="fr-CA"/>
        </w:rPr>
        <w:t>aux</w:t>
      </w:r>
      <w:r w:rsidR="003F57FA" w:rsidRPr="00B63BD5">
        <w:rPr>
          <w:b/>
          <w:color w:val="00B0F0"/>
          <w:lang w:val="fr-CA"/>
        </w:rPr>
        <w:t> </w:t>
      </w:r>
      <w:r w:rsidR="00904F3F" w:rsidRPr="00B63BD5">
        <w:rPr>
          <w:b/>
          <w:color w:val="00B0F0"/>
          <w:lang w:val="fr-CA"/>
        </w:rPr>
        <w:t xml:space="preserve">immobilisations, </w:t>
      </w:r>
      <w:r w:rsidR="008C3103" w:rsidRPr="00B63BD5">
        <w:rPr>
          <w:b/>
          <w:color w:val="00B0F0"/>
          <w:lang w:val="fr-CA"/>
        </w:rPr>
        <w:t>le présent article</w:t>
      </w:r>
      <w:r w:rsidR="00904F3F" w:rsidRPr="00B63BD5">
        <w:rPr>
          <w:b/>
          <w:color w:val="00B0F0"/>
          <w:lang w:val="fr-CA"/>
        </w:rPr>
        <w:t xml:space="preserve"> </w:t>
      </w:r>
      <w:r w:rsidR="004B25DA" w:rsidRPr="00B63BD5">
        <w:rPr>
          <w:b/>
          <w:color w:val="00B0F0"/>
          <w:lang w:val="fr-CA"/>
        </w:rPr>
        <w:t>peut</w:t>
      </w:r>
      <w:r w:rsidR="005F3D21" w:rsidRPr="00B63BD5">
        <w:rPr>
          <w:b/>
          <w:color w:val="00B0F0"/>
          <w:lang w:val="fr-CA"/>
        </w:rPr>
        <w:t xml:space="preserve"> être supprimé intégralement.</w:t>
      </w:r>
      <w:r w:rsidRPr="00B63BD5">
        <w:rPr>
          <w:b/>
          <w:color w:val="00B0F0"/>
          <w:lang w:val="fr-CA"/>
        </w:rPr>
        <w:t>]</w:t>
      </w:r>
    </w:p>
    <w:p w14:paraId="4CED2548" w14:textId="7D293F6E" w:rsidR="000B063D" w:rsidRPr="00B63BD5" w:rsidRDefault="00450A73" w:rsidP="00632863">
      <w:pPr>
        <w:spacing w:after="240"/>
        <w:jc w:val="both"/>
        <w:rPr>
          <w:lang w:val="fr-CA"/>
        </w:rPr>
      </w:pPr>
      <w:r w:rsidRPr="00B63BD5">
        <w:rPr>
          <w:lang w:val="fr-CA"/>
        </w:rPr>
        <w:t>L</w:t>
      </w:r>
      <w:r w:rsidR="00564B0C" w:rsidRPr="00B63BD5">
        <w:rPr>
          <w:lang w:val="fr-CA"/>
        </w:rPr>
        <w:t>’</w:t>
      </w:r>
      <w:r w:rsidRPr="00B63BD5">
        <w:rPr>
          <w:lang w:val="fr-CA"/>
        </w:rPr>
        <w:t xml:space="preserve">Emprunteur doit verser </w:t>
      </w:r>
      <w:r w:rsidR="0037638C" w:rsidRPr="00B63BD5">
        <w:rPr>
          <w:lang w:val="fr-CA"/>
        </w:rPr>
        <w:t xml:space="preserve">à la Banque </w:t>
      </w:r>
      <w:r w:rsidR="000B063D" w:rsidRPr="00B63BD5">
        <w:rPr>
          <w:lang w:val="fr-CA"/>
        </w:rPr>
        <w:t xml:space="preserve">les </w:t>
      </w:r>
      <w:r w:rsidR="0037638C" w:rsidRPr="00B63BD5">
        <w:rPr>
          <w:lang w:val="fr-CA"/>
        </w:rPr>
        <w:t xml:space="preserve">commissions et les </w:t>
      </w:r>
      <w:r w:rsidR="000B063D" w:rsidRPr="00B63BD5">
        <w:rPr>
          <w:lang w:val="fr-CA"/>
        </w:rPr>
        <w:t>frais suivants</w:t>
      </w:r>
      <w:r w:rsidR="00AC4107" w:rsidRPr="00B63BD5">
        <w:rPr>
          <w:lang w:val="fr-CA"/>
        </w:rPr>
        <w:t xml:space="preserve"> </w:t>
      </w:r>
      <w:r w:rsidR="000B063D" w:rsidRPr="00B63BD5">
        <w:rPr>
          <w:lang w:val="fr-CA"/>
        </w:rPr>
        <w:t>:</w:t>
      </w:r>
    </w:p>
    <w:p w14:paraId="40BC1333" w14:textId="3CF12093" w:rsidR="00555A44" w:rsidRPr="000B7739" w:rsidRDefault="00450A73" w:rsidP="000B7739">
      <w:pPr>
        <w:pStyle w:val="04LOLglNew3"/>
        <w:numPr>
          <w:ilvl w:val="2"/>
          <w:numId w:val="29"/>
        </w:numPr>
        <w:rPr>
          <w:lang w:val="fr-CA"/>
        </w:rPr>
      </w:pPr>
      <w:r w:rsidRPr="000B7739">
        <w:rPr>
          <w:lang w:val="fr-CA"/>
        </w:rPr>
        <w:t xml:space="preserve">des frais </w:t>
      </w:r>
      <w:r w:rsidR="004E10F8" w:rsidRPr="000B7739">
        <w:rPr>
          <w:lang w:val="fr-CA"/>
        </w:rPr>
        <w:t>d</w:t>
      </w:r>
      <w:r w:rsidR="00564B0C" w:rsidRPr="000B7739">
        <w:rPr>
          <w:lang w:val="fr-CA"/>
        </w:rPr>
        <w:t>’</w:t>
      </w:r>
      <w:r w:rsidR="004E10F8" w:rsidRPr="000B7739">
        <w:rPr>
          <w:lang w:val="fr-CA"/>
        </w:rPr>
        <w:t>établissement</w:t>
      </w:r>
      <w:r w:rsidRPr="000B7739">
        <w:rPr>
          <w:lang w:val="fr-CA"/>
        </w:rPr>
        <w:t xml:space="preserve"> et des frais </w:t>
      </w:r>
      <w:r w:rsidR="004E10F8" w:rsidRPr="000B7739">
        <w:rPr>
          <w:lang w:val="fr-CA"/>
        </w:rPr>
        <w:t>de gestion</w:t>
      </w:r>
      <w:r w:rsidRPr="000B7739">
        <w:rPr>
          <w:lang w:val="fr-CA"/>
        </w:rPr>
        <w:t xml:space="preserve"> </w:t>
      </w:r>
      <w:r w:rsidR="005267DB" w:rsidRPr="000B7739">
        <w:rPr>
          <w:lang w:val="fr-CA"/>
        </w:rPr>
        <w:t>d</w:t>
      </w:r>
      <w:r w:rsidR="00564B0C" w:rsidRPr="000B7739">
        <w:rPr>
          <w:lang w:val="fr-CA"/>
        </w:rPr>
        <w:t>’</w:t>
      </w:r>
      <w:r w:rsidR="005267DB" w:rsidRPr="000B7739">
        <w:rPr>
          <w:lang w:val="fr-CA"/>
        </w:rPr>
        <w:t xml:space="preserve">un montant global de </w:t>
      </w:r>
      <w:r w:rsidRPr="000B7739">
        <w:rPr>
          <w:lang w:val="fr-CA"/>
        </w:rPr>
        <w:t>●</w:t>
      </w:r>
      <w:r w:rsidR="00AB0594" w:rsidRPr="000B7739">
        <w:rPr>
          <w:lang w:val="fr-CA"/>
        </w:rPr>
        <w:t> </w:t>
      </w:r>
      <w:r w:rsidRPr="000B7739">
        <w:rPr>
          <w:lang w:val="fr-CA"/>
        </w:rPr>
        <w:t>$</w:t>
      </w:r>
      <w:r w:rsidR="00AC4107" w:rsidRPr="000B7739">
        <w:rPr>
          <w:lang w:val="fr-CA"/>
        </w:rPr>
        <w:t xml:space="preserve"> </w:t>
      </w:r>
      <w:r w:rsidRPr="000B7739">
        <w:rPr>
          <w:lang w:val="fr-CA"/>
        </w:rPr>
        <w:t>CA. Cette somme peut</w:t>
      </w:r>
      <w:r w:rsidR="003F57FA" w:rsidRPr="000B7739">
        <w:rPr>
          <w:lang w:val="fr-CA"/>
        </w:rPr>
        <w:t> </w:t>
      </w:r>
      <w:r w:rsidRPr="000B7739">
        <w:rPr>
          <w:lang w:val="fr-CA"/>
        </w:rPr>
        <w:t>être déduite de l</w:t>
      </w:r>
      <w:r w:rsidR="00C3328C" w:rsidRPr="000B7739">
        <w:rPr>
          <w:lang w:val="fr-CA"/>
        </w:rPr>
        <w:t xml:space="preserve">a </w:t>
      </w:r>
      <w:r w:rsidR="007F0E39" w:rsidRPr="000B7739">
        <w:rPr>
          <w:lang w:val="fr-CA"/>
        </w:rPr>
        <w:t>[</w:t>
      </w:r>
      <w:r w:rsidR="00C3328C" w:rsidRPr="000B7739">
        <w:rPr>
          <w:lang w:val="fr-CA"/>
        </w:rPr>
        <w:t>première</w:t>
      </w:r>
      <w:r w:rsidR="00B67E21" w:rsidRPr="000B7739">
        <w:rPr>
          <w:lang w:val="fr-CA"/>
        </w:rPr>
        <w:t xml:space="preserve"> </w:t>
      </w:r>
      <w:r w:rsidR="001934B0" w:rsidRPr="000B7739">
        <w:rPr>
          <w:b/>
          <w:color w:val="00B0F0"/>
          <w:highlight w:val="yellow"/>
          <w:lang w:val="fr-CA"/>
        </w:rPr>
        <w:t>OU</w:t>
      </w:r>
      <w:r w:rsidR="00B67E21" w:rsidRPr="000B7739">
        <w:rPr>
          <w:lang w:val="fr-CA"/>
        </w:rPr>
        <w:t xml:space="preserve"> </w:t>
      </w:r>
      <w:r w:rsidR="007F0E39" w:rsidRPr="000B7739">
        <w:rPr>
          <w:lang w:val="fr-CA"/>
        </w:rPr>
        <w:t xml:space="preserve">prochaine] </w:t>
      </w:r>
      <w:r w:rsidRPr="000B7739">
        <w:rPr>
          <w:lang w:val="fr-CA"/>
        </w:rPr>
        <w:t xml:space="preserve">avance </w:t>
      </w:r>
      <w:r w:rsidR="00C3328C" w:rsidRPr="000B7739">
        <w:rPr>
          <w:lang w:val="fr-CA"/>
        </w:rPr>
        <w:t>s</w:t>
      </w:r>
      <w:r w:rsidRPr="000B7739">
        <w:rPr>
          <w:lang w:val="fr-CA"/>
        </w:rPr>
        <w:t>ur l</w:t>
      </w:r>
      <w:r w:rsidR="007F0E39" w:rsidRPr="000B7739">
        <w:rPr>
          <w:lang w:val="fr-CA"/>
        </w:rPr>
        <w:t>a Facilité de prêt relative aux</w:t>
      </w:r>
      <w:r w:rsidR="003F57FA" w:rsidRPr="000B7739">
        <w:rPr>
          <w:lang w:val="fr-CA"/>
        </w:rPr>
        <w:t> </w:t>
      </w:r>
      <w:r w:rsidR="007F0E39" w:rsidRPr="000B7739">
        <w:rPr>
          <w:lang w:val="fr-CA"/>
        </w:rPr>
        <w:t>immobilisations</w:t>
      </w:r>
      <w:r w:rsidR="000B063D" w:rsidRPr="000B7739">
        <w:rPr>
          <w:lang w:val="fr-CA"/>
        </w:rPr>
        <w:t>;</w:t>
      </w:r>
    </w:p>
    <w:p w14:paraId="0A394F6A" w14:textId="12CBCC4C" w:rsidR="000B063D" w:rsidRPr="000B7739" w:rsidRDefault="00877DCF" w:rsidP="000B7739">
      <w:pPr>
        <w:pStyle w:val="04LOLglNew3"/>
        <w:numPr>
          <w:ilvl w:val="2"/>
          <w:numId w:val="29"/>
        </w:numPr>
        <w:rPr>
          <w:lang w:val="fr-CA"/>
        </w:rPr>
      </w:pPr>
      <w:r w:rsidRPr="000B7739">
        <w:rPr>
          <w:lang w:val="fr-CA"/>
        </w:rPr>
        <w:t xml:space="preserve">des frais </w:t>
      </w:r>
      <w:r w:rsidR="004E10F8" w:rsidRPr="000B7739">
        <w:rPr>
          <w:lang w:val="fr-CA"/>
        </w:rPr>
        <w:t>de gestion</w:t>
      </w:r>
      <w:r w:rsidRPr="000B7739">
        <w:rPr>
          <w:lang w:val="fr-CA"/>
        </w:rPr>
        <w:t xml:space="preserve"> de ●</w:t>
      </w:r>
      <w:r w:rsidR="00AB0594" w:rsidRPr="000B7739">
        <w:rPr>
          <w:lang w:val="fr-CA"/>
        </w:rPr>
        <w:t> </w:t>
      </w:r>
      <w:r w:rsidRPr="000B7739">
        <w:rPr>
          <w:lang w:val="fr-CA"/>
        </w:rPr>
        <w:t>$</w:t>
      </w:r>
      <w:r w:rsidR="00AC4107" w:rsidRPr="000B7739">
        <w:rPr>
          <w:lang w:val="fr-CA"/>
        </w:rPr>
        <w:t xml:space="preserve"> </w:t>
      </w:r>
      <w:r w:rsidRPr="000B7739">
        <w:rPr>
          <w:lang w:val="fr-CA"/>
        </w:rPr>
        <w:t>CA payables le premier Jour ouvrable de chaque mois à l</w:t>
      </w:r>
      <w:r w:rsidR="00564B0C" w:rsidRPr="000B7739">
        <w:rPr>
          <w:lang w:val="fr-CA"/>
        </w:rPr>
        <w:t>’</w:t>
      </w:r>
      <w:r w:rsidRPr="000B7739">
        <w:rPr>
          <w:lang w:val="fr-CA"/>
        </w:rPr>
        <w:t>égard du</w:t>
      </w:r>
      <w:r w:rsidR="003F57FA" w:rsidRPr="000B7739">
        <w:rPr>
          <w:lang w:val="fr-CA"/>
        </w:rPr>
        <w:t> </w:t>
      </w:r>
      <w:r w:rsidRPr="000B7739">
        <w:rPr>
          <w:lang w:val="fr-CA"/>
        </w:rPr>
        <w:t>mois</w:t>
      </w:r>
      <w:r w:rsidR="003F57FA" w:rsidRPr="000B7739">
        <w:rPr>
          <w:lang w:val="fr-CA"/>
        </w:rPr>
        <w:t> </w:t>
      </w:r>
      <w:r w:rsidRPr="000B7739">
        <w:rPr>
          <w:lang w:val="fr-CA"/>
        </w:rPr>
        <w:t>précédent;</w:t>
      </w:r>
    </w:p>
    <w:p w14:paraId="53A85EB6" w14:textId="1EC4EF7E" w:rsidR="007F0E39" w:rsidRPr="00B63BD5" w:rsidRDefault="007F0E39" w:rsidP="000B7739">
      <w:pPr>
        <w:pStyle w:val="04LOLglNew3"/>
        <w:rPr>
          <w:lang w:val="fr-CA"/>
        </w:rPr>
      </w:pPr>
      <w:r w:rsidRPr="00B63BD5">
        <w:rPr>
          <w:lang w:val="fr-CA"/>
        </w:rPr>
        <w:lastRenderedPageBreak/>
        <w:t xml:space="preserve">au moment où </w:t>
      </w:r>
      <w:r w:rsidR="000B063D" w:rsidRPr="00B63BD5">
        <w:rPr>
          <w:lang w:val="fr-CA"/>
        </w:rPr>
        <w:t>la Banque</w:t>
      </w:r>
      <w:r w:rsidRPr="00B63BD5">
        <w:rPr>
          <w:lang w:val="fr-CA"/>
        </w:rPr>
        <w:t xml:space="preserve"> accepte chaque Acceptation bancaire (y</w:t>
      </w:r>
      <w:r w:rsidR="00AC4107" w:rsidRPr="00B63BD5">
        <w:rPr>
          <w:lang w:val="fr-CA"/>
        </w:rPr>
        <w:t xml:space="preserve"> </w:t>
      </w:r>
      <w:r w:rsidRPr="00B63BD5">
        <w:rPr>
          <w:lang w:val="fr-CA"/>
        </w:rPr>
        <w:t>compris le renouvellement d</w:t>
      </w:r>
      <w:r w:rsidR="00564B0C" w:rsidRPr="00B63BD5">
        <w:rPr>
          <w:lang w:val="fr-CA"/>
        </w:rPr>
        <w:t>’</w:t>
      </w:r>
      <w:r w:rsidRPr="00B63BD5">
        <w:rPr>
          <w:lang w:val="fr-CA"/>
        </w:rPr>
        <w:t>une</w:t>
      </w:r>
      <w:r w:rsidR="003F57FA" w:rsidRPr="00B63BD5">
        <w:rPr>
          <w:lang w:val="fr-CA"/>
        </w:rPr>
        <w:t> </w:t>
      </w:r>
      <w:r w:rsidRPr="00B63BD5">
        <w:rPr>
          <w:lang w:val="fr-CA"/>
        </w:rPr>
        <w:t>telle acceptation), une Commission d</w:t>
      </w:r>
      <w:r w:rsidR="00564B0C" w:rsidRPr="00B63BD5">
        <w:rPr>
          <w:lang w:val="fr-CA"/>
        </w:rPr>
        <w:t>’</w:t>
      </w:r>
      <w:r w:rsidR="004E10F8" w:rsidRPr="00B63BD5">
        <w:rPr>
          <w:lang w:val="fr-CA"/>
        </w:rPr>
        <w:t>acceptation</w:t>
      </w:r>
      <w:r w:rsidRPr="00B63BD5">
        <w:rPr>
          <w:lang w:val="fr-CA"/>
        </w:rPr>
        <w:t xml:space="preserve"> </w:t>
      </w:r>
      <w:r w:rsidR="00877DCF" w:rsidRPr="00B63BD5">
        <w:rPr>
          <w:lang w:val="fr-CA"/>
        </w:rPr>
        <w:t>calculée en multipliant la valeur nominale de l</w:t>
      </w:r>
      <w:r w:rsidR="00564B0C" w:rsidRPr="00B63BD5">
        <w:rPr>
          <w:lang w:val="fr-CA"/>
        </w:rPr>
        <w:t>’</w:t>
      </w:r>
      <w:r w:rsidR="00877DCF" w:rsidRPr="00B63BD5">
        <w:rPr>
          <w:lang w:val="fr-CA"/>
        </w:rPr>
        <w:t>Acceptation bancaire</w:t>
      </w:r>
      <w:r w:rsidR="004E10F8" w:rsidRPr="00B63BD5">
        <w:rPr>
          <w:lang w:val="fr-CA"/>
        </w:rPr>
        <w:t xml:space="preserve"> par ●</w:t>
      </w:r>
      <w:r w:rsidR="00AB0594" w:rsidRPr="00B63BD5">
        <w:rPr>
          <w:lang w:val="fr-CA"/>
        </w:rPr>
        <w:t> </w:t>
      </w:r>
      <w:r w:rsidR="004E10F8" w:rsidRPr="00B63BD5">
        <w:rPr>
          <w:lang w:val="fr-CA"/>
        </w:rPr>
        <w:t>% par année</w:t>
      </w:r>
      <w:r w:rsidR="00877DCF" w:rsidRPr="00B63BD5">
        <w:rPr>
          <w:lang w:val="fr-CA"/>
        </w:rPr>
        <w:t>, puis en multipliant ce</w:t>
      </w:r>
      <w:r w:rsidR="0037638C" w:rsidRPr="00B63BD5">
        <w:rPr>
          <w:lang w:val="fr-CA"/>
        </w:rPr>
        <w:t xml:space="preserve"> produit</w:t>
      </w:r>
      <w:r w:rsidR="00877DCF" w:rsidRPr="00B63BD5">
        <w:rPr>
          <w:lang w:val="fr-CA"/>
        </w:rPr>
        <w:t xml:space="preserve"> par le nombre de</w:t>
      </w:r>
      <w:r w:rsidR="00AB0594" w:rsidRPr="00B63BD5">
        <w:rPr>
          <w:lang w:val="fr-CA"/>
        </w:rPr>
        <w:t xml:space="preserve"> </w:t>
      </w:r>
      <w:r w:rsidR="00877DCF" w:rsidRPr="00B63BD5">
        <w:rPr>
          <w:lang w:val="fr-CA"/>
        </w:rPr>
        <w:t>jours</w:t>
      </w:r>
      <w:r w:rsidR="00AB0594" w:rsidRPr="00B63BD5">
        <w:rPr>
          <w:lang w:val="fr-CA"/>
        </w:rPr>
        <w:t xml:space="preserve"> </w:t>
      </w:r>
      <w:r w:rsidR="004B25DA" w:rsidRPr="00B63BD5">
        <w:rPr>
          <w:lang w:val="fr-CA"/>
        </w:rPr>
        <w:t>compris</w:t>
      </w:r>
      <w:r w:rsidR="00877DCF" w:rsidRPr="00B63BD5">
        <w:rPr>
          <w:lang w:val="fr-CA"/>
        </w:rPr>
        <w:t xml:space="preserve"> dans </w:t>
      </w:r>
      <w:r w:rsidR="00B31E0D" w:rsidRPr="00B63BD5">
        <w:rPr>
          <w:lang w:val="fr-CA"/>
        </w:rPr>
        <w:t>le terme</w:t>
      </w:r>
      <w:r w:rsidR="00877DCF" w:rsidRPr="00B63BD5">
        <w:rPr>
          <w:lang w:val="fr-CA"/>
        </w:rPr>
        <w:t xml:space="preserve"> de l</w:t>
      </w:r>
      <w:r w:rsidR="00564B0C" w:rsidRPr="00B63BD5">
        <w:rPr>
          <w:lang w:val="fr-CA"/>
        </w:rPr>
        <w:t>’</w:t>
      </w:r>
      <w:r w:rsidR="00877DCF" w:rsidRPr="00B63BD5">
        <w:rPr>
          <w:lang w:val="fr-CA"/>
        </w:rPr>
        <w:t xml:space="preserve">Acceptation bancaire, </w:t>
      </w:r>
      <w:r w:rsidR="0037638C" w:rsidRPr="00B63BD5">
        <w:rPr>
          <w:lang w:val="fr-CA"/>
        </w:rPr>
        <w:t>puis en divisant ce produit</w:t>
      </w:r>
      <w:r w:rsidR="00877DCF" w:rsidRPr="00B63BD5">
        <w:rPr>
          <w:lang w:val="fr-CA"/>
        </w:rPr>
        <w:t xml:space="preserve"> par</w:t>
      </w:r>
      <w:r w:rsidR="00AB0594" w:rsidRPr="00B63BD5">
        <w:rPr>
          <w:lang w:val="fr-CA"/>
        </w:rPr>
        <w:t xml:space="preserve"> </w:t>
      </w:r>
      <w:r w:rsidR="00877DCF" w:rsidRPr="00B63BD5">
        <w:rPr>
          <w:lang w:val="fr-CA"/>
        </w:rPr>
        <w:t>365</w:t>
      </w:r>
      <w:r w:rsidR="003F57FA" w:rsidRPr="00B63BD5">
        <w:rPr>
          <w:lang w:val="fr-CA"/>
        </w:rPr>
        <w:t> </w:t>
      </w:r>
      <w:r w:rsidR="00877DCF" w:rsidRPr="00B63BD5">
        <w:rPr>
          <w:lang w:val="fr-CA"/>
        </w:rPr>
        <w:t>jours</w:t>
      </w:r>
      <w:r w:rsidR="003F57FA" w:rsidRPr="00B63BD5">
        <w:rPr>
          <w:lang w:val="fr-CA"/>
        </w:rPr>
        <w:t> </w:t>
      </w:r>
      <w:r w:rsidR="00877DCF" w:rsidRPr="00B63BD5">
        <w:rPr>
          <w:lang w:val="fr-CA"/>
        </w:rPr>
        <w:t>pour</w:t>
      </w:r>
      <w:r w:rsidR="00AB0594" w:rsidRPr="00B63BD5">
        <w:rPr>
          <w:lang w:val="fr-CA"/>
        </w:rPr>
        <w:t xml:space="preserve"> </w:t>
      </w:r>
      <w:r w:rsidR="00877DCF" w:rsidRPr="00B63BD5">
        <w:rPr>
          <w:lang w:val="fr-CA"/>
        </w:rPr>
        <w:t>les</w:t>
      </w:r>
      <w:r w:rsidR="00AB0594" w:rsidRPr="00B63BD5">
        <w:rPr>
          <w:lang w:val="fr-CA"/>
        </w:rPr>
        <w:t xml:space="preserve"> </w:t>
      </w:r>
      <w:r w:rsidR="00877DCF" w:rsidRPr="00B63BD5">
        <w:rPr>
          <w:lang w:val="fr-CA"/>
        </w:rPr>
        <w:t>Acceptations bancaires libellées en Dollars canadiens ou par 360</w:t>
      </w:r>
      <w:r w:rsidR="00AB0594" w:rsidRPr="00B63BD5">
        <w:rPr>
          <w:lang w:val="fr-CA"/>
        </w:rPr>
        <w:t> </w:t>
      </w:r>
      <w:r w:rsidR="00877DCF" w:rsidRPr="00B63BD5">
        <w:rPr>
          <w:lang w:val="fr-CA"/>
        </w:rPr>
        <w:t>jours</w:t>
      </w:r>
      <w:r w:rsidR="00AC4107" w:rsidRPr="00B63BD5">
        <w:rPr>
          <w:lang w:val="fr-CA"/>
        </w:rPr>
        <w:t xml:space="preserve"> </w:t>
      </w:r>
      <w:r w:rsidR="00877DCF" w:rsidRPr="00B63BD5">
        <w:rPr>
          <w:lang w:val="fr-CA"/>
        </w:rPr>
        <w:t>pour</w:t>
      </w:r>
      <w:r w:rsidR="00AB0594" w:rsidRPr="00B63BD5">
        <w:rPr>
          <w:lang w:val="fr-CA"/>
        </w:rPr>
        <w:t xml:space="preserve"> </w:t>
      </w:r>
      <w:r w:rsidR="00877DCF" w:rsidRPr="00B63BD5">
        <w:rPr>
          <w:lang w:val="fr-CA"/>
        </w:rPr>
        <w:t>les</w:t>
      </w:r>
      <w:r w:rsidR="00AB0594" w:rsidRPr="00B63BD5">
        <w:rPr>
          <w:lang w:val="fr-CA"/>
        </w:rPr>
        <w:t xml:space="preserve"> </w:t>
      </w:r>
      <w:r w:rsidR="00877DCF" w:rsidRPr="00B63BD5">
        <w:rPr>
          <w:lang w:val="fr-CA"/>
        </w:rPr>
        <w:t>Acceptations</w:t>
      </w:r>
      <w:r w:rsidR="00AB0594" w:rsidRPr="00B63BD5">
        <w:rPr>
          <w:lang w:val="fr-CA"/>
        </w:rPr>
        <w:t xml:space="preserve"> </w:t>
      </w:r>
      <w:r w:rsidR="00877DCF" w:rsidRPr="00B63BD5">
        <w:rPr>
          <w:lang w:val="fr-CA"/>
        </w:rPr>
        <w:t>bancaires libellées en Dollars</w:t>
      </w:r>
      <w:r w:rsidR="00363F9D" w:rsidRPr="00B63BD5">
        <w:rPr>
          <w:lang w:val="fr-CA"/>
        </w:rPr>
        <w:t> </w:t>
      </w:r>
      <w:r w:rsidR="00877DCF" w:rsidRPr="00B63BD5">
        <w:rPr>
          <w:lang w:val="fr-CA"/>
        </w:rPr>
        <w:t>américains, qui</w:t>
      </w:r>
      <w:r w:rsidR="00EF314F" w:rsidRPr="00B63BD5">
        <w:rPr>
          <w:lang w:val="fr-CA"/>
        </w:rPr>
        <w:t xml:space="preserve"> peut</w:t>
      </w:r>
      <w:r w:rsidR="00877DCF" w:rsidRPr="00B63BD5">
        <w:rPr>
          <w:lang w:val="fr-CA"/>
        </w:rPr>
        <w:t xml:space="preserve"> </w:t>
      </w:r>
      <w:r w:rsidR="000D0E47" w:rsidRPr="00B63BD5">
        <w:rPr>
          <w:lang w:val="fr-CA"/>
        </w:rPr>
        <w:t>ê</w:t>
      </w:r>
      <w:r w:rsidR="00877DCF" w:rsidRPr="00B63BD5">
        <w:rPr>
          <w:lang w:val="fr-CA"/>
        </w:rPr>
        <w:t>tre facturée au compte [</w:t>
      </w:r>
      <w:r w:rsidR="0037638C" w:rsidRPr="00B63BD5">
        <w:rPr>
          <w:lang w:val="fr-CA"/>
        </w:rPr>
        <w:t>de</w:t>
      </w:r>
      <w:r w:rsidR="00AB0594" w:rsidRPr="00B63BD5">
        <w:rPr>
          <w:lang w:val="fr-CA"/>
        </w:rPr>
        <w:t xml:space="preserve"> </w:t>
      </w:r>
      <w:r w:rsidR="00877DCF" w:rsidRPr="00B63BD5">
        <w:rPr>
          <w:lang w:val="fr-CA"/>
        </w:rPr>
        <w:t>●</w:t>
      </w:r>
      <w:r w:rsidR="003F57FA" w:rsidRPr="00B63BD5">
        <w:rPr>
          <w:lang w:val="fr-CA"/>
        </w:rPr>
        <w:t> </w:t>
      </w:r>
      <w:r w:rsidR="00877DCF" w:rsidRPr="00B63BD5">
        <w:rPr>
          <w:rStyle w:val="Prompt"/>
          <w:b/>
          <w:color w:val="00B0F0"/>
          <w:szCs w:val="20"/>
          <w:highlight w:val="yellow"/>
          <w:lang w:val="fr-CA"/>
        </w:rPr>
        <w:t>OU</w:t>
      </w:r>
      <w:r w:rsidR="003F57FA" w:rsidRPr="00B63BD5">
        <w:rPr>
          <w:lang w:val="fr-CA"/>
        </w:rPr>
        <w:t> </w:t>
      </w:r>
      <w:r w:rsidR="00877DCF" w:rsidRPr="00B63BD5">
        <w:rPr>
          <w:lang w:val="fr-CA"/>
        </w:rPr>
        <w:t>de</w:t>
      </w:r>
      <w:r w:rsidR="003F57FA" w:rsidRPr="00B63BD5">
        <w:rPr>
          <w:lang w:val="fr-CA"/>
        </w:rPr>
        <w:t> </w:t>
      </w:r>
      <w:r w:rsidR="00877DCF" w:rsidRPr="00B63BD5">
        <w:rPr>
          <w:lang w:val="fr-CA"/>
        </w:rPr>
        <w:t>l</w:t>
      </w:r>
      <w:r w:rsidR="00564B0C" w:rsidRPr="00B63BD5">
        <w:rPr>
          <w:lang w:val="fr-CA"/>
        </w:rPr>
        <w:t>’</w:t>
      </w:r>
      <w:r w:rsidR="00877DCF" w:rsidRPr="00B63BD5">
        <w:rPr>
          <w:lang w:val="fr-CA"/>
        </w:rPr>
        <w:t>Emprunteur qui demande l</w:t>
      </w:r>
      <w:r w:rsidR="00564B0C" w:rsidRPr="00B63BD5">
        <w:rPr>
          <w:lang w:val="fr-CA"/>
        </w:rPr>
        <w:t>’</w:t>
      </w:r>
      <w:r w:rsidR="00877DCF" w:rsidRPr="00B63BD5">
        <w:rPr>
          <w:lang w:val="fr-CA"/>
        </w:rPr>
        <w:t>Acceptation</w:t>
      </w:r>
      <w:r w:rsidR="00363F9D" w:rsidRPr="00B63BD5">
        <w:rPr>
          <w:lang w:val="fr-CA"/>
        </w:rPr>
        <w:t> </w:t>
      </w:r>
      <w:r w:rsidR="00877DCF" w:rsidRPr="00B63BD5">
        <w:rPr>
          <w:lang w:val="fr-CA"/>
        </w:rPr>
        <w:t>bancaire];</w:t>
      </w:r>
    </w:p>
    <w:p w14:paraId="7D4657B6" w14:textId="04A839C0" w:rsidR="00877DCF" w:rsidRPr="00B63BD5" w:rsidRDefault="00877DCF" w:rsidP="000B7739">
      <w:pPr>
        <w:pStyle w:val="04LOLglNew3"/>
        <w:rPr>
          <w:lang w:val="fr-CA"/>
        </w:rPr>
      </w:pPr>
      <w:r w:rsidRPr="00B63BD5">
        <w:rPr>
          <w:lang w:val="fr-CA"/>
        </w:rPr>
        <w:t>une commission d</w:t>
      </w:r>
      <w:r w:rsidR="00564B0C" w:rsidRPr="00B63BD5">
        <w:rPr>
          <w:lang w:val="fr-CA"/>
        </w:rPr>
        <w:t>’</w:t>
      </w:r>
      <w:r w:rsidR="004E10F8" w:rsidRPr="00B63BD5">
        <w:rPr>
          <w:lang w:val="fr-CA"/>
        </w:rPr>
        <w:t>engagement</w:t>
      </w:r>
      <w:r w:rsidRPr="00B63BD5">
        <w:rPr>
          <w:lang w:val="fr-CA"/>
        </w:rPr>
        <w:t xml:space="preserve"> correspondant à ●</w:t>
      </w:r>
      <w:r w:rsidR="00AB0594" w:rsidRPr="00B63BD5">
        <w:rPr>
          <w:lang w:val="fr-CA"/>
        </w:rPr>
        <w:t> </w:t>
      </w:r>
      <w:r w:rsidRPr="00B63BD5">
        <w:rPr>
          <w:lang w:val="fr-CA"/>
        </w:rPr>
        <w:t xml:space="preserve">% par année de la tranche inutilisée quotidienne </w:t>
      </w:r>
      <w:r w:rsidR="003F3577" w:rsidRPr="00B63BD5">
        <w:rPr>
          <w:lang w:val="fr-CA"/>
        </w:rPr>
        <w:t>du montant</w:t>
      </w:r>
      <w:r w:rsidRPr="00B63BD5">
        <w:rPr>
          <w:lang w:val="fr-CA"/>
        </w:rPr>
        <w:t xml:space="preserve"> disponible </w:t>
      </w:r>
      <w:r w:rsidR="003F3577" w:rsidRPr="00B63BD5">
        <w:rPr>
          <w:lang w:val="fr-CA"/>
        </w:rPr>
        <w:t xml:space="preserve">de la Facilité de prêt relative aux immobilisations </w:t>
      </w:r>
      <w:r w:rsidRPr="00B63BD5">
        <w:rPr>
          <w:lang w:val="fr-CA"/>
        </w:rPr>
        <w:t>(sans tenir compte de</w:t>
      </w:r>
      <w:r w:rsidR="003F57FA" w:rsidRPr="00B63BD5">
        <w:rPr>
          <w:lang w:val="fr-CA"/>
        </w:rPr>
        <w:t> </w:t>
      </w:r>
      <w:r w:rsidRPr="00B63BD5">
        <w:rPr>
          <w:lang w:val="fr-CA"/>
        </w:rPr>
        <w:t>l</w:t>
      </w:r>
      <w:r w:rsidR="00564B0C" w:rsidRPr="00B63BD5">
        <w:rPr>
          <w:lang w:val="fr-CA"/>
        </w:rPr>
        <w:t>’</w:t>
      </w:r>
      <w:r w:rsidRPr="00B63BD5">
        <w:rPr>
          <w:lang w:val="fr-CA"/>
        </w:rPr>
        <w:t>effet des Exigences relatives à</w:t>
      </w:r>
      <w:r w:rsidR="004B25DA" w:rsidRPr="00B63BD5">
        <w:rPr>
          <w:lang w:val="fr-CA"/>
        </w:rPr>
        <w:t xml:space="preserve"> la</w:t>
      </w:r>
      <w:r w:rsidRPr="00B63BD5">
        <w:rPr>
          <w:lang w:val="fr-CA"/>
        </w:rPr>
        <w:t xml:space="preserve"> marge), calculée mensuellement à terme échu le dernier Jour ouvrable de chaque mois et payable le premier Jour ouvrable du mois suivant;</w:t>
      </w:r>
    </w:p>
    <w:p w14:paraId="0E9FDB07" w14:textId="0B3DFD61" w:rsidR="00877DCF" w:rsidRPr="00B63BD5" w:rsidRDefault="00877DCF" w:rsidP="000B7739">
      <w:pPr>
        <w:pStyle w:val="04LOLglNew3"/>
        <w:rPr>
          <w:lang w:val="fr-CA"/>
        </w:rPr>
      </w:pPr>
      <w:r w:rsidRPr="00B63BD5">
        <w:rPr>
          <w:lang w:val="fr-CA"/>
        </w:rPr>
        <w:t>des frais de modification de ●</w:t>
      </w:r>
      <w:r w:rsidR="00AB0594" w:rsidRPr="00B63BD5">
        <w:rPr>
          <w:lang w:val="fr-CA"/>
        </w:rPr>
        <w:t> </w:t>
      </w:r>
      <w:r w:rsidRPr="00B63BD5">
        <w:rPr>
          <w:lang w:val="fr-CA"/>
        </w:rPr>
        <w:t>$</w:t>
      </w:r>
      <w:r w:rsidR="00AC4107" w:rsidRPr="00B63BD5">
        <w:rPr>
          <w:lang w:val="fr-CA"/>
        </w:rPr>
        <w:t xml:space="preserve"> </w:t>
      </w:r>
      <w:r w:rsidRPr="00B63BD5">
        <w:rPr>
          <w:lang w:val="fr-CA"/>
        </w:rPr>
        <w:t>CA payables si l</w:t>
      </w:r>
      <w:r w:rsidR="00564B0C" w:rsidRPr="00B63BD5">
        <w:rPr>
          <w:lang w:val="fr-CA"/>
        </w:rPr>
        <w:t>’</w:t>
      </w:r>
      <w:r w:rsidRPr="00B63BD5">
        <w:rPr>
          <w:lang w:val="fr-CA"/>
        </w:rPr>
        <w:t>Emprunteur demande de modifier la présente Lettre</w:t>
      </w:r>
      <w:r w:rsidR="00363F9D" w:rsidRPr="00B63BD5">
        <w:rPr>
          <w:lang w:val="fr-CA"/>
        </w:rPr>
        <w:t> </w:t>
      </w:r>
      <w:r w:rsidRPr="00B63BD5">
        <w:rPr>
          <w:lang w:val="fr-CA"/>
        </w:rPr>
        <w:t>relative aux facilités;</w:t>
      </w:r>
    </w:p>
    <w:p w14:paraId="25A26367" w14:textId="75987D6D" w:rsidR="00877DCF" w:rsidRPr="00B63BD5" w:rsidRDefault="00877DCF" w:rsidP="000B7739">
      <w:pPr>
        <w:pStyle w:val="04LOLglNew3"/>
        <w:rPr>
          <w:lang w:val="fr-CA"/>
        </w:rPr>
      </w:pPr>
      <w:r w:rsidRPr="00B63BD5">
        <w:rPr>
          <w:lang w:val="fr-CA"/>
        </w:rPr>
        <w:t xml:space="preserve">des frais de </w:t>
      </w:r>
      <w:r w:rsidR="004E10F8" w:rsidRPr="00B63BD5">
        <w:rPr>
          <w:lang w:val="fr-CA"/>
        </w:rPr>
        <w:t>soumission</w:t>
      </w:r>
      <w:r w:rsidR="00EF314F" w:rsidRPr="00B63BD5">
        <w:rPr>
          <w:lang w:val="fr-CA"/>
        </w:rPr>
        <w:t xml:space="preserve"> tardive</w:t>
      </w:r>
      <w:r w:rsidRPr="00B63BD5">
        <w:rPr>
          <w:lang w:val="fr-CA"/>
        </w:rPr>
        <w:t xml:space="preserve"> de ●</w:t>
      </w:r>
      <w:r w:rsidR="00AB0594" w:rsidRPr="00B63BD5">
        <w:rPr>
          <w:lang w:val="fr-CA"/>
        </w:rPr>
        <w:t> </w:t>
      </w:r>
      <w:r w:rsidRPr="00B63BD5">
        <w:rPr>
          <w:lang w:val="fr-CA"/>
        </w:rPr>
        <w:t>$</w:t>
      </w:r>
      <w:r w:rsidR="00AC4107" w:rsidRPr="00B63BD5">
        <w:rPr>
          <w:lang w:val="fr-CA"/>
        </w:rPr>
        <w:t xml:space="preserve"> </w:t>
      </w:r>
      <w:r w:rsidRPr="00B63BD5">
        <w:rPr>
          <w:lang w:val="fr-CA"/>
        </w:rPr>
        <w:t xml:space="preserve">CA imputés [hebdomadairement </w:t>
      </w:r>
      <w:r w:rsidRPr="00B63BD5">
        <w:rPr>
          <w:rStyle w:val="Prompt"/>
          <w:b/>
          <w:color w:val="00B0F0"/>
          <w:szCs w:val="20"/>
          <w:highlight w:val="yellow"/>
          <w:lang w:val="fr-CA"/>
        </w:rPr>
        <w:t>OU</w:t>
      </w:r>
      <w:r w:rsidRPr="00B63BD5">
        <w:rPr>
          <w:lang w:val="fr-CA"/>
        </w:rPr>
        <w:t xml:space="preserve"> mensuellement] si</w:t>
      </w:r>
      <w:r w:rsidR="003F57FA" w:rsidRPr="00B63BD5">
        <w:rPr>
          <w:lang w:val="fr-CA"/>
        </w:rPr>
        <w:t> </w:t>
      </w:r>
      <w:r w:rsidRPr="00B63BD5">
        <w:rPr>
          <w:lang w:val="fr-CA"/>
        </w:rPr>
        <w:t>l</w:t>
      </w:r>
      <w:r w:rsidR="00564B0C" w:rsidRPr="00B63BD5">
        <w:rPr>
          <w:lang w:val="fr-CA"/>
        </w:rPr>
        <w:t>’</w:t>
      </w:r>
      <w:r w:rsidRPr="00B63BD5">
        <w:rPr>
          <w:lang w:val="fr-CA"/>
        </w:rPr>
        <w:t>Emprunteur ne produit pas les rapports financiers requis aux termes de la présente Lettre</w:t>
      </w:r>
      <w:r w:rsidR="003F57FA" w:rsidRPr="00B63BD5">
        <w:rPr>
          <w:lang w:val="fr-CA"/>
        </w:rPr>
        <w:t> </w:t>
      </w:r>
      <w:r w:rsidRPr="00B63BD5">
        <w:rPr>
          <w:lang w:val="fr-CA"/>
        </w:rPr>
        <w:t>relative aux facilités dans le délai stipulé;</w:t>
      </w:r>
    </w:p>
    <w:p w14:paraId="61CC214F" w14:textId="0F223519" w:rsidR="00877DCF" w:rsidRPr="00B63BD5" w:rsidRDefault="00877DCF" w:rsidP="000B7739">
      <w:pPr>
        <w:pStyle w:val="04LOLglNew3"/>
        <w:rPr>
          <w:lang w:val="fr-CA"/>
        </w:rPr>
      </w:pPr>
      <w:r w:rsidRPr="00B63BD5">
        <w:rPr>
          <w:lang w:val="fr-CA"/>
        </w:rPr>
        <w:t>des frais d</w:t>
      </w:r>
      <w:r w:rsidR="00564B0C" w:rsidRPr="00B63BD5">
        <w:rPr>
          <w:lang w:val="fr-CA"/>
        </w:rPr>
        <w:t>’</w:t>
      </w:r>
      <w:r w:rsidRPr="00B63BD5">
        <w:rPr>
          <w:lang w:val="fr-CA"/>
        </w:rPr>
        <w:t>examen annuels [de ●</w:t>
      </w:r>
      <w:r w:rsidR="00AB0594" w:rsidRPr="00B63BD5">
        <w:rPr>
          <w:lang w:val="fr-CA"/>
        </w:rPr>
        <w:t> </w:t>
      </w:r>
      <w:r w:rsidRPr="00B63BD5">
        <w:rPr>
          <w:lang w:val="fr-CA"/>
        </w:rPr>
        <w:t>$</w:t>
      </w:r>
      <w:r w:rsidR="00AC4107" w:rsidRPr="00B63BD5">
        <w:rPr>
          <w:lang w:val="fr-CA"/>
        </w:rPr>
        <w:t xml:space="preserve"> </w:t>
      </w:r>
      <w:r w:rsidRPr="00B63BD5">
        <w:rPr>
          <w:lang w:val="fr-CA"/>
        </w:rPr>
        <w:t xml:space="preserve">CA </w:t>
      </w:r>
      <w:r w:rsidRPr="00B63BD5">
        <w:rPr>
          <w:rStyle w:val="Prompt"/>
          <w:b/>
          <w:color w:val="00B0F0"/>
          <w:szCs w:val="20"/>
          <w:highlight w:val="yellow"/>
          <w:lang w:val="fr-CA"/>
        </w:rPr>
        <w:t>OU</w:t>
      </w:r>
      <w:r w:rsidR="0037638C" w:rsidRPr="00B63BD5">
        <w:rPr>
          <w:lang w:val="fr-CA"/>
        </w:rPr>
        <w:t xml:space="preserve"> correspondant à </w:t>
      </w:r>
      <w:r w:rsidRPr="00B63BD5">
        <w:rPr>
          <w:lang w:val="fr-CA"/>
        </w:rPr>
        <w:t>●</w:t>
      </w:r>
      <w:r w:rsidR="00AB0594" w:rsidRPr="00B63BD5">
        <w:rPr>
          <w:lang w:val="fr-CA"/>
        </w:rPr>
        <w:t> </w:t>
      </w:r>
      <w:r w:rsidRPr="00B63BD5">
        <w:rPr>
          <w:lang w:val="fr-CA"/>
        </w:rPr>
        <w:t>% du montant global [des</w:t>
      </w:r>
      <w:r w:rsidR="00363F9D" w:rsidRPr="00B63BD5">
        <w:rPr>
          <w:lang w:val="fr-CA"/>
        </w:rPr>
        <w:t> </w:t>
      </w:r>
      <w:r w:rsidRPr="00B63BD5">
        <w:rPr>
          <w:lang w:val="fr-CA"/>
        </w:rPr>
        <w:t xml:space="preserve">Facilités de crédit </w:t>
      </w:r>
      <w:r w:rsidRPr="00B63BD5">
        <w:rPr>
          <w:rStyle w:val="Prompt"/>
          <w:b/>
          <w:color w:val="00B0F0"/>
          <w:szCs w:val="20"/>
          <w:highlight w:val="yellow"/>
          <w:lang w:val="fr-CA"/>
        </w:rPr>
        <w:t>OU</w:t>
      </w:r>
      <w:r w:rsidRPr="00B63BD5">
        <w:rPr>
          <w:rStyle w:val="Prompt"/>
          <w:color w:val="00B0F0"/>
          <w:szCs w:val="20"/>
          <w:lang w:val="fr-CA"/>
        </w:rPr>
        <w:t xml:space="preserve"> </w:t>
      </w:r>
      <w:r w:rsidRPr="00B63BD5">
        <w:rPr>
          <w:lang w:val="fr-CA"/>
        </w:rPr>
        <w:t>de la Facilité de prêt relative aux immobilisations] autorisée[s].</w:t>
      </w:r>
    </w:p>
    <w:p w14:paraId="6F26CB0F" w14:textId="0BE4B08C" w:rsidR="009926E7" w:rsidRPr="00B63BD5" w:rsidRDefault="003E5AE6" w:rsidP="009027EF">
      <w:pPr>
        <w:pStyle w:val="04LOLglNew1"/>
        <w:rPr>
          <w:lang w:val="fr-CA"/>
        </w:rPr>
      </w:pPr>
      <w:r w:rsidRPr="00B63BD5">
        <w:rPr>
          <w:lang w:val="fr-CA"/>
        </w:rPr>
        <w:t>Facilité de crédit à l</w:t>
      </w:r>
      <w:r w:rsidR="00564B0C" w:rsidRPr="00B63BD5">
        <w:rPr>
          <w:lang w:val="fr-CA"/>
        </w:rPr>
        <w:t>’</w:t>
      </w:r>
      <w:r w:rsidRPr="00B63BD5">
        <w:rPr>
          <w:lang w:val="fr-CA"/>
        </w:rPr>
        <w:t>importation</w:t>
      </w:r>
    </w:p>
    <w:p w14:paraId="3E48E5DA" w14:textId="0CA27AF8" w:rsidR="007F0E39" w:rsidRPr="00B63BD5" w:rsidRDefault="007F0E39" w:rsidP="00632863">
      <w:pPr>
        <w:spacing w:after="240"/>
        <w:jc w:val="both"/>
        <w:rPr>
          <w:b/>
          <w:color w:val="00B0F0"/>
          <w:lang w:val="fr-CA"/>
        </w:rPr>
      </w:pPr>
      <w:r w:rsidRPr="00B63BD5">
        <w:rPr>
          <w:b/>
          <w:color w:val="00B0F0"/>
          <w:lang w:val="fr-CA"/>
        </w:rPr>
        <w:t xml:space="preserve">[N.B. : Utiliser le texte suivant </w:t>
      </w:r>
      <w:r w:rsidRPr="00B63BD5">
        <w:rPr>
          <w:b/>
          <w:color w:val="00B0F0"/>
          <w:u w:val="single"/>
          <w:lang w:val="fr-CA"/>
        </w:rPr>
        <w:t>seulement</w:t>
      </w:r>
      <w:r w:rsidRPr="00B63BD5">
        <w:rPr>
          <w:b/>
          <w:color w:val="00B0F0"/>
          <w:lang w:val="fr-CA"/>
        </w:rPr>
        <w:t xml:space="preserve"> s</w:t>
      </w:r>
      <w:r w:rsidR="00564B0C" w:rsidRPr="00B63BD5">
        <w:rPr>
          <w:b/>
          <w:color w:val="00B0F0"/>
          <w:lang w:val="fr-CA"/>
        </w:rPr>
        <w:t>’</w:t>
      </w:r>
      <w:r w:rsidRPr="00B63BD5">
        <w:rPr>
          <w:b/>
          <w:color w:val="00B0F0"/>
          <w:lang w:val="fr-CA"/>
        </w:rPr>
        <w:t>il existe une Facilité de crédit à l</w:t>
      </w:r>
      <w:r w:rsidR="00564B0C" w:rsidRPr="00B63BD5">
        <w:rPr>
          <w:b/>
          <w:color w:val="00B0F0"/>
          <w:lang w:val="fr-CA"/>
        </w:rPr>
        <w:t>’</w:t>
      </w:r>
      <w:r w:rsidRPr="00B63BD5">
        <w:rPr>
          <w:b/>
          <w:color w:val="00B0F0"/>
          <w:lang w:val="fr-CA"/>
        </w:rPr>
        <w:t>importation autonome. Supprimer le présent article</w:t>
      </w:r>
      <w:r w:rsidR="00B056F9" w:rsidRPr="00B63BD5">
        <w:rPr>
          <w:b/>
          <w:color w:val="00B0F0"/>
          <w:lang w:val="fr-CA"/>
        </w:rPr>
        <w:t> </w:t>
      </w:r>
      <w:r w:rsidRPr="00B63BD5">
        <w:rPr>
          <w:b/>
          <w:color w:val="00B0F0"/>
          <w:lang w:val="fr-CA"/>
        </w:rPr>
        <w:t>3 s</w:t>
      </w:r>
      <w:r w:rsidR="00564B0C" w:rsidRPr="00B63BD5">
        <w:rPr>
          <w:b/>
          <w:color w:val="00B0F0"/>
          <w:lang w:val="fr-CA"/>
        </w:rPr>
        <w:t>’</w:t>
      </w:r>
      <w:r w:rsidRPr="00B63BD5">
        <w:rPr>
          <w:b/>
          <w:color w:val="00B0F0"/>
          <w:lang w:val="fr-CA"/>
        </w:rPr>
        <w:t>il ne s</w:t>
      </w:r>
      <w:r w:rsidR="00564B0C" w:rsidRPr="00B63BD5">
        <w:rPr>
          <w:b/>
          <w:color w:val="00B0F0"/>
          <w:lang w:val="fr-CA"/>
        </w:rPr>
        <w:t>’</w:t>
      </w:r>
      <w:r w:rsidRPr="00B63BD5">
        <w:rPr>
          <w:b/>
          <w:color w:val="00B0F0"/>
          <w:lang w:val="fr-CA"/>
        </w:rPr>
        <w:t>applique pas ou si la Facilité de crédit à l</w:t>
      </w:r>
      <w:r w:rsidR="00564B0C" w:rsidRPr="00B63BD5">
        <w:rPr>
          <w:b/>
          <w:color w:val="00B0F0"/>
          <w:lang w:val="fr-CA"/>
        </w:rPr>
        <w:t>’</w:t>
      </w:r>
      <w:r w:rsidRPr="00B63BD5">
        <w:rPr>
          <w:b/>
          <w:color w:val="00B0F0"/>
          <w:lang w:val="fr-CA"/>
        </w:rPr>
        <w:t>importation est</w:t>
      </w:r>
      <w:r w:rsidR="003F57FA" w:rsidRPr="00B63BD5">
        <w:rPr>
          <w:b/>
          <w:color w:val="00B0F0"/>
          <w:lang w:val="fr-CA"/>
        </w:rPr>
        <w:t> </w:t>
      </w:r>
      <w:r w:rsidRPr="00B63BD5">
        <w:rPr>
          <w:b/>
          <w:color w:val="00B0F0"/>
          <w:lang w:val="fr-CA"/>
        </w:rPr>
        <w:t>comprise dans la Facilité de crédit à l</w:t>
      </w:r>
      <w:r w:rsidR="00564B0C" w:rsidRPr="00B63BD5">
        <w:rPr>
          <w:b/>
          <w:color w:val="00B0F0"/>
          <w:lang w:val="fr-CA"/>
        </w:rPr>
        <w:t>’</w:t>
      </w:r>
      <w:r w:rsidRPr="00B63BD5">
        <w:rPr>
          <w:b/>
          <w:color w:val="00B0F0"/>
          <w:lang w:val="fr-CA"/>
        </w:rPr>
        <w:t>exploitation prévue au paragraphe</w:t>
      </w:r>
      <w:r w:rsidR="00B056F9" w:rsidRPr="00B63BD5">
        <w:rPr>
          <w:b/>
          <w:color w:val="00B0F0"/>
          <w:lang w:val="fr-CA"/>
        </w:rPr>
        <w:t> </w:t>
      </w:r>
      <w:r w:rsidRPr="00B63BD5">
        <w:rPr>
          <w:b/>
          <w:color w:val="00B0F0"/>
          <w:lang w:val="fr-CA"/>
        </w:rPr>
        <w:fldChar w:fldCharType="begin"/>
      </w:r>
      <w:r w:rsidRPr="00B63BD5">
        <w:rPr>
          <w:b/>
          <w:color w:val="00B0F0"/>
          <w:lang w:val="fr-CA"/>
        </w:rPr>
        <w:instrText xml:space="preserve"> REF _Ref476227790 \r \h </w:instrText>
      </w:r>
      <w:r w:rsidR="00F827C2" w:rsidRPr="00B63BD5">
        <w:rPr>
          <w:b/>
          <w:color w:val="00B0F0"/>
          <w:lang w:val="fr-CA"/>
        </w:rPr>
        <w:instrText xml:space="preserve"> \* MERGEFORMAT </w:instrText>
      </w:r>
      <w:r w:rsidRPr="00B63BD5">
        <w:rPr>
          <w:b/>
          <w:color w:val="00B0F0"/>
          <w:lang w:val="fr-CA"/>
        </w:rPr>
      </w:r>
      <w:r w:rsidRPr="00B63BD5">
        <w:rPr>
          <w:b/>
          <w:color w:val="00B0F0"/>
          <w:lang w:val="fr-CA"/>
        </w:rPr>
        <w:fldChar w:fldCharType="separate"/>
      </w:r>
      <w:r w:rsidR="000F2F99" w:rsidRPr="00B63BD5">
        <w:rPr>
          <w:b/>
          <w:color w:val="00B0F0"/>
          <w:lang w:val="fr-CA"/>
        </w:rPr>
        <w:t>1.3</w:t>
      </w:r>
      <w:r w:rsidRPr="00B63BD5">
        <w:rPr>
          <w:b/>
          <w:color w:val="00B0F0"/>
          <w:lang w:val="fr-CA"/>
        </w:rPr>
        <w:fldChar w:fldCharType="end"/>
      </w:r>
      <w:r w:rsidRPr="00B63BD5">
        <w:rPr>
          <w:b/>
          <w:color w:val="00B0F0"/>
          <w:lang w:val="fr-CA"/>
        </w:rPr>
        <w:t xml:space="preserve"> ci</w:t>
      </w:r>
      <w:r w:rsidRPr="00B63BD5">
        <w:rPr>
          <w:b/>
          <w:color w:val="00B0F0"/>
          <w:lang w:val="fr-CA"/>
        </w:rPr>
        <w:noBreakHyphen/>
        <w:t>dessus.]</w:t>
      </w:r>
    </w:p>
    <w:p w14:paraId="0DA6A926" w14:textId="2D7195D4" w:rsidR="009926E7" w:rsidRPr="00B63BD5" w:rsidRDefault="003E5AE6" w:rsidP="00D33630">
      <w:pPr>
        <w:pStyle w:val="04LOLglNew2"/>
      </w:pPr>
      <w:r w:rsidRPr="00B63BD5">
        <w:t>Montant</w:t>
      </w:r>
    </w:p>
    <w:p w14:paraId="4DB3DF2F" w14:textId="76F5C7D0" w:rsidR="009926E7" w:rsidRPr="00B63BD5" w:rsidRDefault="00492209" w:rsidP="00632863">
      <w:pPr>
        <w:spacing w:after="240"/>
        <w:jc w:val="both"/>
        <w:rPr>
          <w:lang w:val="fr-CA"/>
        </w:rPr>
      </w:pPr>
      <w:r w:rsidRPr="00B63BD5">
        <w:rPr>
          <w:lang w:val="fr-CA"/>
        </w:rPr>
        <w:t>Marge de c</w:t>
      </w:r>
      <w:r w:rsidR="003E5AE6" w:rsidRPr="00B63BD5">
        <w:rPr>
          <w:lang w:val="fr-CA"/>
        </w:rPr>
        <w:t>rédit renouvelable à</w:t>
      </w:r>
      <w:r w:rsidR="00EF314F" w:rsidRPr="00B63BD5">
        <w:rPr>
          <w:lang w:val="fr-CA"/>
        </w:rPr>
        <w:t xml:space="preserve"> demande ayant</w:t>
      </w:r>
      <w:r w:rsidR="003E5AE6" w:rsidRPr="00B63BD5">
        <w:rPr>
          <w:lang w:val="fr-CA"/>
        </w:rPr>
        <w:t xml:space="preserve"> une limite </w:t>
      </w:r>
      <w:r w:rsidR="00C1659B" w:rsidRPr="00B63BD5">
        <w:rPr>
          <w:lang w:val="fr-CA"/>
        </w:rPr>
        <w:t>autorisée</w:t>
      </w:r>
      <w:r w:rsidR="003E5AE6" w:rsidRPr="00B63BD5">
        <w:rPr>
          <w:lang w:val="fr-CA"/>
        </w:rPr>
        <w:t xml:space="preserve"> maximale de </w:t>
      </w:r>
      <w:r w:rsidR="009F6E69" w:rsidRPr="00B63BD5">
        <w:rPr>
          <w:lang w:val="fr-CA"/>
        </w:rPr>
        <w:t>[●</w:t>
      </w:r>
      <w:r w:rsidR="00AC4107" w:rsidRPr="00B63BD5">
        <w:rPr>
          <w:lang w:val="fr-CA"/>
        </w:rPr>
        <w:t xml:space="preserve"> </w:t>
      </w:r>
      <w:r w:rsidR="009F6E69" w:rsidRPr="00B63BD5">
        <w:rPr>
          <w:lang w:val="fr-CA"/>
        </w:rPr>
        <w:t>$</w:t>
      </w:r>
      <w:r w:rsidR="00AC4107" w:rsidRPr="00B63BD5">
        <w:rPr>
          <w:lang w:val="fr-CA"/>
        </w:rPr>
        <w:t xml:space="preserve"> </w:t>
      </w:r>
      <w:r w:rsidR="009F6E69" w:rsidRPr="00B63BD5">
        <w:rPr>
          <w:lang w:val="fr-CA"/>
        </w:rPr>
        <w:t xml:space="preserve">CA </w:t>
      </w:r>
      <w:r w:rsidR="001934B0" w:rsidRPr="00B63BD5">
        <w:rPr>
          <w:b/>
          <w:color w:val="00B0F0"/>
          <w:highlight w:val="yellow"/>
          <w:lang w:val="fr-CA"/>
        </w:rPr>
        <w:t>OU</w:t>
      </w:r>
      <w:r w:rsidR="009F6E69" w:rsidRPr="00B63BD5">
        <w:rPr>
          <w:lang w:val="fr-CA"/>
        </w:rPr>
        <w:t xml:space="preserve"> ●</w:t>
      </w:r>
      <w:r w:rsidR="00AC4107" w:rsidRPr="00B63BD5">
        <w:rPr>
          <w:lang w:val="fr-CA"/>
        </w:rPr>
        <w:t xml:space="preserve"> </w:t>
      </w:r>
      <w:r w:rsidR="009F6E69" w:rsidRPr="00B63BD5">
        <w:rPr>
          <w:lang w:val="fr-CA"/>
        </w:rPr>
        <w:t>$</w:t>
      </w:r>
      <w:r w:rsidR="00AC4107" w:rsidRPr="00B63BD5">
        <w:rPr>
          <w:lang w:val="fr-CA"/>
        </w:rPr>
        <w:t xml:space="preserve"> </w:t>
      </w:r>
      <w:r w:rsidR="009F6E69" w:rsidRPr="00B63BD5">
        <w:rPr>
          <w:lang w:val="fr-CA"/>
        </w:rPr>
        <w:t>US]</w:t>
      </w:r>
      <w:r w:rsidRPr="00B63BD5">
        <w:rPr>
          <w:lang w:val="fr-CA"/>
        </w:rPr>
        <w:t>,</w:t>
      </w:r>
      <w:r w:rsidR="003E5AE6" w:rsidRPr="00B63BD5">
        <w:rPr>
          <w:lang w:val="fr-CA"/>
        </w:rPr>
        <w:t xml:space="preserve"> sous réserve </w:t>
      </w:r>
      <w:r w:rsidR="004924D8" w:rsidRPr="00B63BD5">
        <w:rPr>
          <w:lang w:val="fr-CA"/>
        </w:rPr>
        <w:t>des Exigences relatives à la marge, le cas échéant</w:t>
      </w:r>
      <w:r w:rsidR="004924D8" w:rsidRPr="00B63BD5" w:rsidDel="004924D8">
        <w:rPr>
          <w:lang w:val="fr-CA"/>
        </w:rPr>
        <w:t xml:space="preserve"> </w:t>
      </w:r>
      <w:r w:rsidR="003E5AE6" w:rsidRPr="00B63BD5">
        <w:rPr>
          <w:lang w:val="fr-CA"/>
        </w:rPr>
        <w:t>(la</w:t>
      </w:r>
      <w:r w:rsidR="00AC4107" w:rsidRPr="00B63BD5">
        <w:rPr>
          <w:lang w:val="fr-CA"/>
        </w:rPr>
        <w:t xml:space="preserve"> </w:t>
      </w:r>
      <w:r w:rsidR="003E5AE6" w:rsidRPr="00B63BD5">
        <w:rPr>
          <w:lang w:val="fr-CA"/>
        </w:rPr>
        <w:t>«</w:t>
      </w:r>
      <w:r w:rsidR="0094743F" w:rsidRPr="00B63BD5">
        <w:rPr>
          <w:lang w:val="fr-CA"/>
        </w:rPr>
        <w:t> </w:t>
      </w:r>
      <w:r w:rsidR="003E5AE6" w:rsidRPr="00B63BD5">
        <w:rPr>
          <w:b/>
          <w:lang w:val="fr-CA"/>
        </w:rPr>
        <w:t>Facilité de crédit à l</w:t>
      </w:r>
      <w:r w:rsidR="00564B0C" w:rsidRPr="00B63BD5">
        <w:rPr>
          <w:b/>
          <w:lang w:val="fr-CA"/>
        </w:rPr>
        <w:t>’</w:t>
      </w:r>
      <w:r w:rsidR="003E5AE6" w:rsidRPr="00B63BD5">
        <w:rPr>
          <w:b/>
          <w:lang w:val="fr-CA"/>
        </w:rPr>
        <w:t>importation</w:t>
      </w:r>
      <w:r w:rsidR="0094743F" w:rsidRPr="00B63BD5">
        <w:rPr>
          <w:lang w:val="fr-CA"/>
        </w:rPr>
        <w:t> </w:t>
      </w:r>
      <w:r w:rsidR="003E5AE6" w:rsidRPr="00B63BD5">
        <w:rPr>
          <w:lang w:val="fr-CA"/>
        </w:rPr>
        <w:t>»).</w:t>
      </w:r>
    </w:p>
    <w:p w14:paraId="0885F9C0" w14:textId="1FDAD957" w:rsidR="009926E7" w:rsidRPr="00B63BD5" w:rsidRDefault="003E5AE6" w:rsidP="00D33630">
      <w:pPr>
        <w:pStyle w:val="04LOLglNew2"/>
      </w:pPr>
      <w:r w:rsidRPr="00B63BD5">
        <w:t>Objet</w:t>
      </w:r>
    </w:p>
    <w:p w14:paraId="16CAEEE7" w14:textId="7C355175" w:rsidR="009926E7" w:rsidRPr="00B63BD5" w:rsidRDefault="00492209" w:rsidP="00632863">
      <w:pPr>
        <w:spacing w:after="240"/>
        <w:jc w:val="both"/>
        <w:rPr>
          <w:lang w:val="fr-CA"/>
        </w:rPr>
      </w:pPr>
      <w:r w:rsidRPr="00B63BD5">
        <w:rPr>
          <w:lang w:val="fr-CA"/>
        </w:rPr>
        <w:t xml:space="preserve">Servir au </w:t>
      </w:r>
      <w:r w:rsidR="003E5AE6" w:rsidRPr="00B63BD5">
        <w:rPr>
          <w:lang w:val="fr-CA"/>
        </w:rPr>
        <w:t>finance</w:t>
      </w:r>
      <w:r w:rsidRPr="00B63BD5">
        <w:rPr>
          <w:lang w:val="fr-CA"/>
        </w:rPr>
        <w:t>ment d</w:t>
      </w:r>
      <w:r w:rsidR="003E5AE6" w:rsidRPr="00B63BD5">
        <w:rPr>
          <w:lang w:val="fr-CA"/>
        </w:rPr>
        <w:t xml:space="preserve">es </w:t>
      </w:r>
      <w:r w:rsidR="00561311" w:rsidRPr="00B63BD5">
        <w:rPr>
          <w:lang w:val="fr-CA"/>
        </w:rPr>
        <w:t xml:space="preserve">activités </w:t>
      </w:r>
      <w:r w:rsidR="003E5AE6" w:rsidRPr="00B63BD5">
        <w:rPr>
          <w:lang w:val="fr-CA"/>
        </w:rPr>
        <w:t>d</w:t>
      </w:r>
      <w:r w:rsidR="00564B0C" w:rsidRPr="00B63BD5">
        <w:rPr>
          <w:lang w:val="fr-CA"/>
        </w:rPr>
        <w:t>’</w:t>
      </w:r>
      <w:r w:rsidR="003E5AE6" w:rsidRPr="00B63BD5">
        <w:rPr>
          <w:lang w:val="fr-CA"/>
        </w:rPr>
        <w:t>importation de l</w:t>
      </w:r>
      <w:r w:rsidR="00564B0C" w:rsidRPr="00B63BD5">
        <w:rPr>
          <w:lang w:val="fr-CA"/>
        </w:rPr>
        <w:t>’</w:t>
      </w:r>
      <w:r w:rsidR="003E5AE6" w:rsidRPr="00B63BD5">
        <w:rPr>
          <w:lang w:val="fr-CA"/>
        </w:rPr>
        <w:t>Emprunteur.</w:t>
      </w:r>
    </w:p>
    <w:p w14:paraId="023BD795" w14:textId="4ED8D6B1" w:rsidR="009926E7" w:rsidRPr="00B63BD5" w:rsidRDefault="003E5AE6" w:rsidP="00D33630">
      <w:pPr>
        <w:pStyle w:val="04LOLglNew2"/>
      </w:pPr>
      <w:r w:rsidRPr="00B63BD5">
        <w:t>Disponibilité</w:t>
      </w:r>
    </w:p>
    <w:p w14:paraId="4CCA236E" w14:textId="09FE041A" w:rsidR="007F0E39" w:rsidRPr="00B63BD5" w:rsidRDefault="007F0E39" w:rsidP="00632863">
      <w:pPr>
        <w:spacing w:after="240"/>
        <w:jc w:val="both"/>
        <w:rPr>
          <w:b/>
          <w:color w:val="00B0F0"/>
          <w:lang w:val="fr-CA"/>
        </w:rPr>
      </w:pPr>
      <w:r w:rsidRPr="00B63BD5">
        <w:rPr>
          <w:b/>
          <w:color w:val="00B0F0"/>
          <w:lang w:val="fr-CA"/>
        </w:rPr>
        <w:t>[N.B.</w:t>
      </w:r>
      <w:r w:rsidR="00AC4107" w:rsidRPr="00B63BD5">
        <w:rPr>
          <w:b/>
          <w:color w:val="00B0F0"/>
          <w:lang w:val="fr-CA"/>
        </w:rPr>
        <w:t xml:space="preserve"> </w:t>
      </w:r>
      <w:r w:rsidRPr="00B63BD5">
        <w:rPr>
          <w:b/>
          <w:color w:val="00B0F0"/>
          <w:lang w:val="fr-CA"/>
        </w:rPr>
        <w:t>: Si des limites différentes sont mises à la disposition d</w:t>
      </w:r>
      <w:r w:rsidR="00564B0C" w:rsidRPr="00B63BD5">
        <w:rPr>
          <w:b/>
          <w:color w:val="00B0F0"/>
          <w:lang w:val="fr-CA"/>
        </w:rPr>
        <w:t>’</w:t>
      </w:r>
      <w:r w:rsidRPr="00B63BD5">
        <w:rPr>
          <w:b/>
          <w:color w:val="00B0F0"/>
          <w:lang w:val="fr-CA"/>
        </w:rPr>
        <w:t>entités différentes, indiquer le nom de</w:t>
      </w:r>
      <w:r w:rsidR="003F57FA" w:rsidRPr="00B63BD5">
        <w:rPr>
          <w:b/>
          <w:color w:val="00B0F0"/>
          <w:lang w:val="fr-CA"/>
        </w:rPr>
        <w:t> </w:t>
      </w:r>
      <w:r w:rsidRPr="00B63BD5">
        <w:rPr>
          <w:b/>
          <w:color w:val="00B0F0"/>
          <w:lang w:val="fr-CA"/>
        </w:rPr>
        <w:t>chaque entité et le montant mis à la disposition de l</w:t>
      </w:r>
      <w:r w:rsidR="00564B0C" w:rsidRPr="00B63BD5">
        <w:rPr>
          <w:b/>
          <w:color w:val="00B0F0"/>
          <w:lang w:val="fr-CA"/>
        </w:rPr>
        <w:t>’</w:t>
      </w:r>
      <w:r w:rsidRPr="00B63BD5">
        <w:rPr>
          <w:b/>
          <w:color w:val="00B0F0"/>
          <w:lang w:val="fr-CA"/>
        </w:rPr>
        <w:t>entité en question, comme il est indiqué ci</w:t>
      </w:r>
      <w:r w:rsidRPr="00B63BD5">
        <w:rPr>
          <w:b/>
          <w:color w:val="00B0F0"/>
          <w:lang w:val="fr-CA"/>
        </w:rPr>
        <w:noBreakHyphen/>
        <w:t xml:space="preserve">après. </w:t>
      </w:r>
      <w:r w:rsidR="00142D9B" w:rsidRPr="00B63BD5">
        <w:rPr>
          <w:b/>
          <w:color w:val="00B0F0"/>
          <w:lang w:val="fr-CA"/>
        </w:rPr>
        <w:t>I</w:t>
      </w:r>
      <w:r w:rsidR="004B25DA" w:rsidRPr="00B63BD5">
        <w:rPr>
          <w:b/>
          <w:color w:val="00B0F0"/>
          <w:lang w:val="fr-CA"/>
        </w:rPr>
        <w:t>l</w:t>
      </w:r>
      <w:r w:rsidRPr="00B63BD5">
        <w:rPr>
          <w:b/>
          <w:color w:val="00B0F0"/>
          <w:lang w:val="fr-CA"/>
        </w:rPr>
        <w:t xml:space="preserve"> n</w:t>
      </w:r>
      <w:r w:rsidR="00564B0C" w:rsidRPr="00B63BD5">
        <w:rPr>
          <w:b/>
          <w:color w:val="00B0F0"/>
          <w:lang w:val="fr-CA"/>
        </w:rPr>
        <w:t>’</w:t>
      </w:r>
      <w:r w:rsidRPr="00B63BD5">
        <w:rPr>
          <w:b/>
          <w:color w:val="00B0F0"/>
          <w:lang w:val="fr-CA"/>
        </w:rPr>
        <w:t>est pas nécessaire de répéter le nom de l</w:t>
      </w:r>
      <w:r w:rsidR="00564B0C" w:rsidRPr="00B63BD5">
        <w:rPr>
          <w:b/>
          <w:color w:val="00B0F0"/>
          <w:lang w:val="fr-CA"/>
        </w:rPr>
        <w:t>’</w:t>
      </w:r>
      <w:r w:rsidRPr="00B63BD5">
        <w:rPr>
          <w:b/>
          <w:color w:val="00B0F0"/>
          <w:lang w:val="fr-CA"/>
        </w:rPr>
        <w:t xml:space="preserve">Emprunteur </w:t>
      </w:r>
      <w:r w:rsidR="00E94BFE" w:rsidRPr="00B63BD5">
        <w:rPr>
          <w:b/>
          <w:color w:val="00B0F0"/>
          <w:lang w:val="fr-CA"/>
        </w:rPr>
        <w:t xml:space="preserve">de la facilité </w:t>
      </w:r>
      <w:r w:rsidRPr="00B63BD5">
        <w:rPr>
          <w:b/>
          <w:color w:val="00B0F0"/>
          <w:lang w:val="fr-CA"/>
        </w:rPr>
        <w:t>s</w:t>
      </w:r>
      <w:r w:rsidR="00564B0C" w:rsidRPr="00B63BD5">
        <w:rPr>
          <w:b/>
          <w:color w:val="00B0F0"/>
          <w:lang w:val="fr-CA"/>
        </w:rPr>
        <w:t>’</w:t>
      </w:r>
      <w:r w:rsidRPr="00B63BD5">
        <w:rPr>
          <w:b/>
          <w:color w:val="00B0F0"/>
          <w:lang w:val="fr-CA"/>
        </w:rPr>
        <w:t>il</w:t>
      </w:r>
      <w:r w:rsidR="003F57FA" w:rsidRPr="00B63BD5">
        <w:rPr>
          <w:b/>
          <w:color w:val="00B0F0"/>
          <w:lang w:val="fr-CA"/>
        </w:rPr>
        <w:t> </w:t>
      </w:r>
      <w:r w:rsidRPr="00B63BD5">
        <w:rPr>
          <w:b/>
          <w:color w:val="00B0F0"/>
          <w:lang w:val="fr-CA"/>
        </w:rPr>
        <w:t>n</w:t>
      </w:r>
      <w:r w:rsidR="00564B0C" w:rsidRPr="00B63BD5">
        <w:rPr>
          <w:b/>
          <w:color w:val="00B0F0"/>
          <w:lang w:val="fr-CA"/>
        </w:rPr>
        <w:t>’</w:t>
      </w:r>
      <w:r w:rsidRPr="00B63BD5">
        <w:rPr>
          <w:b/>
          <w:color w:val="00B0F0"/>
          <w:lang w:val="fr-CA"/>
        </w:rPr>
        <w:t>y</w:t>
      </w:r>
      <w:r w:rsidR="003F57FA" w:rsidRPr="00B63BD5">
        <w:rPr>
          <w:b/>
          <w:color w:val="00B0F0"/>
          <w:lang w:val="fr-CA"/>
        </w:rPr>
        <w:t> </w:t>
      </w:r>
      <w:r w:rsidR="000638E9" w:rsidRPr="00B63BD5">
        <w:rPr>
          <w:b/>
          <w:color w:val="00B0F0"/>
          <w:lang w:val="fr-CA"/>
        </w:rPr>
        <w:t>en</w:t>
      </w:r>
      <w:r w:rsidR="003F57FA" w:rsidRPr="00B63BD5">
        <w:rPr>
          <w:b/>
          <w:color w:val="00B0F0"/>
          <w:lang w:val="fr-CA"/>
        </w:rPr>
        <w:t> </w:t>
      </w:r>
      <w:r w:rsidRPr="00B63BD5">
        <w:rPr>
          <w:b/>
          <w:color w:val="00B0F0"/>
          <w:lang w:val="fr-CA"/>
        </w:rPr>
        <w:t>a</w:t>
      </w:r>
      <w:r w:rsidR="003F57FA" w:rsidRPr="00B63BD5">
        <w:rPr>
          <w:b/>
          <w:color w:val="00B0F0"/>
          <w:lang w:val="fr-CA"/>
        </w:rPr>
        <w:t> </w:t>
      </w:r>
      <w:r w:rsidRPr="00B63BD5">
        <w:rPr>
          <w:b/>
          <w:color w:val="00B0F0"/>
          <w:lang w:val="fr-CA"/>
        </w:rPr>
        <w:t>qu</w:t>
      </w:r>
      <w:r w:rsidR="00564B0C" w:rsidRPr="00B63BD5">
        <w:rPr>
          <w:b/>
          <w:color w:val="00B0F0"/>
          <w:lang w:val="fr-CA"/>
        </w:rPr>
        <w:t>’</w:t>
      </w:r>
      <w:r w:rsidRPr="00B63BD5">
        <w:rPr>
          <w:b/>
          <w:color w:val="00B0F0"/>
          <w:lang w:val="fr-CA"/>
        </w:rPr>
        <w:t>un</w:t>
      </w:r>
      <w:r w:rsidR="003F57FA" w:rsidRPr="00B63BD5">
        <w:rPr>
          <w:b/>
          <w:color w:val="00B0F0"/>
          <w:lang w:val="fr-CA"/>
        </w:rPr>
        <w:t> </w:t>
      </w:r>
      <w:r w:rsidRPr="00B63BD5">
        <w:rPr>
          <w:b/>
          <w:color w:val="00B0F0"/>
          <w:lang w:val="fr-CA"/>
        </w:rPr>
        <w:t xml:space="preserve">seul </w:t>
      </w:r>
      <w:r w:rsidRPr="00B63BD5">
        <w:rPr>
          <w:b/>
          <w:color w:val="00B0F0"/>
          <w:u w:val="single"/>
          <w:lang w:val="fr-CA"/>
        </w:rPr>
        <w:t>ou</w:t>
      </w:r>
      <w:r w:rsidRPr="00B63BD5">
        <w:rPr>
          <w:b/>
          <w:color w:val="00B0F0"/>
          <w:lang w:val="fr-CA"/>
        </w:rPr>
        <w:t xml:space="preserve"> encore s</w:t>
      </w:r>
      <w:r w:rsidR="00564B0C" w:rsidRPr="00B63BD5">
        <w:rPr>
          <w:b/>
          <w:color w:val="00B0F0"/>
          <w:lang w:val="fr-CA"/>
        </w:rPr>
        <w:t>’</w:t>
      </w:r>
      <w:r w:rsidRPr="00B63BD5">
        <w:rPr>
          <w:b/>
          <w:color w:val="00B0F0"/>
          <w:lang w:val="fr-CA"/>
        </w:rPr>
        <w:t xml:space="preserve">il y a plusieurs </w:t>
      </w:r>
      <w:r w:rsidR="000638E9" w:rsidRPr="00B63BD5">
        <w:rPr>
          <w:b/>
          <w:color w:val="00B0F0"/>
          <w:lang w:val="fr-CA"/>
        </w:rPr>
        <w:t>E</w:t>
      </w:r>
      <w:r w:rsidRPr="00B63BD5">
        <w:rPr>
          <w:b/>
          <w:color w:val="00B0F0"/>
          <w:lang w:val="fr-CA"/>
        </w:rPr>
        <w:t>mprunteurs et que tous ceux</w:t>
      </w:r>
      <w:r w:rsidRPr="00B63BD5">
        <w:rPr>
          <w:b/>
          <w:color w:val="00B0F0"/>
          <w:lang w:val="fr-CA"/>
        </w:rPr>
        <w:noBreakHyphen/>
        <w:t>ci ont accès à</w:t>
      </w:r>
      <w:r w:rsidR="003F57FA" w:rsidRPr="00B63BD5">
        <w:rPr>
          <w:b/>
          <w:color w:val="00B0F0"/>
          <w:lang w:val="fr-CA"/>
        </w:rPr>
        <w:t> </w:t>
      </w:r>
      <w:r w:rsidRPr="00B63BD5">
        <w:rPr>
          <w:b/>
          <w:color w:val="00B0F0"/>
          <w:lang w:val="fr-CA"/>
        </w:rPr>
        <w:t>la</w:t>
      </w:r>
      <w:r w:rsidR="003F57FA" w:rsidRPr="00B63BD5">
        <w:rPr>
          <w:b/>
          <w:color w:val="00B0F0"/>
          <w:lang w:val="fr-CA"/>
        </w:rPr>
        <w:t> </w:t>
      </w:r>
      <w:r w:rsidRPr="00B63BD5">
        <w:rPr>
          <w:b/>
          <w:color w:val="00B0F0"/>
          <w:lang w:val="fr-CA"/>
        </w:rPr>
        <w:t>même limite totale</w:t>
      </w:r>
      <w:r w:rsidR="00877DCF" w:rsidRPr="00B63BD5">
        <w:rPr>
          <w:b/>
          <w:color w:val="00B0F0"/>
          <w:lang w:val="fr-CA"/>
        </w:rPr>
        <w:t xml:space="preserve"> solidairement et dans une mesure égale</w:t>
      </w:r>
      <w:r w:rsidRPr="00B63BD5">
        <w:rPr>
          <w:b/>
          <w:color w:val="00B0F0"/>
          <w:lang w:val="fr-CA"/>
        </w:rPr>
        <w:t>.]</w:t>
      </w:r>
    </w:p>
    <w:p w14:paraId="01BE0490" w14:textId="06EA51ED" w:rsidR="00F2159A" w:rsidRPr="00B63BD5" w:rsidRDefault="00830777" w:rsidP="00632863">
      <w:pPr>
        <w:spacing w:after="240"/>
        <w:jc w:val="both"/>
        <w:rPr>
          <w:lang w:val="fr-CA"/>
        </w:rPr>
      </w:pPr>
      <w:r w:rsidRPr="00B63BD5">
        <w:rPr>
          <w:lang w:val="fr-CA"/>
        </w:rPr>
        <w:t>La facilité</w:t>
      </w:r>
      <w:r w:rsidR="00EF314F" w:rsidRPr="00B63BD5">
        <w:rPr>
          <w:lang w:val="fr-CA"/>
        </w:rPr>
        <w:t xml:space="preserve"> est disponible pour</w:t>
      </w:r>
      <w:r w:rsidRPr="00B63BD5">
        <w:rPr>
          <w:lang w:val="fr-CA"/>
        </w:rPr>
        <w:t xml:space="preserve"> </w:t>
      </w:r>
      <w:r w:rsidR="003E5AE6" w:rsidRPr="00B63BD5">
        <w:rPr>
          <w:lang w:val="fr-CA"/>
        </w:rPr>
        <w:t>l</w:t>
      </w:r>
      <w:r w:rsidR="00564B0C" w:rsidRPr="00B63BD5">
        <w:rPr>
          <w:lang w:val="fr-CA"/>
        </w:rPr>
        <w:t>’</w:t>
      </w:r>
      <w:r w:rsidR="003E5AE6" w:rsidRPr="00B63BD5">
        <w:rPr>
          <w:lang w:val="fr-CA"/>
        </w:rPr>
        <w:t>une ou</w:t>
      </w:r>
      <w:r w:rsidR="00492209" w:rsidRPr="00B63BD5">
        <w:rPr>
          <w:lang w:val="fr-CA"/>
        </w:rPr>
        <w:t xml:space="preserve"> </w:t>
      </w:r>
      <w:r w:rsidR="003E5AE6" w:rsidRPr="00B63BD5">
        <w:rPr>
          <w:lang w:val="fr-CA"/>
        </w:rPr>
        <w:t>plusieurs des fins suivantes</w:t>
      </w:r>
      <w:r w:rsidR="00AC4107" w:rsidRPr="00B63BD5">
        <w:rPr>
          <w:lang w:val="fr-CA"/>
        </w:rPr>
        <w:t xml:space="preserve"> </w:t>
      </w:r>
      <w:r w:rsidR="003E5AE6" w:rsidRPr="00B63BD5">
        <w:rPr>
          <w:lang w:val="fr-CA"/>
        </w:rPr>
        <w:t>:</w:t>
      </w:r>
    </w:p>
    <w:p w14:paraId="71C1CB5F" w14:textId="1B0C3712" w:rsidR="007F0E39" w:rsidRPr="00B63BD5" w:rsidRDefault="007F0E39" w:rsidP="00632863">
      <w:pPr>
        <w:spacing w:after="240"/>
        <w:jc w:val="both"/>
        <w:rPr>
          <w:lang w:val="fr-CA"/>
        </w:rPr>
      </w:pPr>
      <w:r w:rsidRPr="00B63BD5">
        <w:rPr>
          <w:lang w:val="fr-CA"/>
        </w:rPr>
        <w:t>[Somme mise à la disposition de [inscrire le nom de l</w:t>
      </w:r>
      <w:r w:rsidR="00564B0C" w:rsidRPr="00B63BD5">
        <w:rPr>
          <w:lang w:val="fr-CA"/>
        </w:rPr>
        <w:t>’</w:t>
      </w:r>
      <w:r w:rsidRPr="00B63BD5">
        <w:rPr>
          <w:lang w:val="fr-CA"/>
        </w:rPr>
        <w:t>Emprunteur]</w:t>
      </w:r>
      <w:r w:rsidR="00AC4107" w:rsidRPr="00B63BD5">
        <w:rPr>
          <w:lang w:val="fr-CA"/>
        </w:rPr>
        <w:t xml:space="preserve"> </w:t>
      </w:r>
      <w:r w:rsidRPr="00B63BD5">
        <w:rPr>
          <w:lang w:val="fr-CA"/>
        </w:rPr>
        <w:t xml:space="preserve">: </w:t>
      </w:r>
      <w:r w:rsidR="009F6E69" w:rsidRPr="00B63BD5">
        <w:rPr>
          <w:lang w:val="fr-CA"/>
        </w:rPr>
        <w:t>[●</w:t>
      </w:r>
      <w:r w:rsidR="00AC4107" w:rsidRPr="00B63BD5">
        <w:rPr>
          <w:lang w:val="fr-CA"/>
        </w:rPr>
        <w:t xml:space="preserve"> </w:t>
      </w:r>
      <w:r w:rsidR="009F6E69" w:rsidRPr="00B63BD5">
        <w:rPr>
          <w:lang w:val="fr-CA"/>
        </w:rPr>
        <w:t>$</w:t>
      </w:r>
      <w:r w:rsidR="00AC4107" w:rsidRPr="00B63BD5">
        <w:rPr>
          <w:lang w:val="fr-CA"/>
        </w:rPr>
        <w:t xml:space="preserve"> </w:t>
      </w:r>
      <w:r w:rsidR="009F6E69" w:rsidRPr="00B63BD5">
        <w:rPr>
          <w:lang w:val="fr-CA"/>
        </w:rPr>
        <w:t xml:space="preserve">CA </w:t>
      </w:r>
      <w:r w:rsidR="001934B0" w:rsidRPr="00B63BD5">
        <w:rPr>
          <w:b/>
          <w:color w:val="00B0F0"/>
          <w:highlight w:val="yellow"/>
          <w:lang w:val="fr-CA"/>
        </w:rPr>
        <w:t>OU</w:t>
      </w:r>
      <w:r w:rsidR="009F6E69" w:rsidRPr="00B63BD5">
        <w:rPr>
          <w:lang w:val="fr-CA"/>
        </w:rPr>
        <w:t xml:space="preserve"> ●</w:t>
      </w:r>
      <w:r w:rsidR="00AC4107" w:rsidRPr="00B63BD5">
        <w:rPr>
          <w:lang w:val="fr-CA"/>
        </w:rPr>
        <w:t xml:space="preserve"> </w:t>
      </w:r>
      <w:r w:rsidR="009F6E69" w:rsidRPr="00B63BD5">
        <w:rPr>
          <w:lang w:val="fr-CA"/>
        </w:rPr>
        <w:t>$</w:t>
      </w:r>
      <w:r w:rsidR="00AC4107" w:rsidRPr="00B63BD5">
        <w:rPr>
          <w:lang w:val="fr-CA"/>
        </w:rPr>
        <w:t xml:space="preserve"> </w:t>
      </w:r>
      <w:r w:rsidR="009F6E69" w:rsidRPr="00B63BD5">
        <w:rPr>
          <w:lang w:val="fr-CA"/>
        </w:rPr>
        <w:t>US]</w:t>
      </w:r>
      <w:r w:rsidR="00851006" w:rsidRPr="00B63BD5">
        <w:rPr>
          <w:lang w:val="fr-CA"/>
        </w:rPr>
        <w:t>]</w:t>
      </w:r>
    </w:p>
    <w:p w14:paraId="32A3EB29" w14:textId="6B7645EB" w:rsidR="007F0E39" w:rsidRPr="00B63BD5" w:rsidRDefault="007F0E39" w:rsidP="00632863">
      <w:pPr>
        <w:spacing w:after="240"/>
        <w:jc w:val="both"/>
        <w:rPr>
          <w:lang w:val="fr-CA"/>
        </w:rPr>
      </w:pPr>
      <w:r w:rsidRPr="00B63BD5">
        <w:rPr>
          <w:lang w:val="fr-CA"/>
        </w:rPr>
        <w:t>[Somme mise à la disposition de [inscrire le nom de l</w:t>
      </w:r>
      <w:r w:rsidR="00564B0C" w:rsidRPr="00B63BD5">
        <w:rPr>
          <w:lang w:val="fr-CA"/>
        </w:rPr>
        <w:t>’</w:t>
      </w:r>
      <w:r w:rsidRPr="00B63BD5">
        <w:rPr>
          <w:lang w:val="fr-CA"/>
        </w:rPr>
        <w:t>Emprunteur]</w:t>
      </w:r>
      <w:r w:rsidR="00AC4107" w:rsidRPr="00B63BD5">
        <w:rPr>
          <w:lang w:val="fr-CA"/>
        </w:rPr>
        <w:t xml:space="preserve"> </w:t>
      </w:r>
      <w:r w:rsidRPr="00B63BD5">
        <w:rPr>
          <w:lang w:val="fr-CA"/>
        </w:rPr>
        <w:t xml:space="preserve">: </w:t>
      </w:r>
      <w:r w:rsidR="009F6E69" w:rsidRPr="00B63BD5">
        <w:rPr>
          <w:lang w:val="fr-CA"/>
        </w:rPr>
        <w:t>[●</w:t>
      </w:r>
      <w:r w:rsidR="00AC4107" w:rsidRPr="00B63BD5">
        <w:rPr>
          <w:lang w:val="fr-CA"/>
        </w:rPr>
        <w:t xml:space="preserve"> </w:t>
      </w:r>
      <w:r w:rsidR="009F6E69" w:rsidRPr="00B63BD5">
        <w:rPr>
          <w:lang w:val="fr-CA"/>
        </w:rPr>
        <w:t>$</w:t>
      </w:r>
      <w:r w:rsidR="00AC4107" w:rsidRPr="00B63BD5">
        <w:rPr>
          <w:lang w:val="fr-CA"/>
        </w:rPr>
        <w:t xml:space="preserve"> </w:t>
      </w:r>
      <w:r w:rsidR="009F6E69" w:rsidRPr="00B63BD5">
        <w:rPr>
          <w:lang w:val="fr-CA"/>
        </w:rPr>
        <w:t xml:space="preserve">CA </w:t>
      </w:r>
      <w:r w:rsidR="001934B0" w:rsidRPr="00B63BD5">
        <w:rPr>
          <w:b/>
          <w:color w:val="00B0F0"/>
          <w:highlight w:val="yellow"/>
          <w:lang w:val="fr-CA"/>
        </w:rPr>
        <w:t>OU</w:t>
      </w:r>
      <w:r w:rsidR="009F6E69" w:rsidRPr="00B63BD5">
        <w:rPr>
          <w:lang w:val="fr-CA"/>
        </w:rPr>
        <w:t xml:space="preserve"> ●</w:t>
      </w:r>
      <w:r w:rsidR="00AC4107" w:rsidRPr="00B63BD5">
        <w:rPr>
          <w:lang w:val="fr-CA"/>
        </w:rPr>
        <w:t xml:space="preserve"> </w:t>
      </w:r>
      <w:r w:rsidR="009F6E69" w:rsidRPr="00B63BD5">
        <w:rPr>
          <w:lang w:val="fr-CA"/>
        </w:rPr>
        <w:t>$</w:t>
      </w:r>
      <w:r w:rsidR="00AC4107" w:rsidRPr="00B63BD5">
        <w:rPr>
          <w:lang w:val="fr-CA"/>
        </w:rPr>
        <w:t xml:space="preserve"> </w:t>
      </w:r>
      <w:r w:rsidR="009F6E69" w:rsidRPr="00B63BD5">
        <w:rPr>
          <w:lang w:val="fr-CA"/>
        </w:rPr>
        <w:t>US]</w:t>
      </w:r>
      <w:r w:rsidR="00851006" w:rsidRPr="00B63BD5">
        <w:rPr>
          <w:lang w:val="fr-CA"/>
        </w:rPr>
        <w:t>]</w:t>
      </w:r>
    </w:p>
    <w:p w14:paraId="558140CF" w14:textId="1C380069" w:rsidR="009926E7" w:rsidRPr="000B7739" w:rsidRDefault="00492209" w:rsidP="000B7739">
      <w:pPr>
        <w:pStyle w:val="04LOLglNew3"/>
        <w:numPr>
          <w:ilvl w:val="2"/>
          <w:numId w:val="30"/>
        </w:numPr>
        <w:rPr>
          <w:lang w:val="fr-CA"/>
        </w:rPr>
      </w:pPr>
      <w:r w:rsidRPr="000B7739">
        <w:rPr>
          <w:lang w:val="fr-CA"/>
        </w:rPr>
        <w:t>l</w:t>
      </w:r>
      <w:r w:rsidR="00564B0C" w:rsidRPr="000B7739">
        <w:rPr>
          <w:lang w:val="fr-CA"/>
        </w:rPr>
        <w:t>’</w:t>
      </w:r>
      <w:r w:rsidR="003E5AE6" w:rsidRPr="000B7739">
        <w:rPr>
          <w:lang w:val="fr-CA"/>
        </w:rPr>
        <w:t>émission par la Banque de Crédit</w:t>
      </w:r>
      <w:r w:rsidRPr="000B7739">
        <w:rPr>
          <w:lang w:val="fr-CA"/>
        </w:rPr>
        <w:t>s</w:t>
      </w:r>
      <w:r w:rsidR="003E5AE6" w:rsidRPr="000B7739">
        <w:rPr>
          <w:lang w:val="fr-CA"/>
        </w:rPr>
        <w:t xml:space="preserve"> documentaire</w:t>
      </w:r>
      <w:r w:rsidRPr="000B7739">
        <w:rPr>
          <w:lang w:val="fr-CA"/>
        </w:rPr>
        <w:t>s</w:t>
      </w:r>
      <w:r w:rsidR="003E5AE6" w:rsidRPr="000B7739">
        <w:rPr>
          <w:lang w:val="fr-CA"/>
        </w:rPr>
        <w:t xml:space="preserve"> à</w:t>
      </w:r>
      <w:r w:rsidR="00EF314F" w:rsidRPr="000B7739">
        <w:rPr>
          <w:lang w:val="fr-CA"/>
        </w:rPr>
        <w:t xml:space="preserve"> demande</w:t>
      </w:r>
      <w:r w:rsidR="003E5AE6" w:rsidRPr="000B7739">
        <w:rPr>
          <w:lang w:val="fr-CA"/>
        </w:rPr>
        <w:t xml:space="preserve"> ou de Crédit</w:t>
      </w:r>
      <w:r w:rsidRPr="000B7739">
        <w:rPr>
          <w:lang w:val="fr-CA"/>
        </w:rPr>
        <w:t>s</w:t>
      </w:r>
      <w:r w:rsidR="003E5AE6" w:rsidRPr="000B7739">
        <w:rPr>
          <w:lang w:val="fr-CA"/>
        </w:rPr>
        <w:t xml:space="preserve"> documentaire</w:t>
      </w:r>
      <w:r w:rsidRPr="000B7739">
        <w:rPr>
          <w:lang w:val="fr-CA"/>
        </w:rPr>
        <w:t>s</w:t>
      </w:r>
      <w:r w:rsidR="003E5AE6" w:rsidRPr="000B7739">
        <w:rPr>
          <w:lang w:val="fr-CA"/>
        </w:rPr>
        <w:t xml:space="preserve"> à</w:t>
      </w:r>
      <w:r w:rsidR="003F57FA" w:rsidRPr="000B7739">
        <w:rPr>
          <w:lang w:val="fr-CA"/>
        </w:rPr>
        <w:t> </w:t>
      </w:r>
      <w:r w:rsidR="004E10F8" w:rsidRPr="000B7739">
        <w:rPr>
          <w:lang w:val="fr-CA"/>
        </w:rPr>
        <w:t>terme</w:t>
      </w:r>
      <w:r w:rsidR="003E5AE6" w:rsidRPr="000B7739">
        <w:rPr>
          <w:b/>
          <w:lang w:val="fr-CA"/>
        </w:rPr>
        <w:t xml:space="preserve"> </w:t>
      </w:r>
      <w:r w:rsidR="009926E7" w:rsidRPr="000B7739">
        <w:rPr>
          <w:lang w:val="fr-CA"/>
        </w:rPr>
        <w:t>[</w:t>
      </w:r>
      <w:r w:rsidR="00682477" w:rsidRPr="000B7739">
        <w:rPr>
          <w:lang w:val="fr-CA"/>
        </w:rPr>
        <w:t>en D</w:t>
      </w:r>
      <w:r w:rsidR="003E5AE6" w:rsidRPr="000B7739">
        <w:rPr>
          <w:lang w:val="fr-CA"/>
        </w:rPr>
        <w:t xml:space="preserve">ollars canadiens </w:t>
      </w:r>
      <w:r w:rsidR="00877DCF" w:rsidRPr="000B7739">
        <w:rPr>
          <w:b/>
          <w:color w:val="00B0F0"/>
          <w:highlight w:val="yellow"/>
          <w:lang w:val="fr-CA"/>
        </w:rPr>
        <w:t>OU</w:t>
      </w:r>
      <w:r w:rsidR="00AC4107" w:rsidRPr="000B7739">
        <w:rPr>
          <w:lang w:val="fr-CA"/>
        </w:rPr>
        <w:t xml:space="preserve"> </w:t>
      </w:r>
      <w:r w:rsidR="003E5AE6" w:rsidRPr="000B7739">
        <w:rPr>
          <w:lang w:val="fr-CA"/>
        </w:rPr>
        <w:t>en ●</w:t>
      </w:r>
      <w:r w:rsidR="009926E7" w:rsidRPr="000B7739">
        <w:rPr>
          <w:lang w:val="fr-CA"/>
        </w:rPr>
        <w:t>] (</w:t>
      </w:r>
      <w:r w:rsidR="00EF314F" w:rsidRPr="000B7739">
        <w:rPr>
          <w:lang w:val="fr-CA"/>
        </w:rPr>
        <w:t>d</w:t>
      </w:r>
      <w:r w:rsidR="00564B0C" w:rsidRPr="000B7739">
        <w:rPr>
          <w:lang w:val="fr-CA"/>
        </w:rPr>
        <w:t>’</w:t>
      </w:r>
      <w:r w:rsidR="00EF314F" w:rsidRPr="000B7739">
        <w:rPr>
          <w:lang w:val="fr-CA"/>
        </w:rPr>
        <w:t xml:space="preserve">une </w:t>
      </w:r>
      <w:r w:rsidR="000779B9" w:rsidRPr="000B7739">
        <w:rPr>
          <w:lang w:val="fr-CA"/>
        </w:rPr>
        <w:t xml:space="preserve">durée maximale </w:t>
      </w:r>
      <w:r w:rsidR="003E5AE6" w:rsidRPr="000B7739">
        <w:rPr>
          <w:lang w:val="fr-CA"/>
        </w:rPr>
        <w:t xml:space="preserve">de </w:t>
      </w:r>
      <w:r w:rsidR="009926E7" w:rsidRPr="000B7739">
        <w:rPr>
          <w:lang w:val="fr-CA"/>
        </w:rPr>
        <w:t>[120]</w:t>
      </w:r>
      <w:r w:rsidR="00AC4107" w:rsidRPr="000B7739">
        <w:rPr>
          <w:lang w:val="fr-CA"/>
        </w:rPr>
        <w:t xml:space="preserve"> </w:t>
      </w:r>
      <w:r w:rsidR="003E5AE6" w:rsidRPr="000B7739">
        <w:rPr>
          <w:lang w:val="fr-CA"/>
        </w:rPr>
        <w:t>jours</w:t>
      </w:r>
      <w:r w:rsidR="00C619C1" w:rsidRPr="000B7739">
        <w:rPr>
          <w:lang w:val="fr-CA"/>
        </w:rPr>
        <w:t>);</w:t>
      </w:r>
    </w:p>
    <w:p w14:paraId="5AA038E3" w14:textId="56BE740A" w:rsidR="00F2159A" w:rsidRPr="000B7739" w:rsidRDefault="00C9275B" w:rsidP="000B7739">
      <w:pPr>
        <w:pStyle w:val="04LOLglNew3"/>
        <w:numPr>
          <w:ilvl w:val="2"/>
          <w:numId w:val="30"/>
        </w:numPr>
        <w:rPr>
          <w:lang w:val="fr-CA"/>
        </w:rPr>
      </w:pPr>
      <w:r w:rsidRPr="000B7739">
        <w:rPr>
          <w:lang w:val="fr-CA"/>
        </w:rPr>
        <w:t>l</w:t>
      </w:r>
      <w:r w:rsidR="00564B0C" w:rsidRPr="000B7739">
        <w:rPr>
          <w:lang w:val="fr-CA"/>
        </w:rPr>
        <w:t>’</w:t>
      </w:r>
      <w:r w:rsidR="00B47F9A" w:rsidRPr="000B7739">
        <w:rPr>
          <w:lang w:val="fr-CA"/>
        </w:rPr>
        <w:t>émission de garanties d</w:t>
      </w:r>
      <w:r w:rsidR="00564B0C" w:rsidRPr="000B7739">
        <w:rPr>
          <w:lang w:val="fr-CA"/>
        </w:rPr>
        <w:t>’</w:t>
      </w:r>
      <w:r w:rsidR="00B47F9A" w:rsidRPr="000B7739">
        <w:rPr>
          <w:lang w:val="fr-CA"/>
        </w:rPr>
        <w:t xml:space="preserve">expédition </w:t>
      </w:r>
      <w:r w:rsidR="00670111" w:rsidRPr="000B7739">
        <w:rPr>
          <w:lang w:val="fr-CA"/>
        </w:rPr>
        <w:t>aux fins de</w:t>
      </w:r>
      <w:r w:rsidR="00B47F9A" w:rsidRPr="000B7739">
        <w:rPr>
          <w:lang w:val="fr-CA"/>
        </w:rPr>
        <w:t xml:space="preserve"> la </w:t>
      </w:r>
      <w:r w:rsidR="006E69EC" w:rsidRPr="000B7739">
        <w:rPr>
          <w:lang w:val="fr-CA"/>
        </w:rPr>
        <w:t>libération</w:t>
      </w:r>
      <w:r w:rsidRPr="000B7739">
        <w:rPr>
          <w:lang w:val="fr-CA"/>
        </w:rPr>
        <w:t xml:space="preserve"> d</w:t>
      </w:r>
      <w:r w:rsidR="00B47F9A" w:rsidRPr="000B7739">
        <w:rPr>
          <w:lang w:val="fr-CA"/>
        </w:rPr>
        <w:t>e marchandises expédiées avant la</w:t>
      </w:r>
      <w:r w:rsidR="003F57FA" w:rsidRPr="000B7739">
        <w:rPr>
          <w:lang w:val="fr-CA"/>
        </w:rPr>
        <w:t> </w:t>
      </w:r>
      <w:r w:rsidR="00B47F9A" w:rsidRPr="000B7739">
        <w:rPr>
          <w:lang w:val="fr-CA"/>
        </w:rPr>
        <w:t>réception des documents de transport;</w:t>
      </w:r>
    </w:p>
    <w:p w14:paraId="4FB347B0" w14:textId="05179648" w:rsidR="00FF17EF" w:rsidRPr="000B7739" w:rsidRDefault="005267DB" w:rsidP="000B7739">
      <w:pPr>
        <w:pStyle w:val="04LOLglNew3"/>
        <w:numPr>
          <w:ilvl w:val="2"/>
          <w:numId w:val="30"/>
        </w:numPr>
        <w:rPr>
          <w:lang w:val="fr-CA"/>
        </w:rPr>
      </w:pPr>
      <w:r w:rsidRPr="000B7739">
        <w:rPr>
          <w:lang w:val="fr-CA"/>
        </w:rPr>
        <w:lastRenderedPageBreak/>
        <w:t>la remise d</w:t>
      </w:r>
      <w:r w:rsidR="00564B0C" w:rsidRPr="000B7739">
        <w:rPr>
          <w:lang w:val="fr-CA"/>
        </w:rPr>
        <w:t>’</w:t>
      </w:r>
      <w:r w:rsidRPr="000B7739">
        <w:rPr>
          <w:lang w:val="fr-CA"/>
        </w:rPr>
        <w:t xml:space="preserve">un </w:t>
      </w:r>
      <w:r w:rsidR="00B47F9A" w:rsidRPr="000B7739">
        <w:rPr>
          <w:lang w:val="fr-CA"/>
        </w:rPr>
        <w:t xml:space="preserve">cautionnement par aval ou </w:t>
      </w:r>
      <w:r w:rsidRPr="000B7739">
        <w:rPr>
          <w:lang w:val="fr-CA"/>
        </w:rPr>
        <w:t>d</w:t>
      </w:r>
      <w:r w:rsidR="00564B0C" w:rsidRPr="000B7739">
        <w:rPr>
          <w:lang w:val="fr-CA"/>
        </w:rPr>
        <w:t>’</w:t>
      </w:r>
      <w:r w:rsidRPr="000B7739">
        <w:rPr>
          <w:lang w:val="fr-CA"/>
        </w:rPr>
        <w:t xml:space="preserve">une </w:t>
      </w:r>
      <w:r w:rsidR="00B47F9A" w:rsidRPr="000B7739">
        <w:rPr>
          <w:lang w:val="fr-CA"/>
        </w:rPr>
        <w:t xml:space="preserve">garantie </w:t>
      </w:r>
      <w:r w:rsidRPr="000B7739">
        <w:rPr>
          <w:lang w:val="fr-CA"/>
        </w:rPr>
        <w:t xml:space="preserve">couvrant </w:t>
      </w:r>
      <w:r w:rsidR="00B47F9A" w:rsidRPr="000B7739">
        <w:rPr>
          <w:lang w:val="fr-CA"/>
        </w:rPr>
        <w:t xml:space="preserve">des lettres de change </w:t>
      </w:r>
      <w:r w:rsidR="00C9275B" w:rsidRPr="000B7739">
        <w:rPr>
          <w:lang w:val="fr-CA"/>
        </w:rPr>
        <w:t>que</w:t>
      </w:r>
      <w:r w:rsidR="003F57FA" w:rsidRPr="000B7739">
        <w:rPr>
          <w:lang w:val="fr-CA"/>
        </w:rPr>
        <w:t> </w:t>
      </w:r>
      <w:r w:rsidR="00C9275B" w:rsidRPr="000B7739">
        <w:rPr>
          <w:lang w:val="fr-CA"/>
        </w:rPr>
        <w:t>l</w:t>
      </w:r>
      <w:r w:rsidR="00564B0C" w:rsidRPr="000B7739">
        <w:rPr>
          <w:lang w:val="fr-CA"/>
        </w:rPr>
        <w:t>’</w:t>
      </w:r>
      <w:r w:rsidR="00C9275B" w:rsidRPr="000B7739">
        <w:rPr>
          <w:lang w:val="fr-CA"/>
        </w:rPr>
        <w:t>Emprunteur a acceptées jusqu</w:t>
      </w:r>
      <w:r w:rsidR="00564B0C" w:rsidRPr="000B7739">
        <w:rPr>
          <w:lang w:val="fr-CA"/>
        </w:rPr>
        <w:t>’</w:t>
      </w:r>
      <w:r w:rsidR="00C9275B" w:rsidRPr="000B7739">
        <w:rPr>
          <w:lang w:val="fr-CA"/>
        </w:rPr>
        <w:t xml:space="preserve">à concurrence </w:t>
      </w:r>
      <w:r w:rsidR="00B47F9A" w:rsidRPr="000B7739">
        <w:rPr>
          <w:lang w:val="fr-CA"/>
        </w:rPr>
        <w:t>d</w:t>
      </w:r>
      <w:r w:rsidR="00564B0C" w:rsidRPr="000B7739">
        <w:rPr>
          <w:lang w:val="fr-CA"/>
        </w:rPr>
        <w:t>’</w:t>
      </w:r>
      <w:r w:rsidR="00B47F9A" w:rsidRPr="000B7739">
        <w:rPr>
          <w:lang w:val="fr-CA"/>
        </w:rPr>
        <w:t>un</w:t>
      </w:r>
      <w:r w:rsidR="006E69EC" w:rsidRPr="000B7739">
        <w:rPr>
          <w:lang w:val="fr-CA"/>
        </w:rPr>
        <w:t xml:space="preserve"> terme</w:t>
      </w:r>
      <w:r w:rsidR="00B47F9A" w:rsidRPr="000B7739">
        <w:rPr>
          <w:lang w:val="fr-CA"/>
        </w:rPr>
        <w:t xml:space="preserve"> maximal de </w:t>
      </w:r>
      <w:r w:rsidR="00B67E21" w:rsidRPr="000B7739">
        <w:rPr>
          <w:b/>
          <w:lang w:val="fr-CA"/>
        </w:rPr>
        <w:t>●</w:t>
      </w:r>
      <w:r w:rsidR="00AC4107" w:rsidRPr="000B7739">
        <w:rPr>
          <w:lang w:val="fr-CA"/>
        </w:rPr>
        <w:t xml:space="preserve"> </w:t>
      </w:r>
      <w:r w:rsidR="00B47F9A" w:rsidRPr="000B7739">
        <w:rPr>
          <w:lang w:val="fr-CA"/>
        </w:rPr>
        <w:t>jours et d</w:t>
      </w:r>
      <w:r w:rsidR="00564B0C" w:rsidRPr="000B7739">
        <w:rPr>
          <w:lang w:val="fr-CA"/>
        </w:rPr>
        <w:t>’</w:t>
      </w:r>
      <w:r w:rsidR="00B47F9A" w:rsidRPr="000B7739">
        <w:rPr>
          <w:lang w:val="fr-CA"/>
        </w:rPr>
        <w:t xml:space="preserve">un montant maximal de </w:t>
      </w:r>
      <w:r w:rsidR="00877DCF" w:rsidRPr="000B7739">
        <w:rPr>
          <w:lang w:val="fr-CA"/>
        </w:rPr>
        <w:t>[●</w:t>
      </w:r>
      <w:r w:rsidR="00AC4107" w:rsidRPr="000B7739">
        <w:rPr>
          <w:lang w:val="fr-CA"/>
        </w:rPr>
        <w:t xml:space="preserve"> </w:t>
      </w:r>
      <w:r w:rsidR="00877DCF" w:rsidRPr="000B7739">
        <w:rPr>
          <w:lang w:val="fr-CA"/>
        </w:rPr>
        <w:t>$</w:t>
      </w:r>
      <w:r w:rsidR="00AC4107" w:rsidRPr="000B7739">
        <w:rPr>
          <w:lang w:val="fr-CA"/>
        </w:rPr>
        <w:t xml:space="preserve"> </w:t>
      </w:r>
      <w:r w:rsidR="00877DCF" w:rsidRPr="000B7739">
        <w:rPr>
          <w:lang w:val="fr-CA"/>
        </w:rPr>
        <w:t xml:space="preserve">CA </w:t>
      </w:r>
      <w:r w:rsidR="00877DCF" w:rsidRPr="000B7739">
        <w:rPr>
          <w:b/>
          <w:color w:val="00B0F0"/>
          <w:highlight w:val="yellow"/>
          <w:lang w:val="fr-CA"/>
        </w:rPr>
        <w:t>OU</w:t>
      </w:r>
      <w:r w:rsidR="00877DCF" w:rsidRPr="000B7739">
        <w:rPr>
          <w:lang w:val="fr-CA"/>
        </w:rPr>
        <w:t xml:space="preserve"> ●</w:t>
      </w:r>
      <w:r w:rsidR="00AC4107" w:rsidRPr="000B7739">
        <w:rPr>
          <w:lang w:val="fr-CA"/>
        </w:rPr>
        <w:t xml:space="preserve"> </w:t>
      </w:r>
      <w:r w:rsidR="00877DCF" w:rsidRPr="000B7739">
        <w:rPr>
          <w:lang w:val="fr-CA"/>
        </w:rPr>
        <w:t>$</w:t>
      </w:r>
      <w:r w:rsidR="00AC4107" w:rsidRPr="000B7739">
        <w:rPr>
          <w:lang w:val="fr-CA"/>
        </w:rPr>
        <w:t xml:space="preserve"> </w:t>
      </w:r>
      <w:r w:rsidR="00877DCF" w:rsidRPr="000B7739">
        <w:rPr>
          <w:lang w:val="fr-CA"/>
        </w:rPr>
        <w:t>US]</w:t>
      </w:r>
      <w:r w:rsidR="00C619C1" w:rsidRPr="000B7739">
        <w:rPr>
          <w:lang w:val="fr-CA"/>
        </w:rPr>
        <w:t>.</w:t>
      </w:r>
    </w:p>
    <w:p w14:paraId="2BD20201" w14:textId="3449532F" w:rsidR="007F0E39" w:rsidRPr="00B63BD5" w:rsidRDefault="007F0E39" w:rsidP="00632863">
      <w:pPr>
        <w:spacing w:after="240"/>
        <w:jc w:val="both"/>
        <w:rPr>
          <w:lang w:val="fr-CA"/>
        </w:rPr>
      </w:pPr>
      <w:r w:rsidRPr="00B63BD5">
        <w:rPr>
          <w:b/>
          <w:color w:val="00B0F0"/>
          <w:lang w:val="fr-CA"/>
        </w:rPr>
        <w:t>[S</w:t>
      </w:r>
      <w:r w:rsidR="00564B0C" w:rsidRPr="00B63BD5">
        <w:rPr>
          <w:b/>
          <w:color w:val="00B0F0"/>
          <w:lang w:val="fr-CA"/>
        </w:rPr>
        <w:t>’</w:t>
      </w:r>
      <w:r w:rsidRPr="00B63BD5">
        <w:rPr>
          <w:b/>
          <w:color w:val="00B0F0"/>
          <w:lang w:val="fr-CA"/>
        </w:rPr>
        <w:t>il n</w:t>
      </w:r>
      <w:r w:rsidR="00564B0C" w:rsidRPr="00B63BD5">
        <w:rPr>
          <w:b/>
          <w:color w:val="00B0F0"/>
          <w:lang w:val="fr-CA"/>
        </w:rPr>
        <w:t>’</w:t>
      </w:r>
      <w:r w:rsidRPr="00B63BD5">
        <w:rPr>
          <w:b/>
          <w:color w:val="00B0F0"/>
          <w:lang w:val="fr-CA"/>
        </w:rPr>
        <w:t>y a qu</w:t>
      </w:r>
      <w:r w:rsidR="00564B0C" w:rsidRPr="00B63BD5">
        <w:rPr>
          <w:b/>
          <w:color w:val="00B0F0"/>
          <w:lang w:val="fr-CA"/>
        </w:rPr>
        <w:t>’</w:t>
      </w:r>
      <w:r w:rsidRPr="00B63BD5">
        <w:rPr>
          <w:b/>
          <w:color w:val="00B0F0"/>
          <w:lang w:val="fr-CA"/>
        </w:rPr>
        <w:t>un seul Emprunteur</w:t>
      </w:r>
      <w:r w:rsidR="00AC4107" w:rsidRPr="00B63BD5">
        <w:rPr>
          <w:b/>
          <w:color w:val="00B0F0"/>
          <w:lang w:val="fr-CA"/>
        </w:rPr>
        <w:t xml:space="preserve"> </w:t>
      </w:r>
      <w:r w:rsidRPr="00B63BD5">
        <w:rPr>
          <w:b/>
          <w:color w:val="00B0F0"/>
          <w:lang w:val="fr-CA"/>
        </w:rPr>
        <w:t>:</w:t>
      </w:r>
      <w:r w:rsidR="000638E9" w:rsidRPr="00B63BD5">
        <w:rPr>
          <w:b/>
          <w:color w:val="00B0F0"/>
          <w:lang w:val="fr-CA"/>
        </w:rPr>
        <w:t>]</w:t>
      </w:r>
      <w:r w:rsidRPr="00B63BD5">
        <w:rPr>
          <w:b/>
          <w:color w:val="00B0F0"/>
          <w:lang w:val="fr-CA"/>
        </w:rPr>
        <w:t xml:space="preserve"> </w:t>
      </w:r>
      <w:r w:rsidRPr="00B63BD5">
        <w:rPr>
          <w:lang w:val="fr-CA"/>
        </w:rPr>
        <w:t>L</w:t>
      </w:r>
      <w:r w:rsidR="00564B0C" w:rsidRPr="00B63BD5">
        <w:rPr>
          <w:lang w:val="fr-CA"/>
        </w:rPr>
        <w:t>’</w:t>
      </w:r>
      <w:r w:rsidRPr="00B63BD5">
        <w:rPr>
          <w:lang w:val="fr-CA"/>
        </w:rPr>
        <w:t>Emprunteur doit s</w:t>
      </w:r>
      <w:r w:rsidR="00564B0C" w:rsidRPr="00B63BD5">
        <w:rPr>
          <w:lang w:val="fr-CA"/>
        </w:rPr>
        <w:t>’</w:t>
      </w:r>
      <w:r w:rsidRPr="00B63BD5">
        <w:rPr>
          <w:lang w:val="fr-CA"/>
        </w:rPr>
        <w:t xml:space="preserve">assurer que </w:t>
      </w:r>
      <w:r w:rsidR="00830777" w:rsidRPr="00B63BD5">
        <w:rPr>
          <w:lang w:val="fr-CA"/>
        </w:rPr>
        <w:t xml:space="preserve">le montant global de </w:t>
      </w:r>
      <w:r w:rsidR="00B67E21" w:rsidRPr="00B63BD5">
        <w:rPr>
          <w:lang w:val="fr-CA"/>
        </w:rPr>
        <w:t>[l</w:t>
      </w:r>
      <w:r w:rsidR="00564B0C" w:rsidRPr="00B63BD5">
        <w:rPr>
          <w:lang w:val="fr-CA"/>
        </w:rPr>
        <w:t>’</w:t>
      </w:r>
      <w:r w:rsidR="00B67E21" w:rsidRPr="00B63BD5">
        <w:rPr>
          <w:lang w:val="fr-CA"/>
        </w:rPr>
        <w:t xml:space="preserve">Équivalent en dollars canadiens </w:t>
      </w:r>
      <w:r w:rsidR="001934B0" w:rsidRPr="00B63BD5">
        <w:rPr>
          <w:b/>
          <w:color w:val="00B0F0"/>
          <w:highlight w:val="yellow"/>
          <w:lang w:val="fr-CA"/>
        </w:rPr>
        <w:t>OU</w:t>
      </w:r>
      <w:r w:rsidR="00B67E21" w:rsidRPr="00B63BD5">
        <w:rPr>
          <w:lang w:val="fr-CA"/>
        </w:rPr>
        <w:t xml:space="preserve"> l</w:t>
      </w:r>
      <w:r w:rsidR="00564B0C" w:rsidRPr="00B63BD5">
        <w:rPr>
          <w:lang w:val="fr-CA"/>
        </w:rPr>
        <w:t>’</w:t>
      </w:r>
      <w:r w:rsidR="00B67E21" w:rsidRPr="00B63BD5">
        <w:rPr>
          <w:lang w:val="fr-CA"/>
        </w:rPr>
        <w:t>Équivalent en dollars américains]</w:t>
      </w:r>
      <w:r w:rsidRPr="00B63BD5">
        <w:rPr>
          <w:b/>
          <w:lang w:val="fr-CA"/>
        </w:rPr>
        <w:t xml:space="preserve"> </w:t>
      </w:r>
      <w:r w:rsidRPr="00B63BD5">
        <w:rPr>
          <w:lang w:val="fr-CA"/>
        </w:rPr>
        <w:t>de</w:t>
      </w:r>
      <w:r w:rsidR="000638E9" w:rsidRPr="00B63BD5">
        <w:rPr>
          <w:lang w:val="fr-CA"/>
        </w:rPr>
        <w:t xml:space="preserve"> toutes les </w:t>
      </w:r>
      <w:r w:rsidRPr="00B63BD5">
        <w:rPr>
          <w:lang w:val="fr-CA"/>
        </w:rPr>
        <w:t>sommes avancées et</w:t>
      </w:r>
      <w:r w:rsidR="003F57FA" w:rsidRPr="00B63BD5">
        <w:rPr>
          <w:lang w:val="fr-CA"/>
        </w:rPr>
        <w:t> </w:t>
      </w:r>
      <w:r w:rsidRPr="00B63BD5">
        <w:rPr>
          <w:lang w:val="fr-CA"/>
        </w:rPr>
        <w:t>de</w:t>
      </w:r>
      <w:r w:rsidR="003F57FA" w:rsidRPr="00B63BD5">
        <w:rPr>
          <w:lang w:val="fr-CA"/>
        </w:rPr>
        <w:t> </w:t>
      </w:r>
      <w:r w:rsidR="000638E9" w:rsidRPr="00B63BD5">
        <w:rPr>
          <w:lang w:val="fr-CA"/>
        </w:rPr>
        <w:t>tous</w:t>
      </w:r>
      <w:r w:rsidR="003F57FA" w:rsidRPr="00B63BD5">
        <w:rPr>
          <w:lang w:val="fr-CA"/>
        </w:rPr>
        <w:t> </w:t>
      </w:r>
      <w:r w:rsidR="000638E9" w:rsidRPr="00B63BD5">
        <w:rPr>
          <w:lang w:val="fr-CA"/>
        </w:rPr>
        <w:t>les</w:t>
      </w:r>
      <w:r w:rsidR="003F57FA" w:rsidRPr="00B63BD5">
        <w:rPr>
          <w:lang w:val="fr-CA"/>
        </w:rPr>
        <w:t> </w:t>
      </w:r>
      <w:r w:rsidRPr="00B63BD5">
        <w:rPr>
          <w:lang w:val="fr-CA"/>
        </w:rPr>
        <w:t xml:space="preserve">crédits </w:t>
      </w:r>
      <w:r w:rsidR="000638E9" w:rsidRPr="00B63BD5">
        <w:rPr>
          <w:lang w:val="fr-CA"/>
        </w:rPr>
        <w:t xml:space="preserve">impayés </w:t>
      </w:r>
      <w:r w:rsidRPr="00B63BD5">
        <w:rPr>
          <w:lang w:val="fr-CA"/>
        </w:rPr>
        <w:t>(y</w:t>
      </w:r>
      <w:r w:rsidR="00AC4107" w:rsidRPr="00B63BD5">
        <w:rPr>
          <w:lang w:val="fr-CA"/>
        </w:rPr>
        <w:t xml:space="preserve"> </w:t>
      </w:r>
      <w:r w:rsidRPr="00B63BD5">
        <w:rPr>
          <w:lang w:val="fr-CA"/>
        </w:rPr>
        <w:t>compris la valeur nominale des Crédits documentaires et des garanties</w:t>
      </w:r>
      <w:r w:rsidR="00830777" w:rsidRPr="00B63BD5">
        <w:rPr>
          <w:lang w:val="fr-CA"/>
        </w:rPr>
        <w:t xml:space="preserve"> émis et impayés</w:t>
      </w:r>
      <w:r w:rsidRPr="00B63BD5">
        <w:rPr>
          <w:lang w:val="fr-CA"/>
        </w:rPr>
        <w:t>) sur la Facilité de crédit à l</w:t>
      </w:r>
      <w:r w:rsidR="00564B0C" w:rsidRPr="00B63BD5">
        <w:rPr>
          <w:lang w:val="fr-CA"/>
        </w:rPr>
        <w:t>’</w:t>
      </w:r>
      <w:r w:rsidRPr="00B63BD5">
        <w:rPr>
          <w:lang w:val="fr-CA"/>
        </w:rPr>
        <w:t xml:space="preserve">importation </w:t>
      </w:r>
      <w:r w:rsidR="000638E9" w:rsidRPr="00B63BD5">
        <w:rPr>
          <w:lang w:val="fr-CA"/>
        </w:rPr>
        <w:t>n</w:t>
      </w:r>
      <w:r w:rsidR="00564B0C" w:rsidRPr="00B63BD5">
        <w:rPr>
          <w:lang w:val="fr-CA"/>
        </w:rPr>
        <w:t>’</w:t>
      </w:r>
      <w:r w:rsidR="000638E9" w:rsidRPr="00B63BD5">
        <w:rPr>
          <w:lang w:val="fr-CA"/>
        </w:rPr>
        <w:t xml:space="preserve">excède </w:t>
      </w:r>
      <w:r w:rsidRPr="00B63BD5">
        <w:rPr>
          <w:lang w:val="fr-CA"/>
        </w:rPr>
        <w:t>à aucu</w:t>
      </w:r>
      <w:r w:rsidR="000638E9" w:rsidRPr="00B63BD5">
        <w:rPr>
          <w:lang w:val="fr-CA"/>
        </w:rPr>
        <w:t xml:space="preserve">n moment la </w:t>
      </w:r>
      <w:r w:rsidR="00FC66C4" w:rsidRPr="00B63BD5">
        <w:rPr>
          <w:lang w:val="fr-CA"/>
        </w:rPr>
        <w:t>limite autorisée maximale de la Facilité de crédit à l</w:t>
      </w:r>
      <w:r w:rsidR="00564B0C" w:rsidRPr="00B63BD5">
        <w:rPr>
          <w:lang w:val="fr-CA"/>
        </w:rPr>
        <w:t>’</w:t>
      </w:r>
      <w:r w:rsidR="00FC66C4" w:rsidRPr="00B63BD5">
        <w:rPr>
          <w:lang w:val="fr-CA"/>
        </w:rPr>
        <w:t>importation dans la monnaie applicable</w:t>
      </w:r>
      <w:r w:rsidR="004D698D" w:rsidRPr="00B63BD5">
        <w:rPr>
          <w:lang w:val="fr-CA"/>
        </w:rPr>
        <w:t xml:space="preserve"> indiquée</w:t>
      </w:r>
      <w:r w:rsidR="00FC66C4" w:rsidRPr="00B63BD5">
        <w:rPr>
          <w:lang w:val="fr-CA"/>
        </w:rPr>
        <w:t xml:space="preserve"> au paragraphe</w:t>
      </w:r>
      <w:r w:rsidR="00AC4107" w:rsidRPr="00B63BD5">
        <w:rPr>
          <w:lang w:val="fr-CA"/>
        </w:rPr>
        <w:t xml:space="preserve"> </w:t>
      </w:r>
      <w:r w:rsidR="00FC66C4" w:rsidRPr="00B63BD5">
        <w:rPr>
          <w:lang w:val="fr-CA"/>
        </w:rPr>
        <w:t>[3</w:t>
      </w:r>
      <w:r w:rsidR="00AB0594" w:rsidRPr="00B63BD5">
        <w:rPr>
          <w:lang w:val="fr-CA"/>
        </w:rPr>
        <w:t>.</w:t>
      </w:r>
      <w:r w:rsidR="00FC66C4" w:rsidRPr="00B63BD5">
        <w:rPr>
          <w:lang w:val="fr-CA"/>
        </w:rPr>
        <w:t>1]</w:t>
      </w:r>
      <w:r w:rsidR="000638E9" w:rsidRPr="00B63BD5">
        <w:rPr>
          <w:lang w:val="fr-CA"/>
        </w:rPr>
        <w:t>.</w:t>
      </w:r>
    </w:p>
    <w:p w14:paraId="32A3BCC0" w14:textId="37BEA75B" w:rsidR="007F0E39" w:rsidRPr="00B63BD5" w:rsidRDefault="007F0E39" w:rsidP="00632863">
      <w:pPr>
        <w:spacing w:after="240"/>
        <w:jc w:val="both"/>
        <w:rPr>
          <w:lang w:val="fr-CA"/>
        </w:rPr>
      </w:pPr>
      <w:r w:rsidRPr="00B63BD5">
        <w:rPr>
          <w:b/>
          <w:color w:val="00B0F0"/>
          <w:lang w:val="fr-CA"/>
        </w:rPr>
        <w:t>[S</w:t>
      </w:r>
      <w:r w:rsidR="00564B0C" w:rsidRPr="00B63BD5">
        <w:rPr>
          <w:b/>
          <w:color w:val="00B0F0"/>
          <w:lang w:val="fr-CA"/>
        </w:rPr>
        <w:t>’</w:t>
      </w:r>
      <w:r w:rsidRPr="00B63BD5">
        <w:rPr>
          <w:b/>
          <w:color w:val="00B0F0"/>
          <w:lang w:val="fr-CA"/>
        </w:rPr>
        <w:t>il y a plusieurs Emprunteurs</w:t>
      </w:r>
      <w:r w:rsidR="00AC4107" w:rsidRPr="00B63BD5">
        <w:rPr>
          <w:b/>
          <w:color w:val="00B0F0"/>
          <w:lang w:val="fr-CA"/>
        </w:rPr>
        <w:t xml:space="preserve"> </w:t>
      </w:r>
      <w:r w:rsidRPr="00B63BD5">
        <w:rPr>
          <w:b/>
          <w:color w:val="00B0F0"/>
          <w:lang w:val="fr-CA"/>
        </w:rPr>
        <w:t>:</w:t>
      </w:r>
      <w:r w:rsidR="000638E9" w:rsidRPr="00B63BD5">
        <w:rPr>
          <w:b/>
          <w:color w:val="00B0F0"/>
          <w:lang w:val="fr-CA"/>
        </w:rPr>
        <w:t>]</w:t>
      </w:r>
      <w:r w:rsidRPr="00B63BD5">
        <w:rPr>
          <w:b/>
          <w:color w:val="00B0F0"/>
          <w:lang w:val="fr-CA"/>
        </w:rPr>
        <w:t xml:space="preserve"> </w:t>
      </w:r>
      <w:r w:rsidRPr="00B63BD5">
        <w:rPr>
          <w:lang w:val="fr-CA"/>
        </w:rPr>
        <w:t>Les Emprunteurs doivent s</w:t>
      </w:r>
      <w:r w:rsidR="00564B0C" w:rsidRPr="00B63BD5">
        <w:rPr>
          <w:lang w:val="fr-CA"/>
        </w:rPr>
        <w:t>’</w:t>
      </w:r>
      <w:r w:rsidRPr="00B63BD5">
        <w:rPr>
          <w:lang w:val="fr-CA"/>
        </w:rPr>
        <w:t xml:space="preserve">assurer que </w:t>
      </w:r>
      <w:r w:rsidR="00B67E21" w:rsidRPr="00B63BD5">
        <w:rPr>
          <w:lang w:val="fr-CA"/>
        </w:rPr>
        <w:t>[l</w:t>
      </w:r>
      <w:r w:rsidR="00564B0C" w:rsidRPr="00B63BD5">
        <w:rPr>
          <w:lang w:val="fr-CA"/>
        </w:rPr>
        <w:t>’</w:t>
      </w:r>
      <w:r w:rsidR="00B67E21" w:rsidRPr="00B63BD5">
        <w:rPr>
          <w:lang w:val="fr-CA"/>
        </w:rPr>
        <w:t xml:space="preserve">Équivalent en dollars canadiens </w:t>
      </w:r>
      <w:r w:rsidR="001934B0" w:rsidRPr="00B63BD5">
        <w:rPr>
          <w:b/>
          <w:color w:val="00B0F0"/>
          <w:highlight w:val="yellow"/>
          <w:lang w:val="fr-CA"/>
        </w:rPr>
        <w:t>OU</w:t>
      </w:r>
      <w:r w:rsidR="00B67E21" w:rsidRPr="00B63BD5">
        <w:rPr>
          <w:lang w:val="fr-CA"/>
        </w:rPr>
        <w:t xml:space="preserve"> l</w:t>
      </w:r>
      <w:r w:rsidR="00564B0C" w:rsidRPr="00B63BD5">
        <w:rPr>
          <w:lang w:val="fr-CA"/>
        </w:rPr>
        <w:t>’</w:t>
      </w:r>
      <w:r w:rsidR="00B67E21" w:rsidRPr="00B63BD5">
        <w:rPr>
          <w:lang w:val="fr-CA"/>
        </w:rPr>
        <w:t>Équivalent en dollars américains]</w:t>
      </w:r>
      <w:r w:rsidRPr="00B63BD5">
        <w:rPr>
          <w:b/>
          <w:lang w:val="fr-CA"/>
        </w:rPr>
        <w:t xml:space="preserve"> </w:t>
      </w:r>
      <w:r w:rsidR="00E72FBE" w:rsidRPr="00B63BD5">
        <w:rPr>
          <w:lang w:val="fr-CA"/>
        </w:rPr>
        <w:t xml:space="preserve">de toutes les </w:t>
      </w:r>
      <w:r w:rsidRPr="00B63BD5">
        <w:rPr>
          <w:lang w:val="fr-CA"/>
        </w:rPr>
        <w:t xml:space="preserve">sommes avancées et </w:t>
      </w:r>
      <w:r w:rsidR="00E72FBE" w:rsidRPr="00B63BD5">
        <w:rPr>
          <w:lang w:val="fr-CA"/>
        </w:rPr>
        <w:t xml:space="preserve">de tous les </w:t>
      </w:r>
      <w:r w:rsidRPr="00B63BD5">
        <w:rPr>
          <w:lang w:val="fr-CA"/>
        </w:rPr>
        <w:t xml:space="preserve">crédits </w:t>
      </w:r>
      <w:r w:rsidR="000638E9" w:rsidRPr="00B63BD5">
        <w:rPr>
          <w:lang w:val="fr-CA"/>
        </w:rPr>
        <w:t xml:space="preserve">impayés </w:t>
      </w:r>
      <w:r w:rsidRPr="00B63BD5">
        <w:rPr>
          <w:lang w:val="fr-CA"/>
        </w:rPr>
        <w:t>(y</w:t>
      </w:r>
      <w:r w:rsidR="00363F9D" w:rsidRPr="00B63BD5">
        <w:rPr>
          <w:lang w:val="fr-CA"/>
        </w:rPr>
        <w:t> </w:t>
      </w:r>
      <w:r w:rsidRPr="00B63BD5">
        <w:rPr>
          <w:lang w:val="fr-CA"/>
        </w:rPr>
        <w:t>compris la valeur nominale des Crédits documentaires et des garanties</w:t>
      </w:r>
      <w:r w:rsidR="00830777" w:rsidRPr="00B63BD5">
        <w:rPr>
          <w:lang w:val="fr-CA"/>
        </w:rPr>
        <w:t xml:space="preserve"> émis et impayés</w:t>
      </w:r>
      <w:r w:rsidRPr="00B63BD5">
        <w:rPr>
          <w:lang w:val="fr-CA"/>
        </w:rPr>
        <w:t>) sur</w:t>
      </w:r>
      <w:r w:rsidR="003F57FA" w:rsidRPr="00B63BD5">
        <w:rPr>
          <w:lang w:val="fr-CA"/>
        </w:rPr>
        <w:t> </w:t>
      </w:r>
      <w:r w:rsidRPr="00B63BD5">
        <w:rPr>
          <w:lang w:val="fr-CA"/>
        </w:rPr>
        <w:t>la</w:t>
      </w:r>
      <w:r w:rsidR="003F57FA" w:rsidRPr="00B63BD5">
        <w:rPr>
          <w:lang w:val="fr-CA"/>
        </w:rPr>
        <w:t> </w:t>
      </w:r>
      <w:r w:rsidRPr="00B63BD5">
        <w:rPr>
          <w:lang w:val="fr-CA"/>
        </w:rPr>
        <w:t>Facilité de crédit à</w:t>
      </w:r>
      <w:r w:rsidR="00363F9D" w:rsidRPr="00B63BD5">
        <w:rPr>
          <w:lang w:val="fr-CA"/>
        </w:rPr>
        <w:t> </w:t>
      </w:r>
      <w:r w:rsidRPr="00B63BD5">
        <w:rPr>
          <w:lang w:val="fr-CA"/>
        </w:rPr>
        <w:t>l</w:t>
      </w:r>
      <w:r w:rsidR="00564B0C" w:rsidRPr="00B63BD5">
        <w:rPr>
          <w:lang w:val="fr-CA"/>
        </w:rPr>
        <w:t>’</w:t>
      </w:r>
      <w:r w:rsidRPr="00B63BD5">
        <w:rPr>
          <w:lang w:val="fr-CA"/>
        </w:rPr>
        <w:t>importation n</w:t>
      </w:r>
      <w:r w:rsidR="00564B0C" w:rsidRPr="00B63BD5">
        <w:rPr>
          <w:lang w:val="fr-CA"/>
        </w:rPr>
        <w:t>’</w:t>
      </w:r>
      <w:r w:rsidR="000638E9" w:rsidRPr="00B63BD5">
        <w:rPr>
          <w:lang w:val="fr-CA"/>
        </w:rPr>
        <w:t xml:space="preserve">excède </w:t>
      </w:r>
      <w:r w:rsidRPr="00B63BD5">
        <w:rPr>
          <w:lang w:val="fr-CA"/>
        </w:rPr>
        <w:t>à aucun moment la somme dont ils disposent respectivement qui est indiquée ci</w:t>
      </w:r>
      <w:r w:rsidRPr="00B63BD5">
        <w:rPr>
          <w:lang w:val="fr-CA"/>
        </w:rPr>
        <w:noBreakHyphen/>
        <w:t xml:space="preserve">dessus et que le montant </w:t>
      </w:r>
      <w:r w:rsidR="00830777" w:rsidRPr="00B63BD5">
        <w:rPr>
          <w:lang w:val="fr-CA"/>
        </w:rPr>
        <w:t xml:space="preserve">global </w:t>
      </w:r>
      <w:r w:rsidRPr="00B63BD5">
        <w:rPr>
          <w:lang w:val="fr-CA"/>
        </w:rPr>
        <w:t xml:space="preserve">de </w:t>
      </w:r>
      <w:r w:rsidR="003E16D5" w:rsidRPr="00B63BD5">
        <w:rPr>
          <w:lang w:val="fr-CA"/>
        </w:rPr>
        <w:t xml:space="preserve">toutes les </w:t>
      </w:r>
      <w:r w:rsidRPr="00B63BD5">
        <w:rPr>
          <w:lang w:val="fr-CA"/>
        </w:rPr>
        <w:t>sommes avancées et</w:t>
      </w:r>
      <w:r w:rsidR="003F57FA" w:rsidRPr="00B63BD5">
        <w:rPr>
          <w:lang w:val="fr-CA"/>
        </w:rPr>
        <w:t> </w:t>
      </w:r>
      <w:r w:rsidR="00830777" w:rsidRPr="00B63BD5">
        <w:rPr>
          <w:lang w:val="fr-CA"/>
        </w:rPr>
        <w:t>de</w:t>
      </w:r>
      <w:r w:rsidR="003F57FA" w:rsidRPr="00B63BD5">
        <w:rPr>
          <w:lang w:val="fr-CA"/>
        </w:rPr>
        <w:t> </w:t>
      </w:r>
      <w:r w:rsidR="003E16D5" w:rsidRPr="00B63BD5">
        <w:rPr>
          <w:lang w:val="fr-CA"/>
        </w:rPr>
        <w:t xml:space="preserve">tous les </w:t>
      </w:r>
      <w:r w:rsidRPr="00B63BD5">
        <w:rPr>
          <w:lang w:val="fr-CA"/>
        </w:rPr>
        <w:t xml:space="preserve">crédits </w:t>
      </w:r>
      <w:r w:rsidR="000638E9" w:rsidRPr="00B63BD5">
        <w:rPr>
          <w:lang w:val="fr-CA"/>
        </w:rPr>
        <w:t>impayés n</w:t>
      </w:r>
      <w:r w:rsidR="00564B0C" w:rsidRPr="00B63BD5">
        <w:rPr>
          <w:lang w:val="fr-CA"/>
        </w:rPr>
        <w:t>’</w:t>
      </w:r>
      <w:r w:rsidR="000638E9" w:rsidRPr="00B63BD5">
        <w:rPr>
          <w:lang w:val="fr-CA"/>
        </w:rPr>
        <w:t xml:space="preserve">excède </w:t>
      </w:r>
      <w:r w:rsidRPr="00B63BD5">
        <w:rPr>
          <w:lang w:val="fr-CA"/>
        </w:rPr>
        <w:t xml:space="preserve">à aucun moment la </w:t>
      </w:r>
      <w:r w:rsidR="00C51917" w:rsidRPr="00B63BD5">
        <w:rPr>
          <w:lang w:val="fr-CA"/>
        </w:rPr>
        <w:t>limite autorisée maximale de la Facilité de</w:t>
      </w:r>
      <w:r w:rsidR="003F57FA" w:rsidRPr="00B63BD5">
        <w:rPr>
          <w:lang w:val="fr-CA"/>
        </w:rPr>
        <w:t> </w:t>
      </w:r>
      <w:r w:rsidR="00C51917" w:rsidRPr="00B63BD5">
        <w:rPr>
          <w:lang w:val="fr-CA"/>
        </w:rPr>
        <w:t>crédit à l</w:t>
      </w:r>
      <w:r w:rsidR="00564B0C" w:rsidRPr="00B63BD5">
        <w:rPr>
          <w:lang w:val="fr-CA"/>
        </w:rPr>
        <w:t>’</w:t>
      </w:r>
      <w:r w:rsidR="00C51917" w:rsidRPr="00B63BD5">
        <w:rPr>
          <w:lang w:val="fr-CA"/>
        </w:rPr>
        <w:t xml:space="preserve">importation </w:t>
      </w:r>
      <w:r w:rsidRPr="00B63BD5">
        <w:rPr>
          <w:lang w:val="fr-CA"/>
        </w:rPr>
        <w:t xml:space="preserve">dans la </w:t>
      </w:r>
      <w:r w:rsidR="000638E9" w:rsidRPr="00B63BD5">
        <w:rPr>
          <w:lang w:val="fr-CA"/>
        </w:rPr>
        <w:t xml:space="preserve">monnaie </w:t>
      </w:r>
      <w:r w:rsidRPr="00B63BD5">
        <w:rPr>
          <w:lang w:val="fr-CA"/>
        </w:rPr>
        <w:t>applicable</w:t>
      </w:r>
      <w:r w:rsidR="00C51917" w:rsidRPr="00B63BD5">
        <w:rPr>
          <w:lang w:val="fr-CA"/>
        </w:rPr>
        <w:t xml:space="preserve"> indiquée au paragraphe</w:t>
      </w:r>
      <w:r w:rsidR="00AC4107" w:rsidRPr="00B63BD5">
        <w:rPr>
          <w:lang w:val="fr-CA"/>
        </w:rPr>
        <w:t xml:space="preserve"> </w:t>
      </w:r>
      <w:r w:rsidR="00C51917" w:rsidRPr="00B63BD5">
        <w:rPr>
          <w:lang w:val="fr-CA"/>
        </w:rPr>
        <w:t>[3</w:t>
      </w:r>
      <w:r w:rsidR="00AB0594" w:rsidRPr="00B63BD5">
        <w:rPr>
          <w:lang w:val="fr-CA"/>
        </w:rPr>
        <w:t>.</w:t>
      </w:r>
      <w:r w:rsidR="00C51917" w:rsidRPr="00B63BD5">
        <w:rPr>
          <w:lang w:val="fr-CA"/>
        </w:rPr>
        <w:t>1]</w:t>
      </w:r>
      <w:r w:rsidRPr="00B63BD5">
        <w:rPr>
          <w:lang w:val="fr-CA"/>
        </w:rPr>
        <w:t>.</w:t>
      </w:r>
    </w:p>
    <w:p w14:paraId="4E8CEA2A" w14:textId="617FBCA9" w:rsidR="009926E7" w:rsidRPr="00B63BD5" w:rsidRDefault="009926E7" w:rsidP="00D33630">
      <w:pPr>
        <w:pStyle w:val="04LOLglNew2"/>
      </w:pPr>
      <w:r w:rsidRPr="00B63BD5">
        <w:t>Re</w:t>
      </w:r>
      <w:r w:rsidR="00B47F9A" w:rsidRPr="00B63BD5">
        <w:t>mboursement</w:t>
      </w:r>
    </w:p>
    <w:p w14:paraId="0F0033FD" w14:textId="7D9DF510" w:rsidR="009926E7" w:rsidRPr="00B63BD5" w:rsidRDefault="00B47F9A" w:rsidP="00632863">
      <w:pPr>
        <w:spacing w:after="240"/>
        <w:jc w:val="both"/>
        <w:rPr>
          <w:lang w:val="fr-CA"/>
        </w:rPr>
      </w:pPr>
      <w:r w:rsidRPr="00B63BD5">
        <w:rPr>
          <w:lang w:val="fr-CA"/>
        </w:rPr>
        <w:t>L</w:t>
      </w:r>
      <w:r w:rsidR="00564B0C" w:rsidRPr="00B63BD5">
        <w:rPr>
          <w:lang w:val="fr-CA"/>
        </w:rPr>
        <w:t>’</w:t>
      </w:r>
      <w:r w:rsidRPr="00B63BD5">
        <w:rPr>
          <w:lang w:val="fr-CA"/>
        </w:rPr>
        <w:t>Emprunteur doit rembourser toutes les sommes que</w:t>
      </w:r>
      <w:r w:rsidR="00AB0514" w:rsidRPr="00B63BD5">
        <w:rPr>
          <w:lang w:val="fr-CA"/>
        </w:rPr>
        <w:t xml:space="preserve"> la Banque </w:t>
      </w:r>
      <w:r w:rsidRPr="00B63BD5">
        <w:rPr>
          <w:lang w:val="fr-CA"/>
        </w:rPr>
        <w:t xml:space="preserve">lui a avancées </w:t>
      </w:r>
      <w:r w:rsidR="005267DB" w:rsidRPr="00B63BD5">
        <w:rPr>
          <w:lang w:val="fr-CA"/>
        </w:rPr>
        <w:t xml:space="preserve">sur </w:t>
      </w:r>
      <w:r w:rsidRPr="00B63BD5">
        <w:rPr>
          <w:lang w:val="fr-CA"/>
        </w:rPr>
        <w:t>la Facilité de crédit à</w:t>
      </w:r>
      <w:r w:rsidR="003F57FA" w:rsidRPr="00B63BD5">
        <w:rPr>
          <w:lang w:val="fr-CA"/>
        </w:rPr>
        <w:t> </w:t>
      </w:r>
      <w:r w:rsidRPr="00B63BD5">
        <w:rPr>
          <w:lang w:val="fr-CA"/>
        </w:rPr>
        <w:t>l</w:t>
      </w:r>
      <w:r w:rsidR="00564B0C" w:rsidRPr="00B63BD5">
        <w:rPr>
          <w:lang w:val="fr-CA"/>
        </w:rPr>
        <w:t>’</w:t>
      </w:r>
      <w:r w:rsidRPr="00B63BD5">
        <w:rPr>
          <w:lang w:val="fr-CA"/>
        </w:rPr>
        <w:t xml:space="preserve">importation et </w:t>
      </w:r>
      <w:r w:rsidR="00AB0514" w:rsidRPr="00B63BD5">
        <w:rPr>
          <w:lang w:val="fr-CA"/>
        </w:rPr>
        <w:t xml:space="preserve">toutes les </w:t>
      </w:r>
      <w:r w:rsidRPr="00B63BD5">
        <w:rPr>
          <w:lang w:val="fr-CA"/>
        </w:rPr>
        <w:t xml:space="preserve">dettes </w:t>
      </w:r>
      <w:r w:rsidR="00AB0514" w:rsidRPr="00B63BD5">
        <w:rPr>
          <w:lang w:val="fr-CA"/>
        </w:rPr>
        <w:t>qu</w:t>
      </w:r>
      <w:r w:rsidR="00564B0C" w:rsidRPr="00B63BD5">
        <w:rPr>
          <w:lang w:val="fr-CA"/>
        </w:rPr>
        <w:t>’</w:t>
      </w:r>
      <w:r w:rsidR="00AB0514" w:rsidRPr="00B63BD5">
        <w:rPr>
          <w:lang w:val="fr-CA"/>
        </w:rPr>
        <w:t xml:space="preserve">il a contractées </w:t>
      </w:r>
      <w:r w:rsidRPr="00B63BD5">
        <w:rPr>
          <w:lang w:val="fr-CA"/>
        </w:rPr>
        <w:t xml:space="preserve">aux termes de cette facilité, </w:t>
      </w:r>
      <w:r w:rsidR="005267DB" w:rsidRPr="00B63BD5">
        <w:rPr>
          <w:lang w:val="fr-CA"/>
        </w:rPr>
        <w:t xml:space="preserve">majorées de </w:t>
      </w:r>
      <w:r w:rsidRPr="00B63BD5">
        <w:rPr>
          <w:lang w:val="fr-CA"/>
        </w:rPr>
        <w:t>l</w:t>
      </w:r>
      <w:r w:rsidR="00564B0C" w:rsidRPr="00B63BD5">
        <w:rPr>
          <w:lang w:val="fr-CA"/>
        </w:rPr>
        <w:t>’</w:t>
      </w:r>
      <w:r w:rsidRPr="00B63BD5">
        <w:rPr>
          <w:lang w:val="fr-CA"/>
        </w:rPr>
        <w:t xml:space="preserve">intérêt, </w:t>
      </w:r>
      <w:r w:rsidR="00AB0514" w:rsidRPr="00B63BD5">
        <w:rPr>
          <w:lang w:val="fr-CA"/>
        </w:rPr>
        <w:t>sur</w:t>
      </w:r>
      <w:r w:rsidR="003F57FA" w:rsidRPr="00B63BD5">
        <w:rPr>
          <w:lang w:val="fr-CA"/>
        </w:rPr>
        <w:t> </w:t>
      </w:r>
      <w:r w:rsidR="00AB0514" w:rsidRPr="00B63BD5">
        <w:rPr>
          <w:lang w:val="fr-CA"/>
        </w:rPr>
        <w:t>demande de</w:t>
      </w:r>
      <w:r w:rsidRPr="00B63BD5">
        <w:rPr>
          <w:lang w:val="fr-CA"/>
        </w:rPr>
        <w:t xml:space="preserve"> la Banque </w:t>
      </w:r>
      <w:r w:rsidR="003532CA" w:rsidRPr="00B63BD5">
        <w:rPr>
          <w:lang w:val="fr-CA"/>
        </w:rPr>
        <w:t>[</w:t>
      </w:r>
      <w:r w:rsidRPr="00B63BD5">
        <w:rPr>
          <w:lang w:val="fr-CA"/>
        </w:rPr>
        <w:t xml:space="preserve">et, </w:t>
      </w:r>
      <w:r w:rsidR="005267DB" w:rsidRPr="00B63BD5">
        <w:rPr>
          <w:lang w:val="fr-CA"/>
        </w:rPr>
        <w:t>sauf demande contraire de la Banque</w:t>
      </w:r>
      <w:r w:rsidRPr="00B63BD5">
        <w:rPr>
          <w:lang w:val="fr-CA"/>
        </w:rPr>
        <w:t xml:space="preserve">, il doit rembourser les </w:t>
      </w:r>
      <w:r w:rsidR="004E10F8" w:rsidRPr="00B63BD5">
        <w:rPr>
          <w:lang w:val="fr-CA"/>
        </w:rPr>
        <w:t>tirages effectués</w:t>
      </w:r>
      <w:r w:rsidRPr="00B63BD5">
        <w:rPr>
          <w:lang w:val="fr-CA"/>
        </w:rPr>
        <w:t xml:space="preserve"> sur les Crédits documentaires émis par la Banque à la date d</w:t>
      </w:r>
      <w:r w:rsidR="00564B0C" w:rsidRPr="00B63BD5">
        <w:rPr>
          <w:lang w:val="fr-CA"/>
        </w:rPr>
        <w:t>’</w:t>
      </w:r>
      <w:r w:rsidRPr="00B63BD5">
        <w:rPr>
          <w:lang w:val="fr-CA"/>
        </w:rPr>
        <w:t>exigibilité</w:t>
      </w:r>
      <w:r w:rsidR="003532CA" w:rsidRPr="00B63BD5">
        <w:rPr>
          <w:lang w:val="fr-CA"/>
        </w:rPr>
        <w:t>.</w:t>
      </w:r>
      <w:r w:rsidR="0008174F" w:rsidRPr="00B63BD5">
        <w:rPr>
          <w:lang w:val="fr-CA"/>
        </w:rPr>
        <w:t>]</w:t>
      </w:r>
    </w:p>
    <w:p w14:paraId="15D72583" w14:textId="70D85265" w:rsidR="009926E7" w:rsidRPr="00B63BD5" w:rsidRDefault="003532CA" w:rsidP="00D33630">
      <w:pPr>
        <w:pStyle w:val="04LOLglNew2"/>
      </w:pPr>
      <w:r w:rsidRPr="00B63BD5">
        <w:t>Intérêt</w:t>
      </w:r>
    </w:p>
    <w:p w14:paraId="79C6D9B2" w14:textId="19C9394F" w:rsidR="009926E7" w:rsidRPr="00B63BD5" w:rsidRDefault="00B47294" w:rsidP="00632863">
      <w:pPr>
        <w:spacing w:after="240"/>
        <w:jc w:val="both"/>
        <w:rPr>
          <w:lang w:val="fr-CA"/>
        </w:rPr>
      </w:pPr>
      <w:r w:rsidRPr="00B63BD5">
        <w:rPr>
          <w:lang w:val="fr-CA"/>
        </w:rPr>
        <w:t>L</w:t>
      </w:r>
      <w:r w:rsidR="00564B0C" w:rsidRPr="00B63BD5">
        <w:rPr>
          <w:lang w:val="fr-CA"/>
        </w:rPr>
        <w:t>’</w:t>
      </w:r>
      <w:r w:rsidRPr="00B63BD5">
        <w:rPr>
          <w:lang w:val="fr-CA"/>
        </w:rPr>
        <w:t xml:space="preserve">intérêt sur les sommes prélevées </w:t>
      </w:r>
      <w:r w:rsidR="00122508" w:rsidRPr="00B63BD5">
        <w:rPr>
          <w:lang w:val="fr-CA"/>
        </w:rPr>
        <w:t>ou avancées</w:t>
      </w:r>
      <w:r w:rsidR="004B25DA" w:rsidRPr="00B63BD5">
        <w:rPr>
          <w:lang w:val="fr-CA"/>
        </w:rPr>
        <w:t xml:space="preserve"> </w:t>
      </w:r>
      <w:r w:rsidRPr="00B63BD5">
        <w:rPr>
          <w:lang w:val="fr-CA"/>
        </w:rPr>
        <w:t>sur la Facilité de crédit à l</w:t>
      </w:r>
      <w:r w:rsidR="00564B0C" w:rsidRPr="00B63BD5">
        <w:rPr>
          <w:lang w:val="fr-CA"/>
        </w:rPr>
        <w:t>’</w:t>
      </w:r>
      <w:r w:rsidRPr="00B63BD5">
        <w:rPr>
          <w:lang w:val="fr-CA"/>
        </w:rPr>
        <w:t>importation en Dollars canadiens</w:t>
      </w:r>
      <w:r w:rsidR="0037638C" w:rsidRPr="00B63BD5">
        <w:rPr>
          <w:lang w:val="fr-CA"/>
        </w:rPr>
        <w:t xml:space="preserve"> ou</w:t>
      </w:r>
      <w:r w:rsidRPr="00B63BD5">
        <w:rPr>
          <w:lang w:val="fr-CA"/>
        </w:rPr>
        <w:t xml:space="preserve"> en Dollars américains et que </w:t>
      </w:r>
      <w:r w:rsidR="006E69EC" w:rsidRPr="00B63BD5">
        <w:rPr>
          <w:lang w:val="fr-CA"/>
        </w:rPr>
        <w:t>l</w:t>
      </w:r>
      <w:r w:rsidR="00564B0C" w:rsidRPr="00B63BD5">
        <w:rPr>
          <w:lang w:val="fr-CA"/>
        </w:rPr>
        <w:t>’</w:t>
      </w:r>
      <w:r w:rsidR="006E69EC" w:rsidRPr="00B63BD5">
        <w:rPr>
          <w:lang w:val="fr-CA"/>
        </w:rPr>
        <w:t>Emprunteur</w:t>
      </w:r>
      <w:r w:rsidRPr="00B63BD5">
        <w:rPr>
          <w:lang w:val="fr-CA"/>
        </w:rPr>
        <w:t xml:space="preserve"> n</w:t>
      </w:r>
      <w:r w:rsidR="00564B0C" w:rsidRPr="00B63BD5">
        <w:rPr>
          <w:lang w:val="fr-CA"/>
        </w:rPr>
        <w:t>’</w:t>
      </w:r>
      <w:r w:rsidRPr="00B63BD5">
        <w:rPr>
          <w:lang w:val="fr-CA"/>
        </w:rPr>
        <w:t>a pas remboursées à la Banque immédiatement cour</w:t>
      </w:r>
      <w:r w:rsidR="00B218F5" w:rsidRPr="00B63BD5">
        <w:rPr>
          <w:lang w:val="fr-CA"/>
        </w:rPr>
        <w:t>t</w:t>
      </w:r>
      <w:r w:rsidR="00215B1E" w:rsidRPr="00B63BD5">
        <w:rPr>
          <w:lang w:val="fr-CA"/>
        </w:rPr>
        <w:t xml:space="preserve"> quotidiennement et est calculé</w:t>
      </w:r>
      <w:r w:rsidRPr="00B63BD5">
        <w:rPr>
          <w:lang w:val="fr-CA"/>
        </w:rPr>
        <w:t xml:space="preserve"> </w:t>
      </w:r>
      <w:r w:rsidR="004B25DA" w:rsidRPr="00B63BD5">
        <w:rPr>
          <w:lang w:val="fr-CA"/>
        </w:rPr>
        <w:t xml:space="preserve">mensuellement </w:t>
      </w:r>
      <w:r w:rsidRPr="00B63BD5">
        <w:rPr>
          <w:lang w:val="fr-CA"/>
        </w:rPr>
        <w:t>à terme échu au taux de 21</w:t>
      </w:r>
      <w:r w:rsidR="00B056F9" w:rsidRPr="00B63BD5">
        <w:rPr>
          <w:lang w:val="fr-CA"/>
        </w:rPr>
        <w:t> </w:t>
      </w:r>
      <w:r w:rsidRPr="00B63BD5">
        <w:rPr>
          <w:lang w:val="fr-CA"/>
        </w:rPr>
        <w:t xml:space="preserve">% par année ou à </w:t>
      </w:r>
      <w:r w:rsidR="004E10F8" w:rsidRPr="00B63BD5">
        <w:rPr>
          <w:lang w:val="fr-CA"/>
        </w:rPr>
        <w:t xml:space="preserve">un </w:t>
      </w:r>
      <w:r w:rsidRPr="00B63BD5">
        <w:rPr>
          <w:lang w:val="fr-CA"/>
        </w:rPr>
        <w:t>autre taux stipulé par la Banque.</w:t>
      </w:r>
      <w:r w:rsidR="00215B1E" w:rsidRPr="00B63BD5">
        <w:rPr>
          <w:lang w:val="fr-CA"/>
        </w:rPr>
        <w:t xml:space="preserve"> Les sommes </w:t>
      </w:r>
      <w:r w:rsidR="00B218F5" w:rsidRPr="00B63BD5">
        <w:rPr>
          <w:lang w:val="fr-CA"/>
        </w:rPr>
        <w:t>qui ont été prélevées ou avancées dans une autre monnaie doivent être converties en Dollars canadiens et l</w:t>
      </w:r>
      <w:r w:rsidR="00564B0C" w:rsidRPr="00B63BD5">
        <w:rPr>
          <w:lang w:val="fr-CA"/>
        </w:rPr>
        <w:t>’</w:t>
      </w:r>
      <w:r w:rsidR="00B218F5" w:rsidRPr="00B63BD5">
        <w:rPr>
          <w:lang w:val="fr-CA"/>
        </w:rPr>
        <w:t>intérêt sur celles</w:t>
      </w:r>
      <w:r w:rsidR="00B218F5" w:rsidRPr="00B63BD5">
        <w:rPr>
          <w:lang w:val="fr-CA"/>
        </w:rPr>
        <w:noBreakHyphen/>
        <w:t>ci court quotidiennement et est calculé mensuellement à</w:t>
      </w:r>
      <w:r w:rsidR="00363F9D" w:rsidRPr="00B63BD5">
        <w:rPr>
          <w:lang w:val="fr-CA"/>
        </w:rPr>
        <w:t> </w:t>
      </w:r>
      <w:r w:rsidR="00B218F5" w:rsidRPr="00B63BD5">
        <w:rPr>
          <w:lang w:val="fr-CA"/>
        </w:rPr>
        <w:t>terme échu au taux de 21</w:t>
      </w:r>
      <w:r w:rsidR="00B056F9" w:rsidRPr="00B63BD5">
        <w:rPr>
          <w:lang w:val="fr-CA"/>
        </w:rPr>
        <w:t> </w:t>
      </w:r>
      <w:r w:rsidR="00B218F5" w:rsidRPr="00B63BD5">
        <w:rPr>
          <w:lang w:val="fr-CA"/>
        </w:rPr>
        <w:t xml:space="preserve">% par année ou à </w:t>
      </w:r>
      <w:r w:rsidR="004E10F8" w:rsidRPr="00B63BD5">
        <w:rPr>
          <w:lang w:val="fr-CA"/>
        </w:rPr>
        <w:t xml:space="preserve">un </w:t>
      </w:r>
      <w:r w:rsidR="00B218F5" w:rsidRPr="00B63BD5">
        <w:rPr>
          <w:lang w:val="fr-CA"/>
        </w:rPr>
        <w:t>autre taux stipulé par la Banque.</w:t>
      </w:r>
    </w:p>
    <w:p w14:paraId="5C9A69F6" w14:textId="729ED102" w:rsidR="0048364A" w:rsidRPr="00B63BD5" w:rsidRDefault="0048364A" w:rsidP="00D33630">
      <w:pPr>
        <w:pStyle w:val="04LOLglNew2"/>
      </w:pPr>
      <w:r w:rsidRPr="00B63BD5">
        <w:t>Frais</w:t>
      </w:r>
    </w:p>
    <w:p w14:paraId="2ADFFC94" w14:textId="2FEAC36A" w:rsidR="0048364A" w:rsidRPr="00B63BD5" w:rsidRDefault="0048364A" w:rsidP="00632863">
      <w:pPr>
        <w:spacing w:after="240"/>
        <w:jc w:val="both"/>
        <w:rPr>
          <w:lang w:val="fr-CA"/>
        </w:rPr>
      </w:pPr>
      <w:r w:rsidRPr="00B63BD5">
        <w:rPr>
          <w:lang w:val="fr-CA"/>
        </w:rPr>
        <w:t>Les frais relatifs à la Facilité de crédit à l</w:t>
      </w:r>
      <w:r w:rsidR="00564B0C" w:rsidRPr="00B63BD5">
        <w:rPr>
          <w:lang w:val="fr-CA"/>
        </w:rPr>
        <w:t>’</w:t>
      </w:r>
      <w:r w:rsidRPr="00B63BD5">
        <w:rPr>
          <w:lang w:val="fr-CA"/>
        </w:rPr>
        <w:t xml:space="preserve">importation et les autres frais applicables sont </w:t>
      </w:r>
      <w:r w:rsidR="004B25DA" w:rsidRPr="00B63BD5">
        <w:rPr>
          <w:lang w:val="fr-CA"/>
        </w:rPr>
        <w:t>indiqués</w:t>
      </w:r>
      <w:r w:rsidRPr="00B63BD5">
        <w:rPr>
          <w:lang w:val="fr-CA"/>
        </w:rPr>
        <w:t xml:space="preserve"> </w:t>
      </w:r>
      <w:r w:rsidR="00857BCD" w:rsidRPr="00B63BD5">
        <w:rPr>
          <w:spacing w:val="-2"/>
          <w:lang w:val="fr-CA"/>
        </w:rPr>
        <w:t>dans</w:t>
      </w:r>
      <w:r w:rsidR="003F57FA" w:rsidRPr="00B63BD5">
        <w:rPr>
          <w:spacing w:val="-2"/>
          <w:lang w:val="fr-CA"/>
        </w:rPr>
        <w:t> </w:t>
      </w:r>
      <w:r w:rsidR="00857BCD" w:rsidRPr="00B63BD5">
        <w:rPr>
          <w:spacing w:val="-2"/>
          <w:lang w:val="fr-CA"/>
        </w:rPr>
        <w:t>le</w:t>
      </w:r>
      <w:r w:rsidR="003F57FA" w:rsidRPr="00B63BD5">
        <w:rPr>
          <w:spacing w:val="-2"/>
          <w:lang w:val="fr-CA"/>
        </w:rPr>
        <w:t> </w:t>
      </w:r>
      <w:r w:rsidR="00857BCD" w:rsidRPr="00B63BD5">
        <w:rPr>
          <w:spacing w:val="-2"/>
          <w:lang w:val="fr-CA"/>
        </w:rPr>
        <w:t>document intitulé «</w:t>
      </w:r>
      <w:r w:rsidR="0094743F" w:rsidRPr="00B63BD5">
        <w:rPr>
          <w:spacing w:val="-2"/>
          <w:lang w:val="fr-CA"/>
        </w:rPr>
        <w:t> </w:t>
      </w:r>
      <w:r w:rsidR="00B210C5" w:rsidRPr="00B63BD5">
        <w:rPr>
          <w:rStyle w:val="Prompt"/>
          <w:color w:val="auto"/>
          <w:spacing w:val="-2"/>
          <w:lang w:val="fr-CA"/>
        </w:rPr>
        <w:t xml:space="preserve">Commerce international et financement des comptes clients (Canada) </w:t>
      </w:r>
      <w:r w:rsidR="00506C04" w:rsidRPr="00B63BD5">
        <w:rPr>
          <w:spacing w:val="-2"/>
          <w:lang w:val="fr-CA"/>
        </w:rPr>
        <w:t>–</w:t>
      </w:r>
      <w:r w:rsidR="00506C04" w:rsidRPr="00B63BD5">
        <w:rPr>
          <w:rStyle w:val="Prompt"/>
          <w:color w:val="auto"/>
          <w:spacing w:val="-2"/>
          <w:lang w:val="fr-CA"/>
        </w:rPr>
        <w:softHyphen/>
      </w:r>
      <w:r w:rsidR="00F04C70" w:rsidRPr="00B63BD5">
        <w:rPr>
          <w:rStyle w:val="Prompt"/>
          <w:color w:val="auto"/>
          <w:spacing w:val="-2"/>
          <w:lang w:val="fr-CA"/>
        </w:rPr>
        <w:t xml:space="preserve"> </w:t>
      </w:r>
      <w:r w:rsidR="00B210C5" w:rsidRPr="00B63BD5">
        <w:rPr>
          <w:rStyle w:val="Prompt"/>
          <w:color w:val="auto"/>
          <w:spacing w:val="-2"/>
          <w:lang w:val="fr-CA"/>
        </w:rPr>
        <w:t>Barème</w:t>
      </w:r>
      <w:r w:rsidR="00363F9D" w:rsidRPr="00B63BD5">
        <w:rPr>
          <w:rStyle w:val="Prompt"/>
          <w:color w:val="auto"/>
          <w:spacing w:val="-2"/>
          <w:lang w:val="fr-CA"/>
        </w:rPr>
        <w:t> </w:t>
      </w:r>
      <w:r w:rsidR="00B210C5" w:rsidRPr="00B63BD5">
        <w:rPr>
          <w:rStyle w:val="Prompt"/>
          <w:color w:val="auto"/>
          <w:spacing w:val="-2"/>
          <w:lang w:val="fr-CA"/>
        </w:rPr>
        <w:t>de</w:t>
      </w:r>
      <w:r w:rsidR="00B210C5" w:rsidRPr="00B63BD5">
        <w:rPr>
          <w:rStyle w:val="Prompt"/>
          <w:color w:val="auto"/>
          <w:lang w:val="fr-CA"/>
        </w:rPr>
        <w:t>s frais applicables</w:t>
      </w:r>
      <w:r w:rsidR="0094743F" w:rsidRPr="00B63BD5">
        <w:rPr>
          <w:rStyle w:val="Prompt"/>
          <w:color w:val="auto"/>
          <w:lang w:val="fr-CA"/>
        </w:rPr>
        <w:t> </w:t>
      </w:r>
      <w:r w:rsidR="00B210C5" w:rsidRPr="00B63BD5">
        <w:rPr>
          <w:rStyle w:val="Prompt"/>
          <w:color w:val="auto"/>
          <w:lang w:val="fr-CA"/>
        </w:rPr>
        <w:t>»</w:t>
      </w:r>
      <w:r w:rsidR="001E1971" w:rsidRPr="00B63BD5">
        <w:rPr>
          <w:rStyle w:val="Prompt"/>
          <w:color w:val="auto"/>
          <w:lang w:val="fr-CA"/>
        </w:rPr>
        <w:t xml:space="preserve"> </w:t>
      </w:r>
      <w:r w:rsidR="0037638C" w:rsidRPr="00B63BD5">
        <w:rPr>
          <w:lang w:val="fr-CA"/>
        </w:rPr>
        <w:t>tel qu</w:t>
      </w:r>
      <w:r w:rsidR="00564B0C" w:rsidRPr="00B63BD5">
        <w:rPr>
          <w:lang w:val="fr-CA"/>
        </w:rPr>
        <w:t>’</w:t>
      </w:r>
      <w:r w:rsidR="00857BCD" w:rsidRPr="00B63BD5">
        <w:rPr>
          <w:lang w:val="fr-CA"/>
        </w:rPr>
        <w:t>il</w:t>
      </w:r>
      <w:r w:rsidR="00EF314F" w:rsidRPr="00B63BD5">
        <w:rPr>
          <w:lang w:val="fr-CA"/>
        </w:rPr>
        <w:t xml:space="preserve"> peut</w:t>
      </w:r>
      <w:r w:rsidR="0037638C" w:rsidRPr="00B63BD5">
        <w:rPr>
          <w:lang w:val="fr-CA"/>
        </w:rPr>
        <w:t xml:space="preserve"> être</w:t>
      </w:r>
      <w:r w:rsidR="00857BCD" w:rsidRPr="00B63BD5">
        <w:rPr>
          <w:lang w:val="fr-CA"/>
        </w:rPr>
        <w:t xml:space="preserve"> modifié</w:t>
      </w:r>
      <w:r w:rsidRPr="00B63BD5">
        <w:rPr>
          <w:lang w:val="fr-CA"/>
        </w:rPr>
        <w:t xml:space="preserve"> par la Banque, à son entiè</w:t>
      </w:r>
      <w:r w:rsidR="0037638C" w:rsidRPr="00B63BD5">
        <w:rPr>
          <w:lang w:val="fr-CA"/>
        </w:rPr>
        <w:t>re discrétion</w:t>
      </w:r>
      <w:r w:rsidRPr="00B63BD5">
        <w:rPr>
          <w:lang w:val="fr-CA"/>
        </w:rPr>
        <w:t>.</w:t>
      </w:r>
    </w:p>
    <w:p w14:paraId="6DE9770E" w14:textId="35E7D73F" w:rsidR="0048364A" w:rsidRPr="00B63BD5" w:rsidRDefault="0048364A" w:rsidP="00D33630">
      <w:pPr>
        <w:pStyle w:val="04LOLglNew2"/>
      </w:pPr>
      <w:r w:rsidRPr="00B63BD5">
        <w:t>Modalités supplémentaires applicables à la Facilité de crédit à l</w:t>
      </w:r>
      <w:r w:rsidR="00564B0C" w:rsidRPr="00B63BD5">
        <w:t>’</w:t>
      </w:r>
      <w:r w:rsidRPr="00B63BD5">
        <w:t>importation</w:t>
      </w:r>
    </w:p>
    <w:p w14:paraId="30894441" w14:textId="41D402FD" w:rsidR="0048364A" w:rsidRPr="000B7739" w:rsidRDefault="0048364A" w:rsidP="000B7739">
      <w:pPr>
        <w:pStyle w:val="04LOLglNew3"/>
        <w:numPr>
          <w:ilvl w:val="2"/>
          <w:numId w:val="31"/>
        </w:numPr>
        <w:rPr>
          <w:lang w:val="fr-CA"/>
        </w:rPr>
      </w:pPr>
      <w:r w:rsidRPr="000B7739">
        <w:rPr>
          <w:lang w:val="fr-CA"/>
        </w:rPr>
        <w:t>La Facilité de crédit à l</w:t>
      </w:r>
      <w:r w:rsidR="00564B0C" w:rsidRPr="000B7739">
        <w:rPr>
          <w:lang w:val="fr-CA"/>
        </w:rPr>
        <w:t>’</w:t>
      </w:r>
      <w:r w:rsidRPr="000B7739">
        <w:rPr>
          <w:lang w:val="fr-CA"/>
        </w:rPr>
        <w:t xml:space="preserve">importation est assujettie aux modalités supplémentaires qui sont énoncées </w:t>
      </w:r>
      <w:r w:rsidR="00ED3019" w:rsidRPr="000B7739">
        <w:rPr>
          <w:lang w:val="fr-CA"/>
        </w:rPr>
        <w:t>dans les Conditions commerciales standards dans la mesure où ces conditions ne contreviennent pas avec les conditions de la présente Lettre relative aux facilités</w:t>
      </w:r>
      <w:r w:rsidRPr="000B7739">
        <w:rPr>
          <w:lang w:val="fr-CA"/>
        </w:rPr>
        <w:t>.</w:t>
      </w:r>
    </w:p>
    <w:p w14:paraId="1D0C484F" w14:textId="66C638F8" w:rsidR="0048364A" w:rsidRPr="000B7739" w:rsidRDefault="0048364A" w:rsidP="000B7739">
      <w:pPr>
        <w:pStyle w:val="04LOLglNew3"/>
        <w:numPr>
          <w:ilvl w:val="2"/>
          <w:numId w:val="31"/>
        </w:numPr>
        <w:rPr>
          <w:lang w:val="fr-CA"/>
        </w:rPr>
      </w:pPr>
      <w:r w:rsidRPr="000B7739">
        <w:rPr>
          <w:lang w:val="fr-CA"/>
        </w:rPr>
        <w:t>L</w:t>
      </w:r>
      <w:r w:rsidR="00564B0C" w:rsidRPr="000B7739">
        <w:rPr>
          <w:lang w:val="fr-CA"/>
        </w:rPr>
        <w:t>’</w:t>
      </w:r>
      <w:r w:rsidRPr="000B7739">
        <w:rPr>
          <w:lang w:val="fr-CA"/>
        </w:rPr>
        <w:t xml:space="preserve">Emprunteur doit présenter une demande </w:t>
      </w:r>
      <w:r w:rsidR="004B25DA" w:rsidRPr="000B7739">
        <w:rPr>
          <w:lang w:val="fr-CA"/>
        </w:rPr>
        <w:t>à la Banque à l</w:t>
      </w:r>
      <w:r w:rsidR="00564B0C" w:rsidRPr="000B7739">
        <w:rPr>
          <w:lang w:val="fr-CA"/>
        </w:rPr>
        <w:t>’</w:t>
      </w:r>
      <w:r w:rsidR="004B25DA" w:rsidRPr="000B7739">
        <w:rPr>
          <w:lang w:val="fr-CA"/>
        </w:rPr>
        <w:t>égard de</w:t>
      </w:r>
      <w:r w:rsidRPr="000B7739">
        <w:rPr>
          <w:lang w:val="fr-CA"/>
        </w:rPr>
        <w:t xml:space="preserve"> chaque avance qu</w:t>
      </w:r>
      <w:r w:rsidR="00564B0C" w:rsidRPr="000B7739">
        <w:rPr>
          <w:lang w:val="fr-CA"/>
        </w:rPr>
        <w:t>’</w:t>
      </w:r>
      <w:r w:rsidRPr="000B7739">
        <w:rPr>
          <w:lang w:val="fr-CA"/>
        </w:rPr>
        <w:t xml:space="preserve">il souhaite obtenir </w:t>
      </w:r>
      <w:r w:rsidR="004B25DA" w:rsidRPr="000B7739">
        <w:rPr>
          <w:lang w:val="fr-CA"/>
        </w:rPr>
        <w:t>sur</w:t>
      </w:r>
      <w:r w:rsidRPr="000B7739">
        <w:rPr>
          <w:lang w:val="fr-CA"/>
        </w:rPr>
        <w:t xml:space="preserve"> la Facilité de crédit à l</w:t>
      </w:r>
      <w:r w:rsidR="00564B0C" w:rsidRPr="000B7739">
        <w:rPr>
          <w:lang w:val="fr-CA"/>
        </w:rPr>
        <w:t>’</w:t>
      </w:r>
      <w:r w:rsidRPr="000B7739">
        <w:rPr>
          <w:lang w:val="fr-CA"/>
        </w:rPr>
        <w:t>importation</w:t>
      </w:r>
      <w:r w:rsidR="000875E9" w:rsidRPr="000B7739">
        <w:rPr>
          <w:lang w:val="fr-CA"/>
        </w:rPr>
        <w:t xml:space="preserve">, </w:t>
      </w:r>
      <w:r w:rsidR="0037638C" w:rsidRPr="000B7739">
        <w:rPr>
          <w:lang w:val="fr-CA"/>
        </w:rPr>
        <w:t>établie</w:t>
      </w:r>
      <w:r w:rsidR="000875E9" w:rsidRPr="000B7739">
        <w:rPr>
          <w:lang w:val="fr-CA"/>
        </w:rPr>
        <w:t xml:space="preserve"> selon le modèle de la Banque (ou selon un</w:t>
      </w:r>
      <w:r w:rsidR="003F57FA" w:rsidRPr="000B7739">
        <w:rPr>
          <w:lang w:val="fr-CA"/>
        </w:rPr>
        <w:t> </w:t>
      </w:r>
      <w:r w:rsidR="000875E9" w:rsidRPr="000B7739">
        <w:rPr>
          <w:lang w:val="fr-CA"/>
        </w:rPr>
        <w:t>autre modèle dont l</w:t>
      </w:r>
      <w:r w:rsidR="00564B0C" w:rsidRPr="000B7739">
        <w:rPr>
          <w:lang w:val="fr-CA"/>
        </w:rPr>
        <w:t>’</w:t>
      </w:r>
      <w:r w:rsidR="000875E9" w:rsidRPr="000B7739">
        <w:rPr>
          <w:lang w:val="fr-CA"/>
        </w:rPr>
        <w:t>Emprunteur et la Banque pourraient convenir).</w:t>
      </w:r>
    </w:p>
    <w:p w14:paraId="7B3EB83E" w14:textId="597A29FC" w:rsidR="000875E9" w:rsidRPr="000B7739" w:rsidRDefault="000875E9" w:rsidP="000B7739">
      <w:pPr>
        <w:pStyle w:val="04LOLglNew3"/>
        <w:numPr>
          <w:ilvl w:val="2"/>
          <w:numId w:val="31"/>
        </w:numPr>
        <w:rPr>
          <w:lang w:val="fr-CA"/>
        </w:rPr>
      </w:pPr>
      <w:r w:rsidRPr="000B7739">
        <w:rPr>
          <w:lang w:val="fr-CA"/>
        </w:rPr>
        <w:t>L</w:t>
      </w:r>
      <w:r w:rsidR="00564B0C" w:rsidRPr="000B7739">
        <w:rPr>
          <w:lang w:val="fr-CA"/>
        </w:rPr>
        <w:t>’</w:t>
      </w:r>
      <w:r w:rsidRPr="000B7739">
        <w:rPr>
          <w:lang w:val="fr-CA"/>
        </w:rPr>
        <w:t>Emprunteur est tenu d</w:t>
      </w:r>
      <w:r w:rsidR="00564B0C" w:rsidRPr="000B7739">
        <w:rPr>
          <w:lang w:val="fr-CA"/>
        </w:rPr>
        <w:t>’</w:t>
      </w:r>
      <w:r w:rsidRPr="000B7739">
        <w:rPr>
          <w:lang w:val="fr-CA"/>
        </w:rPr>
        <w:t xml:space="preserve">obtenir une assurance tous risques couvrant les </w:t>
      </w:r>
      <w:r w:rsidR="002F145B" w:rsidRPr="000B7739">
        <w:rPr>
          <w:lang w:val="fr-CA"/>
        </w:rPr>
        <w:t>marchandises</w:t>
      </w:r>
      <w:r w:rsidRPr="000B7739">
        <w:rPr>
          <w:lang w:val="fr-CA"/>
        </w:rPr>
        <w:t xml:space="preserve"> visé</w:t>
      </w:r>
      <w:r w:rsidR="002F145B" w:rsidRPr="000B7739">
        <w:rPr>
          <w:lang w:val="fr-CA"/>
        </w:rPr>
        <w:t>e</w:t>
      </w:r>
      <w:r w:rsidRPr="000B7739">
        <w:rPr>
          <w:lang w:val="fr-CA"/>
        </w:rPr>
        <w:t>s, que ce</w:t>
      </w:r>
      <w:r w:rsidR="002F145B" w:rsidRPr="000B7739">
        <w:rPr>
          <w:lang w:val="fr-CA"/>
        </w:rPr>
        <w:t>lles</w:t>
      </w:r>
      <w:r w:rsidRPr="000B7739">
        <w:rPr>
          <w:lang w:val="fr-CA"/>
        </w:rPr>
        <w:noBreakHyphen/>
        <w:t xml:space="preserve">ci </w:t>
      </w:r>
      <w:r w:rsidR="004B25DA" w:rsidRPr="000B7739">
        <w:rPr>
          <w:lang w:val="fr-CA"/>
        </w:rPr>
        <w:t xml:space="preserve">se trouvent dans </w:t>
      </w:r>
      <w:r w:rsidRPr="000B7739">
        <w:rPr>
          <w:lang w:val="fr-CA"/>
        </w:rPr>
        <w:t xml:space="preserve">un entrepôt, </w:t>
      </w:r>
      <w:r w:rsidR="002F145B" w:rsidRPr="000B7739">
        <w:rPr>
          <w:lang w:val="fr-CA"/>
        </w:rPr>
        <w:t>qu</w:t>
      </w:r>
      <w:r w:rsidR="00564B0C" w:rsidRPr="000B7739">
        <w:rPr>
          <w:lang w:val="fr-CA"/>
        </w:rPr>
        <w:t>’</w:t>
      </w:r>
      <w:r w:rsidR="002F145B" w:rsidRPr="000B7739">
        <w:rPr>
          <w:lang w:val="fr-CA"/>
        </w:rPr>
        <w:t>elle</w:t>
      </w:r>
      <w:r w:rsidR="004B25DA" w:rsidRPr="000B7739">
        <w:rPr>
          <w:lang w:val="fr-CA"/>
        </w:rPr>
        <w:t xml:space="preserve">s soient </w:t>
      </w:r>
      <w:r w:rsidRPr="000B7739">
        <w:rPr>
          <w:lang w:val="fr-CA"/>
        </w:rPr>
        <w:t xml:space="preserve">en </w:t>
      </w:r>
      <w:r w:rsidR="00B210C5" w:rsidRPr="000B7739">
        <w:rPr>
          <w:lang w:val="fr-CA"/>
        </w:rPr>
        <w:t>transit</w:t>
      </w:r>
      <w:r w:rsidRPr="000B7739">
        <w:rPr>
          <w:lang w:val="fr-CA"/>
        </w:rPr>
        <w:t xml:space="preserve"> ou </w:t>
      </w:r>
      <w:r w:rsidR="002F145B" w:rsidRPr="000B7739">
        <w:rPr>
          <w:lang w:val="fr-CA"/>
        </w:rPr>
        <w:t>qu</w:t>
      </w:r>
      <w:r w:rsidR="00564B0C" w:rsidRPr="000B7739">
        <w:rPr>
          <w:lang w:val="fr-CA"/>
        </w:rPr>
        <w:t>’</w:t>
      </w:r>
      <w:r w:rsidR="002F145B" w:rsidRPr="000B7739">
        <w:rPr>
          <w:lang w:val="fr-CA"/>
        </w:rPr>
        <w:t>elle</w:t>
      </w:r>
      <w:r w:rsidR="004B25DA" w:rsidRPr="000B7739">
        <w:rPr>
          <w:lang w:val="fr-CA"/>
        </w:rPr>
        <w:t>s se trouvent ailleurs, comportant des avenants nommant</w:t>
      </w:r>
      <w:r w:rsidR="008D5F48" w:rsidRPr="000B7739">
        <w:rPr>
          <w:lang w:val="fr-CA"/>
        </w:rPr>
        <w:t xml:space="preserve"> </w:t>
      </w:r>
      <w:r w:rsidRPr="000B7739">
        <w:rPr>
          <w:lang w:val="fr-CA"/>
        </w:rPr>
        <w:t xml:space="preserve">la Banque à titre de cessionnaire ou de bénéficiaire, chaque </w:t>
      </w:r>
      <w:r w:rsidR="008D5F48" w:rsidRPr="000B7739">
        <w:rPr>
          <w:lang w:val="fr-CA"/>
        </w:rPr>
        <w:t xml:space="preserve">avenant étant </w:t>
      </w:r>
      <w:r w:rsidRPr="000B7739">
        <w:rPr>
          <w:lang w:val="fr-CA"/>
        </w:rPr>
        <w:t>rédi</w:t>
      </w:r>
      <w:r w:rsidR="008D5F48" w:rsidRPr="000B7739">
        <w:rPr>
          <w:lang w:val="fr-CA"/>
        </w:rPr>
        <w:t>gé, quant à la forme et au fond</w:t>
      </w:r>
      <w:r w:rsidRPr="000B7739">
        <w:rPr>
          <w:lang w:val="fr-CA"/>
        </w:rPr>
        <w:t>, et signé d</w:t>
      </w:r>
      <w:r w:rsidR="00564B0C" w:rsidRPr="000B7739">
        <w:rPr>
          <w:lang w:val="fr-CA"/>
        </w:rPr>
        <w:t>’</w:t>
      </w:r>
      <w:r w:rsidRPr="000B7739">
        <w:rPr>
          <w:lang w:val="fr-CA"/>
        </w:rPr>
        <w:t>une manière jugée satisfaisante par</w:t>
      </w:r>
      <w:r w:rsidR="003F57FA" w:rsidRPr="000B7739">
        <w:rPr>
          <w:lang w:val="fr-CA"/>
        </w:rPr>
        <w:t> </w:t>
      </w:r>
      <w:r w:rsidRPr="000B7739">
        <w:rPr>
          <w:lang w:val="fr-CA"/>
        </w:rPr>
        <w:t>la</w:t>
      </w:r>
      <w:r w:rsidR="003F57FA" w:rsidRPr="000B7739">
        <w:rPr>
          <w:lang w:val="fr-CA"/>
        </w:rPr>
        <w:t> </w:t>
      </w:r>
      <w:r w:rsidRPr="000B7739">
        <w:rPr>
          <w:lang w:val="fr-CA"/>
        </w:rPr>
        <w:t>Banque.</w:t>
      </w:r>
    </w:p>
    <w:p w14:paraId="302F0F8C" w14:textId="04259334" w:rsidR="007A2B57" w:rsidRPr="00B63BD5" w:rsidRDefault="00C1659B" w:rsidP="009027EF">
      <w:pPr>
        <w:pStyle w:val="04LOLglNew1"/>
        <w:rPr>
          <w:lang w:val="fr-CA"/>
        </w:rPr>
      </w:pPr>
      <w:bookmarkStart w:id="5" w:name="_Ref465066539"/>
      <w:r w:rsidRPr="00B63BD5">
        <w:rPr>
          <w:lang w:val="fr-CA"/>
        </w:rPr>
        <w:lastRenderedPageBreak/>
        <w:t>Facilité sous forme de l</w:t>
      </w:r>
      <w:r w:rsidR="00F47258" w:rsidRPr="00B63BD5">
        <w:rPr>
          <w:lang w:val="fr-CA"/>
        </w:rPr>
        <w:t>ett</w:t>
      </w:r>
      <w:r w:rsidR="00924176" w:rsidRPr="00B63BD5">
        <w:rPr>
          <w:lang w:val="fr-CA"/>
        </w:rPr>
        <w:t>r</w:t>
      </w:r>
      <w:r w:rsidR="00F47258" w:rsidRPr="00B63BD5">
        <w:rPr>
          <w:lang w:val="fr-CA"/>
        </w:rPr>
        <w:t xml:space="preserve">e </w:t>
      </w:r>
      <w:r w:rsidR="00924176" w:rsidRPr="00B63BD5">
        <w:rPr>
          <w:lang w:val="fr-CA"/>
        </w:rPr>
        <w:t>de garantie</w:t>
      </w:r>
      <w:bookmarkEnd w:id="5"/>
    </w:p>
    <w:p w14:paraId="18742C6D" w14:textId="364B07BC" w:rsidR="00396F51" w:rsidRPr="00B63BD5" w:rsidRDefault="00396F51" w:rsidP="00632863">
      <w:pPr>
        <w:keepNext/>
        <w:spacing w:after="240"/>
        <w:jc w:val="both"/>
        <w:rPr>
          <w:b/>
          <w:color w:val="00B0F0"/>
          <w:lang w:val="fr-CA"/>
        </w:rPr>
      </w:pPr>
      <w:r w:rsidRPr="00B63BD5">
        <w:rPr>
          <w:b/>
          <w:color w:val="00B0F0"/>
          <w:lang w:val="fr-CA"/>
        </w:rPr>
        <w:t>[</w:t>
      </w:r>
      <w:r w:rsidR="00EC3CB5" w:rsidRPr="00B63BD5">
        <w:rPr>
          <w:b/>
          <w:color w:val="00B0F0"/>
          <w:lang w:val="fr-CA"/>
        </w:rPr>
        <w:t>N.B. :</w:t>
      </w:r>
      <w:r w:rsidR="00C460F8" w:rsidRPr="00B63BD5">
        <w:rPr>
          <w:b/>
          <w:color w:val="00B0F0"/>
          <w:lang w:val="fr-CA"/>
        </w:rPr>
        <w:t xml:space="preserve"> U</w:t>
      </w:r>
      <w:r w:rsidR="00924176" w:rsidRPr="00B63BD5">
        <w:rPr>
          <w:b/>
          <w:color w:val="00B0F0"/>
          <w:lang w:val="fr-CA"/>
        </w:rPr>
        <w:t xml:space="preserve">tiliser le texte suivant </w:t>
      </w:r>
      <w:r w:rsidR="00924176" w:rsidRPr="00B63BD5">
        <w:rPr>
          <w:b/>
          <w:color w:val="00B0F0"/>
          <w:u w:val="single"/>
          <w:lang w:val="fr-CA"/>
        </w:rPr>
        <w:t>seulement</w:t>
      </w:r>
      <w:r w:rsidR="00924176" w:rsidRPr="00B63BD5">
        <w:rPr>
          <w:b/>
          <w:color w:val="00B0F0"/>
          <w:lang w:val="fr-CA"/>
        </w:rPr>
        <w:t xml:space="preserve"> s</w:t>
      </w:r>
      <w:r w:rsidR="00564B0C" w:rsidRPr="00B63BD5">
        <w:rPr>
          <w:b/>
          <w:color w:val="00B0F0"/>
          <w:lang w:val="fr-CA"/>
        </w:rPr>
        <w:t>’</w:t>
      </w:r>
      <w:r w:rsidR="00924176" w:rsidRPr="00B63BD5">
        <w:rPr>
          <w:b/>
          <w:color w:val="00B0F0"/>
          <w:lang w:val="fr-CA"/>
        </w:rPr>
        <w:t xml:space="preserve">il existe une </w:t>
      </w:r>
      <w:r w:rsidR="00C1659B" w:rsidRPr="00B63BD5">
        <w:rPr>
          <w:b/>
          <w:color w:val="00B0F0"/>
          <w:lang w:val="fr-CA"/>
        </w:rPr>
        <w:t xml:space="preserve">Facilité sous forme de </w:t>
      </w:r>
      <w:r w:rsidR="00924176" w:rsidRPr="00B63BD5">
        <w:rPr>
          <w:b/>
          <w:color w:val="00B0F0"/>
          <w:lang w:val="fr-CA"/>
        </w:rPr>
        <w:t>lettre de garantie autonome. Supprimer le présent article</w:t>
      </w:r>
      <w:r w:rsidR="00B056F9" w:rsidRPr="00B63BD5">
        <w:rPr>
          <w:b/>
          <w:color w:val="00B0F0"/>
          <w:lang w:val="fr-CA"/>
        </w:rPr>
        <w:t> </w:t>
      </w:r>
      <w:r w:rsidR="00924176" w:rsidRPr="00B63BD5">
        <w:rPr>
          <w:b/>
          <w:color w:val="00B0F0"/>
          <w:lang w:val="fr-CA"/>
        </w:rPr>
        <w:t>4 s</w:t>
      </w:r>
      <w:r w:rsidR="00564B0C" w:rsidRPr="00B63BD5">
        <w:rPr>
          <w:b/>
          <w:color w:val="00B0F0"/>
          <w:lang w:val="fr-CA"/>
        </w:rPr>
        <w:t>’</w:t>
      </w:r>
      <w:r w:rsidR="00924176" w:rsidRPr="00B63BD5">
        <w:rPr>
          <w:b/>
          <w:color w:val="00B0F0"/>
          <w:lang w:val="fr-CA"/>
        </w:rPr>
        <w:t xml:space="preserve">il </w:t>
      </w:r>
      <w:r w:rsidR="005267DB" w:rsidRPr="00B63BD5">
        <w:rPr>
          <w:b/>
          <w:color w:val="00B0F0"/>
          <w:lang w:val="fr-CA"/>
        </w:rPr>
        <w:t>ne s</w:t>
      </w:r>
      <w:r w:rsidR="00564B0C" w:rsidRPr="00B63BD5">
        <w:rPr>
          <w:b/>
          <w:color w:val="00B0F0"/>
          <w:lang w:val="fr-CA"/>
        </w:rPr>
        <w:t>’</w:t>
      </w:r>
      <w:r w:rsidR="005267DB" w:rsidRPr="00B63BD5">
        <w:rPr>
          <w:b/>
          <w:color w:val="00B0F0"/>
          <w:lang w:val="fr-CA"/>
        </w:rPr>
        <w:t xml:space="preserve">applique pas </w:t>
      </w:r>
      <w:r w:rsidR="00924176" w:rsidRPr="00B63BD5">
        <w:rPr>
          <w:b/>
          <w:color w:val="00B0F0"/>
          <w:lang w:val="fr-CA"/>
        </w:rPr>
        <w:t xml:space="preserve">ou si la </w:t>
      </w:r>
      <w:r w:rsidR="00C1659B" w:rsidRPr="00B63BD5">
        <w:rPr>
          <w:b/>
          <w:color w:val="00B0F0"/>
          <w:lang w:val="fr-CA"/>
        </w:rPr>
        <w:t>Facilité sous forme de</w:t>
      </w:r>
      <w:r w:rsidR="003F57FA" w:rsidRPr="00B63BD5">
        <w:rPr>
          <w:b/>
          <w:color w:val="00B0F0"/>
          <w:lang w:val="fr-CA"/>
        </w:rPr>
        <w:t> </w:t>
      </w:r>
      <w:r w:rsidR="00924176" w:rsidRPr="00B63BD5">
        <w:rPr>
          <w:b/>
          <w:color w:val="00B0F0"/>
          <w:lang w:val="fr-CA"/>
        </w:rPr>
        <w:t>lettre</w:t>
      </w:r>
      <w:r w:rsidR="003F57FA" w:rsidRPr="00B63BD5">
        <w:rPr>
          <w:b/>
          <w:color w:val="00B0F0"/>
          <w:lang w:val="fr-CA"/>
        </w:rPr>
        <w:t> </w:t>
      </w:r>
      <w:r w:rsidR="00924176" w:rsidRPr="00B63BD5">
        <w:rPr>
          <w:b/>
          <w:color w:val="00B0F0"/>
          <w:lang w:val="fr-CA"/>
        </w:rPr>
        <w:t>de garantie est comprise dans la Facilité de crédit à l</w:t>
      </w:r>
      <w:r w:rsidR="00564B0C" w:rsidRPr="00B63BD5">
        <w:rPr>
          <w:b/>
          <w:color w:val="00B0F0"/>
          <w:lang w:val="fr-CA"/>
        </w:rPr>
        <w:t>’</w:t>
      </w:r>
      <w:r w:rsidR="00924176" w:rsidRPr="00B63BD5">
        <w:rPr>
          <w:b/>
          <w:color w:val="00B0F0"/>
          <w:lang w:val="fr-CA"/>
        </w:rPr>
        <w:t>exploitation prévue au paragraphe</w:t>
      </w:r>
      <w:r w:rsidR="00B056F9" w:rsidRPr="00B63BD5">
        <w:rPr>
          <w:b/>
          <w:color w:val="00B0F0"/>
          <w:lang w:val="fr-CA"/>
        </w:rPr>
        <w:t> </w:t>
      </w:r>
      <w:r w:rsidR="00560BD2" w:rsidRPr="00B63BD5">
        <w:rPr>
          <w:b/>
          <w:color w:val="00B0F0"/>
          <w:lang w:val="fr-CA"/>
        </w:rPr>
        <w:fldChar w:fldCharType="begin"/>
      </w:r>
      <w:r w:rsidR="00560BD2" w:rsidRPr="00B63BD5">
        <w:rPr>
          <w:b/>
          <w:color w:val="00B0F0"/>
          <w:lang w:val="fr-CA"/>
        </w:rPr>
        <w:instrText xml:space="preserve"> REF _Ref467076264 \r \h </w:instrText>
      </w:r>
      <w:r w:rsidR="00924176" w:rsidRPr="00B63BD5">
        <w:rPr>
          <w:b/>
          <w:color w:val="00B0F0"/>
          <w:lang w:val="fr-CA"/>
        </w:rPr>
        <w:instrText xml:space="preserve"> \* MERGEFORMAT </w:instrText>
      </w:r>
      <w:r w:rsidR="00560BD2" w:rsidRPr="00B63BD5">
        <w:rPr>
          <w:b/>
          <w:color w:val="00B0F0"/>
          <w:lang w:val="fr-CA"/>
        </w:rPr>
      </w:r>
      <w:r w:rsidR="00560BD2" w:rsidRPr="00B63BD5">
        <w:rPr>
          <w:b/>
          <w:color w:val="00B0F0"/>
          <w:lang w:val="fr-CA"/>
        </w:rPr>
        <w:fldChar w:fldCharType="separate"/>
      </w:r>
      <w:r w:rsidR="000F2F99" w:rsidRPr="00B63BD5">
        <w:rPr>
          <w:b/>
          <w:color w:val="00B0F0"/>
          <w:lang w:val="fr-CA"/>
        </w:rPr>
        <w:t>1.3</w:t>
      </w:r>
      <w:r w:rsidR="00560BD2" w:rsidRPr="00B63BD5">
        <w:rPr>
          <w:b/>
          <w:color w:val="00B0F0"/>
          <w:lang w:val="fr-CA"/>
        </w:rPr>
        <w:fldChar w:fldCharType="end"/>
      </w:r>
      <w:r w:rsidR="00560BD2" w:rsidRPr="00B63BD5">
        <w:rPr>
          <w:b/>
          <w:color w:val="00B0F0"/>
          <w:lang w:val="fr-CA"/>
        </w:rPr>
        <w:t xml:space="preserve"> </w:t>
      </w:r>
      <w:r w:rsidR="00924176" w:rsidRPr="00B63BD5">
        <w:rPr>
          <w:b/>
          <w:color w:val="00B0F0"/>
          <w:lang w:val="fr-CA"/>
        </w:rPr>
        <w:t>ci</w:t>
      </w:r>
      <w:r w:rsidR="00924176" w:rsidRPr="00B63BD5">
        <w:rPr>
          <w:b/>
          <w:color w:val="00B0F0"/>
          <w:lang w:val="fr-CA"/>
        </w:rPr>
        <w:noBreakHyphen/>
        <w:t>dessus</w:t>
      </w:r>
      <w:r w:rsidR="00C460F8" w:rsidRPr="00B63BD5">
        <w:rPr>
          <w:b/>
          <w:color w:val="00B0F0"/>
          <w:lang w:val="fr-CA"/>
        </w:rPr>
        <w:t>.</w:t>
      </w:r>
      <w:r w:rsidRPr="00B63BD5">
        <w:rPr>
          <w:b/>
          <w:color w:val="00B0F0"/>
          <w:lang w:val="fr-CA"/>
        </w:rPr>
        <w:t>]</w:t>
      </w:r>
    </w:p>
    <w:p w14:paraId="3BD91EC6" w14:textId="19C5AF33" w:rsidR="00AA74CF" w:rsidRPr="00B63BD5" w:rsidRDefault="00924176" w:rsidP="00D33630">
      <w:pPr>
        <w:pStyle w:val="04LOLglNew2"/>
      </w:pPr>
      <w:r w:rsidRPr="00B63BD5">
        <w:t>Objet</w:t>
      </w:r>
    </w:p>
    <w:p w14:paraId="137E6F38" w14:textId="3C274AD2" w:rsidR="00AA74CF" w:rsidRPr="00B63BD5" w:rsidRDefault="00924176" w:rsidP="00632863">
      <w:pPr>
        <w:keepLines/>
        <w:spacing w:after="240"/>
        <w:jc w:val="both"/>
        <w:rPr>
          <w:lang w:val="fr-CA"/>
        </w:rPr>
      </w:pPr>
      <w:r w:rsidRPr="00B63BD5">
        <w:rPr>
          <w:lang w:val="fr-CA"/>
        </w:rPr>
        <w:t xml:space="preserve">Financer </w:t>
      </w:r>
      <w:r w:rsidR="005267DB" w:rsidRPr="00B63BD5">
        <w:rPr>
          <w:lang w:val="fr-CA"/>
        </w:rPr>
        <w:t xml:space="preserve">les activités courantes </w:t>
      </w:r>
      <w:r w:rsidRPr="00B63BD5">
        <w:rPr>
          <w:lang w:val="fr-CA"/>
        </w:rPr>
        <w:t>de l</w:t>
      </w:r>
      <w:r w:rsidR="00564B0C" w:rsidRPr="00B63BD5">
        <w:rPr>
          <w:lang w:val="fr-CA"/>
        </w:rPr>
        <w:t>’</w:t>
      </w:r>
      <w:r w:rsidRPr="00B63BD5">
        <w:rPr>
          <w:lang w:val="fr-CA"/>
        </w:rPr>
        <w:t>Emprunteur au moyen de l</w:t>
      </w:r>
      <w:r w:rsidR="00564B0C" w:rsidRPr="00B63BD5">
        <w:rPr>
          <w:lang w:val="fr-CA"/>
        </w:rPr>
        <w:t>’</w:t>
      </w:r>
      <w:r w:rsidRPr="00B63BD5">
        <w:rPr>
          <w:lang w:val="fr-CA"/>
        </w:rPr>
        <w:t>émission, par la Banque, de lettres de</w:t>
      </w:r>
      <w:r w:rsidR="003F57FA" w:rsidRPr="00B63BD5">
        <w:rPr>
          <w:lang w:val="fr-CA"/>
        </w:rPr>
        <w:t> </w:t>
      </w:r>
      <w:r w:rsidRPr="00B63BD5">
        <w:rPr>
          <w:lang w:val="fr-CA"/>
        </w:rPr>
        <w:t xml:space="preserve">garantie, de lettres de crédit de soutien, de </w:t>
      </w:r>
      <w:r w:rsidR="00B210C5" w:rsidRPr="00B63BD5">
        <w:rPr>
          <w:lang w:val="fr-CA"/>
        </w:rPr>
        <w:t>cautionnements de bonne exécution</w:t>
      </w:r>
      <w:r w:rsidRPr="00B63BD5">
        <w:rPr>
          <w:lang w:val="fr-CA"/>
        </w:rPr>
        <w:t>, de contre</w:t>
      </w:r>
      <w:r w:rsidRPr="00B63BD5">
        <w:rPr>
          <w:lang w:val="fr-CA"/>
        </w:rPr>
        <w:noBreakHyphen/>
        <w:t>garanties, de contre</w:t>
      </w:r>
      <w:r w:rsidRPr="00B63BD5">
        <w:rPr>
          <w:lang w:val="fr-CA"/>
        </w:rPr>
        <w:noBreakHyphen/>
        <w:t>lettres de crédit de soutien ou de crédits similaires (dans chaque cas, une</w:t>
      </w:r>
      <w:r w:rsidR="00AC4107" w:rsidRPr="00B63BD5">
        <w:rPr>
          <w:lang w:val="fr-CA"/>
        </w:rPr>
        <w:t xml:space="preserve"> </w:t>
      </w:r>
      <w:r w:rsidRPr="00B63BD5">
        <w:rPr>
          <w:lang w:val="fr-CA"/>
        </w:rPr>
        <w:t>«</w:t>
      </w:r>
      <w:r w:rsidR="0094743F" w:rsidRPr="00B63BD5">
        <w:rPr>
          <w:lang w:val="fr-CA"/>
        </w:rPr>
        <w:t> </w:t>
      </w:r>
      <w:r w:rsidRPr="00B63BD5">
        <w:rPr>
          <w:b/>
          <w:lang w:val="fr-CA"/>
        </w:rPr>
        <w:t>Lettre de garantie</w:t>
      </w:r>
      <w:r w:rsidR="0094743F" w:rsidRPr="00B63BD5">
        <w:rPr>
          <w:lang w:val="fr-CA"/>
        </w:rPr>
        <w:t> </w:t>
      </w:r>
      <w:r w:rsidRPr="00B63BD5">
        <w:rPr>
          <w:lang w:val="fr-CA"/>
        </w:rPr>
        <w:t>») conformément aux directives de l</w:t>
      </w:r>
      <w:r w:rsidR="00564B0C" w:rsidRPr="00B63BD5">
        <w:rPr>
          <w:lang w:val="fr-CA"/>
        </w:rPr>
        <w:t>’</w:t>
      </w:r>
      <w:r w:rsidRPr="00B63BD5">
        <w:rPr>
          <w:lang w:val="fr-CA"/>
        </w:rPr>
        <w:t>Emprunteur</w:t>
      </w:r>
      <w:r w:rsidR="0008174F" w:rsidRPr="00B63BD5">
        <w:rPr>
          <w:lang w:val="fr-CA"/>
        </w:rPr>
        <w:t xml:space="preserve"> et </w:t>
      </w:r>
      <w:r w:rsidR="00813506" w:rsidRPr="00B63BD5">
        <w:rPr>
          <w:lang w:val="fr-CA"/>
        </w:rPr>
        <w:t>selon une forme</w:t>
      </w:r>
      <w:r w:rsidR="0008174F" w:rsidRPr="00B63BD5">
        <w:rPr>
          <w:lang w:val="fr-CA"/>
        </w:rPr>
        <w:t xml:space="preserve"> </w:t>
      </w:r>
      <w:r w:rsidR="005756E9" w:rsidRPr="00B63BD5">
        <w:rPr>
          <w:lang w:val="fr-CA"/>
        </w:rPr>
        <w:t xml:space="preserve">que </w:t>
      </w:r>
      <w:r w:rsidR="0008174F" w:rsidRPr="00B63BD5">
        <w:rPr>
          <w:lang w:val="fr-CA"/>
        </w:rPr>
        <w:t>la Banque</w:t>
      </w:r>
      <w:r w:rsidR="005756E9" w:rsidRPr="00B63BD5">
        <w:rPr>
          <w:lang w:val="fr-CA"/>
        </w:rPr>
        <w:t xml:space="preserve"> juge satisfaisante</w:t>
      </w:r>
      <w:r w:rsidR="00B218F5" w:rsidRPr="00B63BD5">
        <w:rPr>
          <w:lang w:val="fr-CA"/>
        </w:rPr>
        <w:t xml:space="preserve"> (la</w:t>
      </w:r>
      <w:r w:rsidR="003F57FA" w:rsidRPr="00B63BD5">
        <w:rPr>
          <w:lang w:val="fr-CA"/>
        </w:rPr>
        <w:t> </w:t>
      </w:r>
      <w:r w:rsidR="00B218F5" w:rsidRPr="00B63BD5">
        <w:rPr>
          <w:lang w:val="fr-CA"/>
        </w:rPr>
        <w:t>«</w:t>
      </w:r>
      <w:r w:rsidR="0094743F" w:rsidRPr="00B63BD5">
        <w:rPr>
          <w:lang w:val="fr-CA"/>
        </w:rPr>
        <w:t> </w:t>
      </w:r>
      <w:r w:rsidR="00B218F5" w:rsidRPr="00B63BD5">
        <w:rPr>
          <w:b/>
          <w:lang w:val="fr-CA"/>
        </w:rPr>
        <w:t>Facilité sous forme de lettre de garantie</w:t>
      </w:r>
      <w:r w:rsidR="0094743F" w:rsidRPr="00B63BD5">
        <w:rPr>
          <w:lang w:val="fr-CA"/>
        </w:rPr>
        <w:t> </w:t>
      </w:r>
      <w:r w:rsidR="00B218F5" w:rsidRPr="00B63BD5">
        <w:rPr>
          <w:lang w:val="fr-CA"/>
        </w:rPr>
        <w:t>»)</w:t>
      </w:r>
      <w:r w:rsidRPr="00B63BD5">
        <w:rPr>
          <w:lang w:val="fr-CA"/>
        </w:rPr>
        <w:t>.</w:t>
      </w:r>
    </w:p>
    <w:p w14:paraId="747D7049" w14:textId="0EAC2899" w:rsidR="007A2B57" w:rsidRPr="00B63BD5" w:rsidRDefault="00924176" w:rsidP="00D33630">
      <w:pPr>
        <w:pStyle w:val="04LOLglNew2"/>
      </w:pPr>
      <w:r w:rsidRPr="00B63BD5">
        <w:t>Montant</w:t>
      </w:r>
    </w:p>
    <w:p w14:paraId="0B49A286" w14:textId="76A45E26" w:rsidR="0008174F" w:rsidRPr="00B63BD5" w:rsidRDefault="0008174F" w:rsidP="00632863">
      <w:pPr>
        <w:keepNext/>
        <w:spacing w:after="240"/>
        <w:jc w:val="both"/>
        <w:rPr>
          <w:b/>
          <w:color w:val="00B0F0"/>
          <w:lang w:val="fr-CA"/>
        </w:rPr>
      </w:pPr>
      <w:r w:rsidRPr="00B63BD5">
        <w:rPr>
          <w:b/>
          <w:color w:val="00B0F0"/>
          <w:lang w:val="fr-CA"/>
        </w:rPr>
        <w:t xml:space="preserve">[N.B. : Utiliser uniquement la </w:t>
      </w:r>
      <w:r w:rsidR="00F57507" w:rsidRPr="00B63BD5">
        <w:rPr>
          <w:b/>
          <w:color w:val="00B0F0"/>
          <w:lang w:val="fr-CA"/>
        </w:rPr>
        <w:t xml:space="preserve">monnaie </w:t>
      </w:r>
      <w:r w:rsidRPr="00B63BD5">
        <w:rPr>
          <w:b/>
          <w:color w:val="00B0F0"/>
          <w:lang w:val="fr-CA"/>
        </w:rPr>
        <w:t>dans laquelle la limite est exprimée (</w:t>
      </w:r>
      <w:r w:rsidR="005756E9" w:rsidRPr="00B63BD5">
        <w:rPr>
          <w:b/>
          <w:color w:val="00B0F0"/>
          <w:lang w:val="fr-CA"/>
        </w:rPr>
        <w:t xml:space="preserve">vérifier </w:t>
      </w:r>
      <w:r w:rsidR="0016220C" w:rsidRPr="00B63BD5">
        <w:rPr>
          <w:b/>
          <w:color w:val="00B0F0"/>
          <w:lang w:val="fr-CA"/>
        </w:rPr>
        <w:t xml:space="preserve">dans </w:t>
      </w:r>
      <w:r w:rsidR="00DF1381" w:rsidRPr="00B63BD5">
        <w:rPr>
          <w:b/>
          <w:color w:val="00B0F0"/>
          <w:lang w:val="fr-CA"/>
        </w:rPr>
        <w:t>CARM</w:t>
      </w:r>
      <w:r w:rsidRPr="00B63BD5">
        <w:rPr>
          <w:b/>
          <w:color w:val="00B0F0"/>
          <w:lang w:val="fr-CA"/>
        </w:rPr>
        <w:t xml:space="preserve">) dans </w:t>
      </w:r>
      <w:r w:rsidR="008C3103" w:rsidRPr="00B63BD5">
        <w:rPr>
          <w:b/>
          <w:color w:val="00B0F0"/>
          <w:lang w:val="fr-CA"/>
        </w:rPr>
        <w:t>le présent article</w:t>
      </w:r>
      <w:r w:rsidRPr="00B63BD5">
        <w:rPr>
          <w:b/>
          <w:color w:val="00B0F0"/>
          <w:lang w:val="fr-CA"/>
        </w:rPr>
        <w:t xml:space="preserve">. </w:t>
      </w:r>
      <w:r w:rsidR="00851006" w:rsidRPr="00B63BD5">
        <w:rPr>
          <w:b/>
          <w:color w:val="00B0F0"/>
          <w:lang w:val="fr-CA"/>
        </w:rPr>
        <w:t>Si des limites différentes sont mises à la disposition d</w:t>
      </w:r>
      <w:r w:rsidR="00564B0C" w:rsidRPr="00B63BD5">
        <w:rPr>
          <w:b/>
          <w:color w:val="00B0F0"/>
          <w:lang w:val="fr-CA"/>
        </w:rPr>
        <w:t>’</w:t>
      </w:r>
      <w:r w:rsidR="00851006" w:rsidRPr="00B63BD5">
        <w:rPr>
          <w:b/>
          <w:color w:val="00B0F0"/>
          <w:lang w:val="fr-CA"/>
        </w:rPr>
        <w:t>entités différentes, indiquer le nom de chaque entité et le montant mis à la disposition de l</w:t>
      </w:r>
      <w:r w:rsidR="00564B0C" w:rsidRPr="00B63BD5">
        <w:rPr>
          <w:b/>
          <w:color w:val="00B0F0"/>
          <w:lang w:val="fr-CA"/>
        </w:rPr>
        <w:t>’</w:t>
      </w:r>
      <w:r w:rsidR="00851006" w:rsidRPr="00B63BD5">
        <w:rPr>
          <w:b/>
          <w:color w:val="00B0F0"/>
          <w:lang w:val="fr-CA"/>
        </w:rPr>
        <w:t>entité en question, comme</w:t>
      </w:r>
      <w:r w:rsidR="002F33D6" w:rsidRPr="00B63BD5">
        <w:rPr>
          <w:b/>
          <w:color w:val="00B0F0"/>
          <w:lang w:val="fr-CA"/>
        </w:rPr>
        <w:t> </w:t>
      </w:r>
      <w:r w:rsidR="00851006" w:rsidRPr="00B63BD5">
        <w:rPr>
          <w:b/>
          <w:color w:val="00B0F0"/>
          <w:lang w:val="fr-CA"/>
        </w:rPr>
        <w:t>il</w:t>
      </w:r>
      <w:r w:rsidR="002F33D6" w:rsidRPr="00B63BD5">
        <w:rPr>
          <w:b/>
          <w:color w:val="00B0F0"/>
          <w:lang w:val="fr-CA"/>
        </w:rPr>
        <w:t> </w:t>
      </w:r>
      <w:r w:rsidR="00851006" w:rsidRPr="00B63BD5">
        <w:rPr>
          <w:b/>
          <w:color w:val="00B0F0"/>
          <w:lang w:val="fr-CA"/>
        </w:rPr>
        <w:t>est indiqué ci</w:t>
      </w:r>
      <w:r w:rsidR="00851006" w:rsidRPr="00B63BD5">
        <w:rPr>
          <w:b/>
          <w:color w:val="00B0F0"/>
          <w:lang w:val="fr-CA"/>
        </w:rPr>
        <w:noBreakHyphen/>
        <w:t>après. Il n</w:t>
      </w:r>
      <w:r w:rsidR="00564B0C" w:rsidRPr="00B63BD5">
        <w:rPr>
          <w:b/>
          <w:color w:val="00B0F0"/>
          <w:lang w:val="fr-CA"/>
        </w:rPr>
        <w:t>’</w:t>
      </w:r>
      <w:r w:rsidR="00851006" w:rsidRPr="00B63BD5">
        <w:rPr>
          <w:b/>
          <w:color w:val="00B0F0"/>
          <w:lang w:val="fr-CA"/>
        </w:rPr>
        <w:t>est pas nécessaire de répéter le nom de l</w:t>
      </w:r>
      <w:r w:rsidR="00564B0C" w:rsidRPr="00B63BD5">
        <w:rPr>
          <w:b/>
          <w:color w:val="00B0F0"/>
          <w:lang w:val="fr-CA"/>
        </w:rPr>
        <w:t>’</w:t>
      </w:r>
      <w:r w:rsidR="00851006" w:rsidRPr="00B63BD5">
        <w:rPr>
          <w:b/>
          <w:color w:val="00B0F0"/>
          <w:lang w:val="fr-CA"/>
        </w:rPr>
        <w:t>Emprunteur de la facilité s</w:t>
      </w:r>
      <w:r w:rsidR="00564B0C" w:rsidRPr="00B63BD5">
        <w:rPr>
          <w:b/>
          <w:color w:val="00B0F0"/>
          <w:lang w:val="fr-CA"/>
        </w:rPr>
        <w:t>’</w:t>
      </w:r>
      <w:r w:rsidR="00851006" w:rsidRPr="00B63BD5">
        <w:rPr>
          <w:b/>
          <w:color w:val="00B0F0"/>
          <w:lang w:val="fr-CA"/>
        </w:rPr>
        <w:t>il n</w:t>
      </w:r>
      <w:r w:rsidR="00564B0C" w:rsidRPr="00B63BD5">
        <w:rPr>
          <w:b/>
          <w:color w:val="00B0F0"/>
          <w:lang w:val="fr-CA"/>
        </w:rPr>
        <w:t>’</w:t>
      </w:r>
      <w:r w:rsidR="00851006" w:rsidRPr="00B63BD5">
        <w:rPr>
          <w:b/>
          <w:color w:val="00B0F0"/>
          <w:lang w:val="fr-CA"/>
        </w:rPr>
        <w:t>y en a qu</w:t>
      </w:r>
      <w:r w:rsidR="00564B0C" w:rsidRPr="00B63BD5">
        <w:rPr>
          <w:b/>
          <w:color w:val="00B0F0"/>
          <w:lang w:val="fr-CA"/>
        </w:rPr>
        <w:t>’</w:t>
      </w:r>
      <w:r w:rsidR="00851006" w:rsidRPr="00B63BD5">
        <w:rPr>
          <w:b/>
          <w:color w:val="00B0F0"/>
          <w:lang w:val="fr-CA"/>
        </w:rPr>
        <w:t xml:space="preserve">un seul </w:t>
      </w:r>
      <w:r w:rsidR="00851006" w:rsidRPr="00B63BD5">
        <w:rPr>
          <w:b/>
          <w:color w:val="00B0F0"/>
          <w:u w:val="single"/>
          <w:lang w:val="fr-CA"/>
        </w:rPr>
        <w:t>ou</w:t>
      </w:r>
      <w:r w:rsidR="00851006" w:rsidRPr="00B63BD5">
        <w:rPr>
          <w:b/>
          <w:color w:val="00B0F0"/>
          <w:lang w:val="fr-CA"/>
        </w:rPr>
        <w:t xml:space="preserve"> s</w:t>
      </w:r>
      <w:r w:rsidR="00564B0C" w:rsidRPr="00B63BD5">
        <w:rPr>
          <w:b/>
          <w:color w:val="00B0F0"/>
          <w:lang w:val="fr-CA"/>
        </w:rPr>
        <w:t>’</w:t>
      </w:r>
      <w:r w:rsidR="00851006" w:rsidRPr="00B63BD5">
        <w:rPr>
          <w:b/>
          <w:color w:val="00B0F0"/>
          <w:lang w:val="fr-CA"/>
        </w:rPr>
        <w:t>il y a plusieurs Emprunteurs et que tous ceux</w:t>
      </w:r>
      <w:r w:rsidR="00851006" w:rsidRPr="00B63BD5">
        <w:rPr>
          <w:b/>
          <w:color w:val="00B0F0"/>
          <w:lang w:val="fr-CA"/>
        </w:rPr>
        <w:noBreakHyphen/>
        <w:t>ci ont accès à la même limite totale solidairement et dans une mesure égale.]</w:t>
      </w:r>
    </w:p>
    <w:p w14:paraId="22ECA7DA" w14:textId="24D6FF67" w:rsidR="00FD1A15" w:rsidRPr="00B63BD5" w:rsidRDefault="000144B5" w:rsidP="00632863">
      <w:pPr>
        <w:spacing w:after="240"/>
        <w:jc w:val="both"/>
        <w:rPr>
          <w:lang w:val="fr-CA"/>
        </w:rPr>
      </w:pPr>
      <w:r w:rsidRPr="00B63BD5">
        <w:rPr>
          <w:lang w:val="fr-CA"/>
        </w:rPr>
        <w:t>Facilité sous forme de lettre de garantie offerte j</w:t>
      </w:r>
      <w:r w:rsidR="00924176" w:rsidRPr="00B63BD5">
        <w:rPr>
          <w:lang w:val="fr-CA"/>
        </w:rPr>
        <w:t>usqu</w:t>
      </w:r>
      <w:r w:rsidR="00564B0C" w:rsidRPr="00B63BD5">
        <w:rPr>
          <w:lang w:val="fr-CA"/>
        </w:rPr>
        <w:t>’</w:t>
      </w:r>
      <w:r w:rsidR="00924176" w:rsidRPr="00B63BD5">
        <w:rPr>
          <w:lang w:val="fr-CA"/>
        </w:rPr>
        <w:t xml:space="preserve">à concurrence du plafond autorisé de </w:t>
      </w:r>
      <w:r w:rsidR="009F6E69" w:rsidRPr="00B63BD5">
        <w:rPr>
          <w:lang w:val="fr-CA"/>
        </w:rPr>
        <w:t>[●</w:t>
      </w:r>
      <w:r w:rsidR="00AC4107" w:rsidRPr="00B63BD5">
        <w:rPr>
          <w:lang w:val="fr-CA"/>
        </w:rPr>
        <w:t xml:space="preserve"> </w:t>
      </w:r>
      <w:r w:rsidR="009F6E69" w:rsidRPr="00B63BD5">
        <w:rPr>
          <w:lang w:val="fr-CA"/>
        </w:rPr>
        <w:t>$</w:t>
      </w:r>
      <w:r w:rsidR="00AC4107" w:rsidRPr="00B63BD5">
        <w:rPr>
          <w:lang w:val="fr-CA"/>
        </w:rPr>
        <w:t xml:space="preserve"> </w:t>
      </w:r>
      <w:r w:rsidR="009F6E69" w:rsidRPr="00B63BD5">
        <w:rPr>
          <w:lang w:val="fr-CA"/>
        </w:rPr>
        <w:t xml:space="preserve">CA </w:t>
      </w:r>
      <w:r w:rsidR="001934B0" w:rsidRPr="00B63BD5">
        <w:rPr>
          <w:b/>
          <w:color w:val="00B0F0"/>
          <w:highlight w:val="yellow"/>
          <w:lang w:val="fr-CA"/>
        </w:rPr>
        <w:t>OU</w:t>
      </w:r>
      <w:r w:rsidR="009F6E69" w:rsidRPr="00B63BD5">
        <w:rPr>
          <w:lang w:val="fr-CA"/>
        </w:rPr>
        <w:t xml:space="preserve"> ●</w:t>
      </w:r>
      <w:r w:rsidR="002F33D6" w:rsidRPr="00B63BD5">
        <w:rPr>
          <w:lang w:val="fr-CA"/>
        </w:rPr>
        <w:t> </w:t>
      </w:r>
      <w:r w:rsidR="009F6E69" w:rsidRPr="00B63BD5">
        <w:rPr>
          <w:lang w:val="fr-CA"/>
        </w:rPr>
        <w:t>$</w:t>
      </w:r>
      <w:r w:rsidR="0047763F" w:rsidRPr="00B63BD5">
        <w:rPr>
          <w:lang w:val="fr-CA"/>
        </w:rPr>
        <w:t> </w:t>
      </w:r>
      <w:r w:rsidR="009F6E69" w:rsidRPr="00B63BD5">
        <w:rPr>
          <w:lang w:val="fr-CA"/>
        </w:rPr>
        <w:t>US]</w:t>
      </w:r>
      <w:r w:rsidR="00924176" w:rsidRPr="00B63BD5">
        <w:rPr>
          <w:lang w:val="fr-CA"/>
        </w:rPr>
        <w:t xml:space="preserve">, sous réserve </w:t>
      </w:r>
      <w:r w:rsidR="00617DF9" w:rsidRPr="00B63BD5">
        <w:rPr>
          <w:lang w:val="fr-CA"/>
        </w:rPr>
        <w:t>des Exigences relatives à la marge, le cas échéant</w:t>
      </w:r>
      <w:r w:rsidR="00924176" w:rsidRPr="00B63BD5">
        <w:rPr>
          <w:lang w:val="fr-CA"/>
        </w:rPr>
        <w:t xml:space="preserve"> (la</w:t>
      </w:r>
      <w:r w:rsidR="00AC4107" w:rsidRPr="00B63BD5">
        <w:rPr>
          <w:lang w:val="fr-CA"/>
        </w:rPr>
        <w:t xml:space="preserve"> </w:t>
      </w:r>
      <w:r w:rsidR="00924176" w:rsidRPr="00B63BD5">
        <w:rPr>
          <w:lang w:val="fr-CA"/>
        </w:rPr>
        <w:t>«</w:t>
      </w:r>
      <w:r w:rsidR="0094743F" w:rsidRPr="00B63BD5">
        <w:rPr>
          <w:lang w:val="fr-CA"/>
        </w:rPr>
        <w:t> </w:t>
      </w:r>
      <w:r w:rsidR="00924176" w:rsidRPr="00B63BD5">
        <w:rPr>
          <w:b/>
          <w:lang w:val="fr-CA"/>
        </w:rPr>
        <w:t xml:space="preserve">Limite de la </w:t>
      </w:r>
      <w:r w:rsidR="00617DF9" w:rsidRPr="00B63BD5">
        <w:rPr>
          <w:b/>
          <w:lang w:val="fr-CA"/>
        </w:rPr>
        <w:t xml:space="preserve">Facilité sous forme de </w:t>
      </w:r>
      <w:r w:rsidR="00924176" w:rsidRPr="00B63BD5">
        <w:rPr>
          <w:b/>
          <w:lang w:val="fr-CA"/>
        </w:rPr>
        <w:t>lettre de garantie</w:t>
      </w:r>
      <w:r w:rsidR="0094743F" w:rsidRPr="00B63BD5">
        <w:rPr>
          <w:lang w:val="fr-CA"/>
        </w:rPr>
        <w:t> </w:t>
      </w:r>
      <w:r w:rsidR="00924176" w:rsidRPr="00B63BD5">
        <w:rPr>
          <w:lang w:val="fr-CA"/>
        </w:rPr>
        <w:t>»).</w:t>
      </w:r>
    </w:p>
    <w:p w14:paraId="6BF0205F" w14:textId="599EF679" w:rsidR="00F827C2" w:rsidRPr="00B63BD5" w:rsidRDefault="00F827C2" w:rsidP="00632863">
      <w:pPr>
        <w:spacing w:after="240"/>
        <w:jc w:val="both"/>
        <w:rPr>
          <w:lang w:val="fr-CA"/>
        </w:rPr>
      </w:pPr>
      <w:r w:rsidRPr="00B63BD5">
        <w:rPr>
          <w:lang w:val="fr-CA"/>
        </w:rPr>
        <w:t>[Somme mise à la disposition de [inscrire le nom de l</w:t>
      </w:r>
      <w:r w:rsidR="00564B0C" w:rsidRPr="00B63BD5">
        <w:rPr>
          <w:lang w:val="fr-CA"/>
        </w:rPr>
        <w:t>’</w:t>
      </w:r>
      <w:r w:rsidRPr="00B63BD5">
        <w:rPr>
          <w:lang w:val="fr-CA"/>
        </w:rPr>
        <w:t>Emprunteur</w:t>
      </w:r>
      <w:r w:rsidR="009A0F33" w:rsidRPr="00B63BD5">
        <w:rPr>
          <w:lang w:val="fr-CA"/>
        </w:rPr>
        <w:t>]</w:t>
      </w:r>
      <w:r w:rsidR="00AC4107" w:rsidRPr="00B63BD5">
        <w:rPr>
          <w:lang w:val="fr-CA"/>
        </w:rPr>
        <w:t xml:space="preserve"> </w:t>
      </w:r>
      <w:r w:rsidRPr="00B63BD5">
        <w:rPr>
          <w:lang w:val="fr-CA"/>
        </w:rPr>
        <w:t xml:space="preserve">: </w:t>
      </w:r>
      <w:r w:rsidR="009F6E69" w:rsidRPr="00B63BD5">
        <w:rPr>
          <w:lang w:val="fr-CA"/>
        </w:rPr>
        <w:t>[●</w:t>
      </w:r>
      <w:r w:rsidR="00AC4107" w:rsidRPr="00B63BD5">
        <w:rPr>
          <w:lang w:val="fr-CA"/>
        </w:rPr>
        <w:t xml:space="preserve"> </w:t>
      </w:r>
      <w:r w:rsidR="009F6E69" w:rsidRPr="00B63BD5">
        <w:rPr>
          <w:lang w:val="fr-CA"/>
        </w:rPr>
        <w:t>$</w:t>
      </w:r>
      <w:r w:rsidR="00AC4107" w:rsidRPr="00B63BD5">
        <w:rPr>
          <w:lang w:val="fr-CA"/>
        </w:rPr>
        <w:t xml:space="preserve"> </w:t>
      </w:r>
      <w:r w:rsidR="009F6E69" w:rsidRPr="00B63BD5">
        <w:rPr>
          <w:lang w:val="fr-CA"/>
        </w:rPr>
        <w:t xml:space="preserve">CA </w:t>
      </w:r>
      <w:r w:rsidR="001934B0" w:rsidRPr="00B63BD5">
        <w:rPr>
          <w:b/>
          <w:color w:val="00B0F0"/>
          <w:highlight w:val="yellow"/>
          <w:lang w:val="fr-CA"/>
        </w:rPr>
        <w:t>OU</w:t>
      </w:r>
      <w:r w:rsidR="009F6E69" w:rsidRPr="00B63BD5">
        <w:rPr>
          <w:lang w:val="fr-CA"/>
        </w:rPr>
        <w:t xml:space="preserve"> ●</w:t>
      </w:r>
      <w:r w:rsidR="00AC4107" w:rsidRPr="00B63BD5">
        <w:rPr>
          <w:lang w:val="fr-CA"/>
        </w:rPr>
        <w:t xml:space="preserve"> </w:t>
      </w:r>
      <w:r w:rsidR="009F6E69" w:rsidRPr="00B63BD5">
        <w:rPr>
          <w:lang w:val="fr-CA"/>
        </w:rPr>
        <w:t>$</w:t>
      </w:r>
      <w:r w:rsidR="00AC4107" w:rsidRPr="00B63BD5">
        <w:rPr>
          <w:lang w:val="fr-CA"/>
        </w:rPr>
        <w:t xml:space="preserve"> </w:t>
      </w:r>
      <w:r w:rsidR="009F6E69" w:rsidRPr="00B63BD5">
        <w:rPr>
          <w:lang w:val="fr-CA"/>
        </w:rPr>
        <w:t>US]</w:t>
      </w:r>
      <w:r w:rsidR="00142D9B" w:rsidRPr="00B63BD5">
        <w:rPr>
          <w:lang w:val="fr-CA"/>
        </w:rPr>
        <w:t>]</w:t>
      </w:r>
    </w:p>
    <w:p w14:paraId="7616D5F8" w14:textId="1F434734" w:rsidR="0008174F" w:rsidRPr="00B63BD5" w:rsidRDefault="00F827C2" w:rsidP="00632863">
      <w:pPr>
        <w:spacing w:after="240"/>
        <w:jc w:val="both"/>
        <w:rPr>
          <w:lang w:val="fr-CA"/>
        </w:rPr>
      </w:pPr>
      <w:r w:rsidRPr="00B63BD5">
        <w:rPr>
          <w:lang w:val="fr-CA"/>
        </w:rPr>
        <w:t>[Somme mise à la disposition de [inscrire le nom de l</w:t>
      </w:r>
      <w:r w:rsidR="00564B0C" w:rsidRPr="00B63BD5">
        <w:rPr>
          <w:lang w:val="fr-CA"/>
        </w:rPr>
        <w:t>’</w:t>
      </w:r>
      <w:r w:rsidRPr="00B63BD5">
        <w:rPr>
          <w:lang w:val="fr-CA"/>
        </w:rPr>
        <w:t>Emprunteur]</w:t>
      </w:r>
      <w:r w:rsidR="00AC4107" w:rsidRPr="00B63BD5">
        <w:rPr>
          <w:lang w:val="fr-CA"/>
        </w:rPr>
        <w:t xml:space="preserve"> </w:t>
      </w:r>
      <w:r w:rsidRPr="00B63BD5">
        <w:rPr>
          <w:lang w:val="fr-CA"/>
        </w:rPr>
        <w:t xml:space="preserve">: </w:t>
      </w:r>
      <w:r w:rsidR="009F6E69" w:rsidRPr="00B63BD5">
        <w:rPr>
          <w:lang w:val="fr-CA"/>
        </w:rPr>
        <w:t>[●</w:t>
      </w:r>
      <w:r w:rsidR="00AC4107" w:rsidRPr="00B63BD5">
        <w:rPr>
          <w:lang w:val="fr-CA"/>
        </w:rPr>
        <w:t xml:space="preserve"> </w:t>
      </w:r>
      <w:r w:rsidR="009F6E69" w:rsidRPr="00B63BD5">
        <w:rPr>
          <w:lang w:val="fr-CA"/>
        </w:rPr>
        <w:t>$</w:t>
      </w:r>
      <w:r w:rsidR="00AC4107" w:rsidRPr="00B63BD5">
        <w:rPr>
          <w:lang w:val="fr-CA"/>
        </w:rPr>
        <w:t xml:space="preserve"> </w:t>
      </w:r>
      <w:r w:rsidR="009F6E69" w:rsidRPr="00B63BD5">
        <w:rPr>
          <w:lang w:val="fr-CA"/>
        </w:rPr>
        <w:t xml:space="preserve">CA </w:t>
      </w:r>
      <w:r w:rsidR="001934B0" w:rsidRPr="00B63BD5">
        <w:rPr>
          <w:b/>
          <w:color w:val="00B0F0"/>
          <w:highlight w:val="yellow"/>
          <w:lang w:val="fr-CA"/>
        </w:rPr>
        <w:t>OU</w:t>
      </w:r>
      <w:r w:rsidR="009F6E69" w:rsidRPr="00B63BD5">
        <w:rPr>
          <w:lang w:val="fr-CA"/>
        </w:rPr>
        <w:t xml:space="preserve"> ●</w:t>
      </w:r>
      <w:r w:rsidR="00AC4107" w:rsidRPr="00B63BD5">
        <w:rPr>
          <w:lang w:val="fr-CA"/>
        </w:rPr>
        <w:t xml:space="preserve"> </w:t>
      </w:r>
      <w:r w:rsidR="009F6E69" w:rsidRPr="00B63BD5">
        <w:rPr>
          <w:lang w:val="fr-CA"/>
        </w:rPr>
        <w:t>$</w:t>
      </w:r>
      <w:r w:rsidR="00AC4107" w:rsidRPr="00B63BD5">
        <w:rPr>
          <w:lang w:val="fr-CA"/>
        </w:rPr>
        <w:t xml:space="preserve"> </w:t>
      </w:r>
      <w:r w:rsidR="009F6E69" w:rsidRPr="00B63BD5">
        <w:rPr>
          <w:lang w:val="fr-CA"/>
        </w:rPr>
        <w:t>US]</w:t>
      </w:r>
      <w:r w:rsidR="00142D9B" w:rsidRPr="00B63BD5">
        <w:rPr>
          <w:lang w:val="fr-CA"/>
        </w:rPr>
        <w:t>]</w:t>
      </w:r>
    </w:p>
    <w:p w14:paraId="651B75DD" w14:textId="026944B8" w:rsidR="00F827C2" w:rsidRPr="00B63BD5" w:rsidRDefault="00F827C2" w:rsidP="00632863">
      <w:pPr>
        <w:spacing w:after="240"/>
        <w:jc w:val="both"/>
        <w:rPr>
          <w:lang w:val="fr-CA"/>
        </w:rPr>
      </w:pPr>
      <w:r w:rsidRPr="00B63BD5">
        <w:rPr>
          <w:b/>
          <w:color w:val="00B0F0"/>
          <w:lang w:val="fr-CA"/>
        </w:rPr>
        <w:t>[S</w:t>
      </w:r>
      <w:r w:rsidR="00564B0C" w:rsidRPr="00B63BD5">
        <w:rPr>
          <w:b/>
          <w:color w:val="00B0F0"/>
          <w:lang w:val="fr-CA"/>
        </w:rPr>
        <w:t>’</w:t>
      </w:r>
      <w:r w:rsidRPr="00B63BD5">
        <w:rPr>
          <w:b/>
          <w:color w:val="00B0F0"/>
          <w:lang w:val="fr-CA"/>
        </w:rPr>
        <w:t>il n</w:t>
      </w:r>
      <w:r w:rsidR="00564B0C" w:rsidRPr="00B63BD5">
        <w:rPr>
          <w:b/>
          <w:color w:val="00B0F0"/>
          <w:lang w:val="fr-CA"/>
        </w:rPr>
        <w:t>’</w:t>
      </w:r>
      <w:r w:rsidRPr="00B63BD5">
        <w:rPr>
          <w:b/>
          <w:color w:val="00B0F0"/>
          <w:lang w:val="fr-CA"/>
        </w:rPr>
        <w:t>y a qu</w:t>
      </w:r>
      <w:r w:rsidR="00564B0C" w:rsidRPr="00B63BD5">
        <w:rPr>
          <w:b/>
          <w:color w:val="00B0F0"/>
          <w:lang w:val="fr-CA"/>
        </w:rPr>
        <w:t>’</w:t>
      </w:r>
      <w:r w:rsidRPr="00B63BD5">
        <w:rPr>
          <w:b/>
          <w:color w:val="00B0F0"/>
          <w:lang w:val="fr-CA"/>
        </w:rPr>
        <w:t>un seul Emprunteur</w:t>
      </w:r>
      <w:r w:rsidR="00AC4107" w:rsidRPr="00B63BD5">
        <w:rPr>
          <w:b/>
          <w:color w:val="00B0F0"/>
          <w:lang w:val="fr-CA"/>
        </w:rPr>
        <w:t xml:space="preserve"> </w:t>
      </w:r>
      <w:r w:rsidRPr="00B63BD5">
        <w:rPr>
          <w:b/>
          <w:color w:val="00B0F0"/>
          <w:lang w:val="fr-CA"/>
        </w:rPr>
        <w:t>:</w:t>
      </w:r>
      <w:r w:rsidR="005756E9" w:rsidRPr="00B63BD5">
        <w:rPr>
          <w:b/>
          <w:color w:val="00B0F0"/>
          <w:lang w:val="fr-CA"/>
        </w:rPr>
        <w:t>]</w:t>
      </w:r>
      <w:r w:rsidRPr="00B63BD5">
        <w:rPr>
          <w:b/>
          <w:color w:val="00B0F0"/>
          <w:lang w:val="fr-CA"/>
        </w:rPr>
        <w:t xml:space="preserve"> </w:t>
      </w:r>
      <w:r w:rsidRPr="00B63BD5">
        <w:rPr>
          <w:lang w:val="fr-CA"/>
        </w:rPr>
        <w:t>L</w:t>
      </w:r>
      <w:r w:rsidR="00564B0C" w:rsidRPr="00B63BD5">
        <w:rPr>
          <w:lang w:val="fr-CA"/>
        </w:rPr>
        <w:t>’</w:t>
      </w:r>
      <w:r w:rsidRPr="00B63BD5">
        <w:rPr>
          <w:lang w:val="fr-CA"/>
        </w:rPr>
        <w:t>Emprunteur doit s</w:t>
      </w:r>
      <w:r w:rsidR="00564B0C" w:rsidRPr="00B63BD5">
        <w:rPr>
          <w:lang w:val="fr-CA"/>
        </w:rPr>
        <w:t>’</w:t>
      </w:r>
      <w:r w:rsidRPr="00B63BD5">
        <w:rPr>
          <w:lang w:val="fr-CA"/>
        </w:rPr>
        <w:t xml:space="preserve">assurer que </w:t>
      </w:r>
      <w:r w:rsidR="00813506" w:rsidRPr="00B63BD5">
        <w:rPr>
          <w:lang w:val="fr-CA"/>
        </w:rPr>
        <w:t xml:space="preserve">le montant global de </w:t>
      </w:r>
      <w:r w:rsidR="00B67E21" w:rsidRPr="00B63BD5">
        <w:rPr>
          <w:lang w:val="fr-CA"/>
        </w:rPr>
        <w:t>[l</w:t>
      </w:r>
      <w:r w:rsidR="00564B0C" w:rsidRPr="00B63BD5">
        <w:rPr>
          <w:lang w:val="fr-CA"/>
        </w:rPr>
        <w:t>’</w:t>
      </w:r>
      <w:r w:rsidR="00B67E21" w:rsidRPr="00B63BD5">
        <w:rPr>
          <w:lang w:val="fr-CA"/>
        </w:rPr>
        <w:t xml:space="preserve">Équivalent en dollars canadiens </w:t>
      </w:r>
      <w:r w:rsidR="001934B0" w:rsidRPr="00B63BD5">
        <w:rPr>
          <w:b/>
          <w:color w:val="00B0F0"/>
          <w:highlight w:val="yellow"/>
          <w:lang w:val="fr-CA"/>
        </w:rPr>
        <w:t>OU</w:t>
      </w:r>
      <w:r w:rsidR="00B67E21" w:rsidRPr="00B63BD5">
        <w:rPr>
          <w:lang w:val="fr-CA"/>
        </w:rPr>
        <w:t xml:space="preserve"> l</w:t>
      </w:r>
      <w:r w:rsidR="00564B0C" w:rsidRPr="00B63BD5">
        <w:rPr>
          <w:lang w:val="fr-CA"/>
        </w:rPr>
        <w:t>’</w:t>
      </w:r>
      <w:r w:rsidR="00B67E21" w:rsidRPr="00B63BD5">
        <w:rPr>
          <w:lang w:val="fr-CA"/>
        </w:rPr>
        <w:t>Équivalent en dollars américains]</w:t>
      </w:r>
      <w:r w:rsidRPr="00B63BD5">
        <w:rPr>
          <w:b/>
          <w:lang w:val="fr-CA"/>
        </w:rPr>
        <w:t xml:space="preserve"> </w:t>
      </w:r>
      <w:r w:rsidRPr="00B63BD5">
        <w:rPr>
          <w:lang w:val="fr-CA"/>
        </w:rPr>
        <w:t>de</w:t>
      </w:r>
      <w:r w:rsidR="005756E9" w:rsidRPr="00B63BD5">
        <w:rPr>
          <w:lang w:val="fr-CA"/>
        </w:rPr>
        <w:t xml:space="preserve"> toutes les </w:t>
      </w:r>
      <w:r w:rsidRPr="00B63BD5">
        <w:rPr>
          <w:lang w:val="fr-CA"/>
        </w:rPr>
        <w:t>sommes avancées et</w:t>
      </w:r>
      <w:r w:rsidR="002F33D6" w:rsidRPr="00B63BD5">
        <w:rPr>
          <w:lang w:val="fr-CA"/>
        </w:rPr>
        <w:t> </w:t>
      </w:r>
      <w:r w:rsidR="005756E9" w:rsidRPr="00B63BD5">
        <w:rPr>
          <w:lang w:val="fr-CA"/>
        </w:rPr>
        <w:t>de</w:t>
      </w:r>
      <w:r w:rsidR="002F33D6" w:rsidRPr="00B63BD5">
        <w:rPr>
          <w:lang w:val="fr-CA"/>
        </w:rPr>
        <w:t> </w:t>
      </w:r>
      <w:r w:rsidR="005756E9" w:rsidRPr="00B63BD5">
        <w:rPr>
          <w:lang w:val="fr-CA"/>
        </w:rPr>
        <w:t>tous</w:t>
      </w:r>
      <w:r w:rsidR="002F33D6" w:rsidRPr="00B63BD5">
        <w:rPr>
          <w:lang w:val="fr-CA"/>
        </w:rPr>
        <w:t> </w:t>
      </w:r>
      <w:r w:rsidR="005756E9" w:rsidRPr="00B63BD5">
        <w:rPr>
          <w:lang w:val="fr-CA"/>
        </w:rPr>
        <w:t>les</w:t>
      </w:r>
      <w:r w:rsidR="002F33D6" w:rsidRPr="00B63BD5">
        <w:rPr>
          <w:lang w:val="fr-CA"/>
        </w:rPr>
        <w:t> </w:t>
      </w:r>
      <w:r w:rsidRPr="00B63BD5">
        <w:rPr>
          <w:lang w:val="fr-CA"/>
        </w:rPr>
        <w:t xml:space="preserve">crédits </w:t>
      </w:r>
      <w:r w:rsidR="005756E9" w:rsidRPr="00B63BD5">
        <w:rPr>
          <w:lang w:val="fr-CA"/>
        </w:rPr>
        <w:t xml:space="preserve">impayés </w:t>
      </w:r>
      <w:r w:rsidRPr="00B63BD5">
        <w:rPr>
          <w:lang w:val="fr-CA"/>
        </w:rPr>
        <w:t>(y</w:t>
      </w:r>
      <w:r w:rsidR="00AC4107" w:rsidRPr="00B63BD5">
        <w:rPr>
          <w:lang w:val="fr-CA"/>
        </w:rPr>
        <w:t xml:space="preserve"> </w:t>
      </w:r>
      <w:r w:rsidRPr="00B63BD5">
        <w:rPr>
          <w:lang w:val="fr-CA"/>
        </w:rPr>
        <w:t>compris la valeur nominale des Lettres de garantie</w:t>
      </w:r>
      <w:r w:rsidR="00813506" w:rsidRPr="00B63BD5">
        <w:rPr>
          <w:lang w:val="fr-CA"/>
        </w:rPr>
        <w:t xml:space="preserve"> émises et impayées</w:t>
      </w:r>
      <w:r w:rsidRPr="00B63BD5">
        <w:rPr>
          <w:lang w:val="fr-CA"/>
        </w:rPr>
        <w:t xml:space="preserve">) sur la Facilité sous forme de </w:t>
      </w:r>
      <w:r w:rsidR="005756E9" w:rsidRPr="00B63BD5">
        <w:rPr>
          <w:lang w:val="fr-CA"/>
        </w:rPr>
        <w:t>l</w:t>
      </w:r>
      <w:r w:rsidRPr="00B63BD5">
        <w:rPr>
          <w:lang w:val="fr-CA"/>
        </w:rPr>
        <w:t xml:space="preserve">ettre de garantie </w:t>
      </w:r>
      <w:r w:rsidR="005756E9" w:rsidRPr="00B63BD5">
        <w:rPr>
          <w:lang w:val="fr-CA"/>
        </w:rPr>
        <w:t>n</w:t>
      </w:r>
      <w:r w:rsidR="00564B0C" w:rsidRPr="00B63BD5">
        <w:rPr>
          <w:lang w:val="fr-CA"/>
        </w:rPr>
        <w:t>’</w:t>
      </w:r>
      <w:r w:rsidR="005756E9" w:rsidRPr="00B63BD5">
        <w:rPr>
          <w:lang w:val="fr-CA"/>
        </w:rPr>
        <w:t xml:space="preserve">excède </w:t>
      </w:r>
      <w:r w:rsidRPr="00B63BD5">
        <w:rPr>
          <w:lang w:val="fr-CA"/>
        </w:rPr>
        <w:t xml:space="preserve">à aucun moment la Limite </w:t>
      </w:r>
      <w:r w:rsidR="00832104" w:rsidRPr="00B63BD5">
        <w:rPr>
          <w:lang w:val="fr-CA"/>
        </w:rPr>
        <w:t>de la Facilité sous forme de lettre de garantie</w:t>
      </w:r>
      <w:r w:rsidRPr="00B63BD5">
        <w:rPr>
          <w:lang w:val="fr-CA"/>
        </w:rPr>
        <w:t>.</w:t>
      </w:r>
    </w:p>
    <w:p w14:paraId="69859957" w14:textId="0196FA8C" w:rsidR="00F827C2" w:rsidRPr="00B63BD5" w:rsidRDefault="00F827C2" w:rsidP="00632863">
      <w:pPr>
        <w:spacing w:after="240"/>
        <w:jc w:val="both"/>
        <w:rPr>
          <w:lang w:val="fr-CA"/>
        </w:rPr>
      </w:pPr>
      <w:r w:rsidRPr="00B63BD5">
        <w:rPr>
          <w:b/>
          <w:color w:val="00B0F0"/>
          <w:lang w:val="fr-CA"/>
        </w:rPr>
        <w:t>[S</w:t>
      </w:r>
      <w:r w:rsidR="00564B0C" w:rsidRPr="00B63BD5">
        <w:rPr>
          <w:b/>
          <w:color w:val="00B0F0"/>
          <w:lang w:val="fr-CA"/>
        </w:rPr>
        <w:t>’</w:t>
      </w:r>
      <w:r w:rsidRPr="00B63BD5">
        <w:rPr>
          <w:b/>
          <w:color w:val="00B0F0"/>
          <w:lang w:val="fr-CA"/>
        </w:rPr>
        <w:t>il y a plusieurs Emprunteurs</w:t>
      </w:r>
      <w:r w:rsidR="00AC4107" w:rsidRPr="00B63BD5">
        <w:rPr>
          <w:b/>
          <w:color w:val="00B0F0"/>
          <w:lang w:val="fr-CA"/>
        </w:rPr>
        <w:t xml:space="preserve"> </w:t>
      </w:r>
      <w:r w:rsidRPr="00B63BD5">
        <w:rPr>
          <w:b/>
          <w:color w:val="00B0F0"/>
          <w:lang w:val="fr-CA"/>
        </w:rPr>
        <w:t>:</w:t>
      </w:r>
      <w:r w:rsidR="005756E9" w:rsidRPr="00B63BD5">
        <w:rPr>
          <w:b/>
          <w:color w:val="00B0F0"/>
          <w:lang w:val="fr-CA"/>
        </w:rPr>
        <w:t>]</w:t>
      </w:r>
      <w:r w:rsidRPr="00B63BD5">
        <w:rPr>
          <w:b/>
          <w:color w:val="00B0F0"/>
          <w:lang w:val="fr-CA"/>
        </w:rPr>
        <w:t xml:space="preserve"> </w:t>
      </w:r>
      <w:r w:rsidRPr="00B63BD5">
        <w:rPr>
          <w:lang w:val="fr-CA"/>
        </w:rPr>
        <w:t>Les Emprunteurs doivent s</w:t>
      </w:r>
      <w:r w:rsidR="00564B0C" w:rsidRPr="00B63BD5">
        <w:rPr>
          <w:lang w:val="fr-CA"/>
        </w:rPr>
        <w:t>’</w:t>
      </w:r>
      <w:r w:rsidRPr="00B63BD5">
        <w:rPr>
          <w:lang w:val="fr-CA"/>
        </w:rPr>
        <w:t xml:space="preserve">assurer que </w:t>
      </w:r>
      <w:r w:rsidR="0039695D" w:rsidRPr="00B63BD5">
        <w:rPr>
          <w:lang w:val="fr-CA"/>
        </w:rPr>
        <w:t>le montant global de</w:t>
      </w:r>
      <w:r w:rsidR="002F33D6" w:rsidRPr="00B63BD5">
        <w:rPr>
          <w:lang w:val="fr-CA"/>
        </w:rPr>
        <w:t> </w:t>
      </w:r>
      <w:r w:rsidR="00B67E21" w:rsidRPr="00B63BD5">
        <w:rPr>
          <w:lang w:val="fr-CA"/>
        </w:rPr>
        <w:t>[l</w:t>
      </w:r>
      <w:r w:rsidR="00564B0C" w:rsidRPr="00B63BD5">
        <w:rPr>
          <w:lang w:val="fr-CA"/>
        </w:rPr>
        <w:t>’</w:t>
      </w:r>
      <w:r w:rsidR="00B67E21" w:rsidRPr="00B63BD5">
        <w:rPr>
          <w:lang w:val="fr-CA"/>
        </w:rPr>
        <w:t>Équivalent</w:t>
      </w:r>
      <w:r w:rsidR="00363F9D" w:rsidRPr="00B63BD5">
        <w:rPr>
          <w:lang w:val="fr-CA"/>
        </w:rPr>
        <w:t> </w:t>
      </w:r>
      <w:r w:rsidR="00B67E21" w:rsidRPr="00B63BD5">
        <w:rPr>
          <w:lang w:val="fr-CA"/>
        </w:rPr>
        <w:t xml:space="preserve">en dollars canadiens </w:t>
      </w:r>
      <w:r w:rsidR="001934B0" w:rsidRPr="00B63BD5">
        <w:rPr>
          <w:b/>
          <w:color w:val="00B0F0"/>
          <w:highlight w:val="yellow"/>
          <w:lang w:val="fr-CA"/>
        </w:rPr>
        <w:t>OU</w:t>
      </w:r>
      <w:r w:rsidR="00B67E21" w:rsidRPr="00B63BD5">
        <w:rPr>
          <w:lang w:val="fr-CA"/>
        </w:rPr>
        <w:t xml:space="preserve"> l</w:t>
      </w:r>
      <w:r w:rsidR="00564B0C" w:rsidRPr="00B63BD5">
        <w:rPr>
          <w:lang w:val="fr-CA"/>
        </w:rPr>
        <w:t>’</w:t>
      </w:r>
      <w:r w:rsidR="00B67E21" w:rsidRPr="00B63BD5">
        <w:rPr>
          <w:lang w:val="fr-CA"/>
        </w:rPr>
        <w:t>Équivalent en dollars américains]</w:t>
      </w:r>
      <w:r w:rsidRPr="00B63BD5">
        <w:rPr>
          <w:b/>
          <w:lang w:val="fr-CA"/>
        </w:rPr>
        <w:t xml:space="preserve"> </w:t>
      </w:r>
      <w:r w:rsidRPr="00B63BD5">
        <w:rPr>
          <w:lang w:val="fr-CA"/>
        </w:rPr>
        <w:t>de</w:t>
      </w:r>
      <w:r w:rsidR="005756E9" w:rsidRPr="00B63BD5">
        <w:rPr>
          <w:lang w:val="fr-CA"/>
        </w:rPr>
        <w:t xml:space="preserve"> toutes les </w:t>
      </w:r>
      <w:r w:rsidRPr="00B63BD5">
        <w:rPr>
          <w:lang w:val="fr-CA"/>
        </w:rPr>
        <w:t xml:space="preserve">sommes avancées et </w:t>
      </w:r>
      <w:r w:rsidR="003E16D5" w:rsidRPr="00B63BD5">
        <w:rPr>
          <w:lang w:val="fr-CA"/>
        </w:rPr>
        <w:t xml:space="preserve">de </w:t>
      </w:r>
      <w:r w:rsidR="00142D9B" w:rsidRPr="00B63BD5">
        <w:rPr>
          <w:lang w:val="fr-CA"/>
        </w:rPr>
        <w:t xml:space="preserve">tous les </w:t>
      </w:r>
      <w:r w:rsidRPr="00B63BD5">
        <w:rPr>
          <w:lang w:val="fr-CA"/>
        </w:rPr>
        <w:t xml:space="preserve">crédits </w:t>
      </w:r>
      <w:r w:rsidR="005756E9" w:rsidRPr="00B63BD5">
        <w:rPr>
          <w:lang w:val="fr-CA"/>
        </w:rPr>
        <w:t xml:space="preserve">impayés </w:t>
      </w:r>
      <w:r w:rsidRPr="00B63BD5">
        <w:rPr>
          <w:lang w:val="fr-CA"/>
        </w:rPr>
        <w:t>(y</w:t>
      </w:r>
      <w:r w:rsidR="00AC4107" w:rsidRPr="00B63BD5">
        <w:rPr>
          <w:lang w:val="fr-CA"/>
        </w:rPr>
        <w:t xml:space="preserve"> </w:t>
      </w:r>
      <w:r w:rsidRPr="00B63BD5">
        <w:rPr>
          <w:lang w:val="fr-CA"/>
        </w:rPr>
        <w:t>compris la valeur nominale des Lettres de garantie</w:t>
      </w:r>
      <w:r w:rsidR="0039695D" w:rsidRPr="00B63BD5">
        <w:rPr>
          <w:lang w:val="fr-CA"/>
        </w:rPr>
        <w:t xml:space="preserve"> émises et</w:t>
      </w:r>
      <w:r w:rsidR="002F33D6" w:rsidRPr="00B63BD5">
        <w:rPr>
          <w:lang w:val="fr-CA"/>
        </w:rPr>
        <w:t> </w:t>
      </w:r>
      <w:r w:rsidR="0039695D" w:rsidRPr="00B63BD5">
        <w:rPr>
          <w:lang w:val="fr-CA"/>
        </w:rPr>
        <w:t>impayées</w:t>
      </w:r>
      <w:r w:rsidRPr="00B63BD5">
        <w:rPr>
          <w:lang w:val="fr-CA"/>
        </w:rPr>
        <w:t xml:space="preserve">) sur la Facilité sous forme de </w:t>
      </w:r>
      <w:r w:rsidR="00142D9B" w:rsidRPr="00B63BD5">
        <w:rPr>
          <w:lang w:val="fr-CA"/>
        </w:rPr>
        <w:t>l</w:t>
      </w:r>
      <w:r w:rsidRPr="00B63BD5">
        <w:rPr>
          <w:lang w:val="fr-CA"/>
        </w:rPr>
        <w:t xml:space="preserve">ettre de garantie </w:t>
      </w:r>
      <w:r w:rsidR="005756E9" w:rsidRPr="00B63BD5">
        <w:rPr>
          <w:lang w:val="fr-CA"/>
        </w:rPr>
        <w:t>n</w:t>
      </w:r>
      <w:r w:rsidR="00564B0C" w:rsidRPr="00B63BD5">
        <w:rPr>
          <w:lang w:val="fr-CA"/>
        </w:rPr>
        <w:t>’</w:t>
      </w:r>
      <w:r w:rsidR="005756E9" w:rsidRPr="00B63BD5">
        <w:rPr>
          <w:lang w:val="fr-CA"/>
        </w:rPr>
        <w:t xml:space="preserve">excède </w:t>
      </w:r>
      <w:r w:rsidRPr="00B63BD5">
        <w:rPr>
          <w:lang w:val="fr-CA"/>
        </w:rPr>
        <w:t xml:space="preserve">à aucun moment </w:t>
      </w:r>
      <w:r w:rsidR="005756E9" w:rsidRPr="00B63BD5">
        <w:rPr>
          <w:lang w:val="fr-CA"/>
        </w:rPr>
        <w:t xml:space="preserve">la Limite </w:t>
      </w:r>
      <w:r w:rsidR="00832104" w:rsidRPr="00B63BD5">
        <w:rPr>
          <w:lang w:val="fr-CA"/>
        </w:rPr>
        <w:t>de</w:t>
      </w:r>
      <w:r w:rsidR="002F33D6" w:rsidRPr="00B63BD5">
        <w:rPr>
          <w:lang w:val="fr-CA"/>
        </w:rPr>
        <w:t> </w:t>
      </w:r>
      <w:r w:rsidR="00832104" w:rsidRPr="00B63BD5">
        <w:rPr>
          <w:lang w:val="fr-CA"/>
        </w:rPr>
        <w:t>la</w:t>
      </w:r>
      <w:r w:rsidR="002F33D6" w:rsidRPr="00B63BD5">
        <w:rPr>
          <w:lang w:val="fr-CA"/>
        </w:rPr>
        <w:t> </w:t>
      </w:r>
      <w:r w:rsidR="00832104" w:rsidRPr="00B63BD5">
        <w:rPr>
          <w:lang w:val="fr-CA"/>
        </w:rPr>
        <w:t>Facilité sous forme de lettre de garantie</w:t>
      </w:r>
      <w:r w:rsidR="005756E9" w:rsidRPr="00B63BD5">
        <w:rPr>
          <w:lang w:val="fr-CA"/>
        </w:rPr>
        <w:t>.</w:t>
      </w:r>
    </w:p>
    <w:p w14:paraId="45589AB0" w14:textId="161C0B72" w:rsidR="00FD1A15" w:rsidRPr="00B63BD5" w:rsidRDefault="00924176" w:rsidP="00D33630">
      <w:pPr>
        <w:pStyle w:val="04LOLglNew2"/>
      </w:pPr>
      <w:r w:rsidRPr="00B63BD5">
        <w:t>Disponibilité</w:t>
      </w:r>
    </w:p>
    <w:p w14:paraId="733323FB" w14:textId="11DF04AF" w:rsidR="00FD1A15" w:rsidRPr="00B63BD5" w:rsidRDefault="002E5C0B" w:rsidP="00632863">
      <w:pPr>
        <w:spacing w:after="240"/>
        <w:jc w:val="both"/>
        <w:rPr>
          <w:color w:val="000000"/>
          <w:lang w:val="fr-CA"/>
        </w:rPr>
      </w:pPr>
      <w:r w:rsidRPr="00B63BD5">
        <w:rPr>
          <w:lang w:val="fr-CA"/>
        </w:rPr>
        <w:t>La disponibilité de chaque Lettre de garantie est à l</w:t>
      </w:r>
      <w:r w:rsidR="00564B0C" w:rsidRPr="00B63BD5">
        <w:rPr>
          <w:lang w:val="fr-CA"/>
        </w:rPr>
        <w:t>’</w:t>
      </w:r>
      <w:r w:rsidRPr="00B63BD5">
        <w:rPr>
          <w:lang w:val="fr-CA"/>
        </w:rPr>
        <w:t>entière discrétion de la Banque et est assujettie aux</w:t>
      </w:r>
      <w:r w:rsidR="002F33D6" w:rsidRPr="00B63BD5">
        <w:rPr>
          <w:lang w:val="fr-CA"/>
        </w:rPr>
        <w:t> </w:t>
      </w:r>
      <w:r w:rsidRPr="00B63BD5">
        <w:rPr>
          <w:lang w:val="fr-CA"/>
        </w:rPr>
        <w:t>Conditions préalables.</w:t>
      </w:r>
      <w:r w:rsidR="00924176" w:rsidRPr="00B63BD5">
        <w:rPr>
          <w:color w:val="000000"/>
          <w:lang w:val="fr-CA"/>
        </w:rPr>
        <w:t xml:space="preserve"> </w:t>
      </w:r>
      <w:r w:rsidRPr="00B63BD5">
        <w:rPr>
          <w:color w:val="000000"/>
          <w:lang w:val="fr-CA"/>
        </w:rPr>
        <w:t>L</w:t>
      </w:r>
      <w:r w:rsidR="00924176" w:rsidRPr="00B63BD5">
        <w:rPr>
          <w:color w:val="000000"/>
          <w:lang w:val="fr-CA"/>
        </w:rPr>
        <w:t xml:space="preserve">es Lettres de garantie </w:t>
      </w:r>
      <w:r w:rsidR="006D2E6C" w:rsidRPr="00B63BD5">
        <w:rPr>
          <w:color w:val="000000"/>
          <w:lang w:val="fr-CA"/>
        </w:rPr>
        <w:t>peuvent être consenties</w:t>
      </w:r>
      <w:r w:rsidRPr="00B63BD5">
        <w:rPr>
          <w:color w:val="000000"/>
          <w:lang w:val="fr-CA"/>
        </w:rPr>
        <w:t xml:space="preserve">, à la discrétion de la Banque, pour des durées </w:t>
      </w:r>
      <w:r w:rsidR="00924176" w:rsidRPr="00B63BD5">
        <w:rPr>
          <w:color w:val="000000"/>
          <w:lang w:val="fr-CA"/>
        </w:rPr>
        <w:t>pouvant aller jusqu</w:t>
      </w:r>
      <w:r w:rsidR="00564B0C" w:rsidRPr="00B63BD5">
        <w:rPr>
          <w:color w:val="000000"/>
          <w:lang w:val="fr-CA"/>
        </w:rPr>
        <w:t>’</w:t>
      </w:r>
      <w:r w:rsidR="00924176" w:rsidRPr="00B63BD5">
        <w:rPr>
          <w:color w:val="000000"/>
          <w:lang w:val="fr-CA"/>
        </w:rPr>
        <w:t xml:space="preserve">à </w:t>
      </w:r>
      <w:r w:rsidR="00BB00BF" w:rsidRPr="00B63BD5">
        <w:rPr>
          <w:color w:val="000000"/>
          <w:lang w:val="fr-CA"/>
        </w:rPr>
        <w:t>[</w:t>
      </w:r>
      <w:r w:rsidR="00924176" w:rsidRPr="00B63BD5">
        <w:rPr>
          <w:color w:val="000000"/>
          <w:lang w:val="fr-CA"/>
        </w:rPr>
        <w:t>12</w:t>
      </w:r>
      <w:r w:rsidR="00BB00BF" w:rsidRPr="00B63BD5">
        <w:rPr>
          <w:color w:val="000000"/>
          <w:lang w:val="fr-CA"/>
        </w:rPr>
        <w:t>]</w:t>
      </w:r>
      <w:r w:rsidR="00924176" w:rsidRPr="00B63BD5">
        <w:rPr>
          <w:color w:val="000000"/>
          <w:lang w:val="fr-CA"/>
        </w:rPr>
        <w:t xml:space="preserve"> mois.</w:t>
      </w:r>
      <w:r w:rsidR="00D1132A">
        <w:rPr>
          <w:color w:val="000000"/>
          <w:lang w:val="fr-CA"/>
        </w:rPr>
        <w:t xml:space="preserve"> </w:t>
      </w:r>
      <w:r w:rsidR="00D1132A" w:rsidRPr="00D1132A">
        <w:rPr>
          <w:color w:val="000000"/>
          <w:lang w:val="fr-CA"/>
        </w:rPr>
        <w:t>Les Lettres de garantie peuvent être émises dans les monnaies principales indiquées et approuvées par la Banque de temps à autre, sous réserve de leur disponibilité.</w:t>
      </w:r>
    </w:p>
    <w:p w14:paraId="0BF8506B" w14:textId="4884178C" w:rsidR="00FD1A15" w:rsidRPr="00B63BD5" w:rsidRDefault="001523A5" w:rsidP="00D33630">
      <w:pPr>
        <w:pStyle w:val="04LOLglNew2"/>
      </w:pPr>
      <w:r w:rsidRPr="00B63BD5">
        <w:t>Remboursement</w:t>
      </w:r>
    </w:p>
    <w:p w14:paraId="5031D2A4" w14:textId="65540964" w:rsidR="00A470AC" w:rsidRPr="00B63BD5" w:rsidRDefault="00090C9C" w:rsidP="00511093">
      <w:pPr>
        <w:widowControl w:val="0"/>
        <w:spacing w:after="240"/>
        <w:jc w:val="both"/>
        <w:rPr>
          <w:lang w:val="fr-CA"/>
        </w:rPr>
      </w:pPr>
      <w:r w:rsidRPr="00B63BD5">
        <w:rPr>
          <w:lang w:val="fr-CA"/>
        </w:rPr>
        <w:t xml:space="preserve">Chaque </w:t>
      </w:r>
      <w:r w:rsidR="002E5C0B" w:rsidRPr="00B63BD5">
        <w:rPr>
          <w:lang w:val="fr-CA"/>
        </w:rPr>
        <w:t>émission d</w:t>
      </w:r>
      <w:r w:rsidR="00564B0C" w:rsidRPr="00B63BD5">
        <w:rPr>
          <w:lang w:val="fr-CA"/>
        </w:rPr>
        <w:t>’</w:t>
      </w:r>
      <w:r w:rsidR="002E5C0B" w:rsidRPr="00B63BD5">
        <w:rPr>
          <w:lang w:val="fr-CA"/>
        </w:rPr>
        <w:t>une Lettre de garantie constitue une avance de crédit (pour le compte de l</w:t>
      </w:r>
      <w:r w:rsidR="00564B0C" w:rsidRPr="00B63BD5">
        <w:rPr>
          <w:lang w:val="fr-CA"/>
        </w:rPr>
        <w:t>’</w:t>
      </w:r>
      <w:r w:rsidR="002E5C0B" w:rsidRPr="00B63BD5">
        <w:rPr>
          <w:lang w:val="fr-CA"/>
        </w:rPr>
        <w:t xml:space="preserve">Emprunteur) aux fins de la </w:t>
      </w:r>
      <w:r w:rsidR="00D83C9A" w:rsidRPr="00B63BD5">
        <w:rPr>
          <w:lang w:val="fr-CA"/>
        </w:rPr>
        <w:t>de la Limite de la Facilité sous forme de</w:t>
      </w:r>
      <w:r w:rsidR="00D83C9A" w:rsidRPr="00B63BD5" w:rsidDel="00D83C9A">
        <w:rPr>
          <w:lang w:val="fr-CA"/>
        </w:rPr>
        <w:t xml:space="preserve"> </w:t>
      </w:r>
      <w:r w:rsidR="002E5C0B" w:rsidRPr="00B63BD5">
        <w:rPr>
          <w:lang w:val="fr-CA"/>
        </w:rPr>
        <w:t>lettre de garantie. L</w:t>
      </w:r>
      <w:r w:rsidR="00564B0C" w:rsidRPr="00B63BD5">
        <w:rPr>
          <w:lang w:val="fr-CA"/>
        </w:rPr>
        <w:t>’</w:t>
      </w:r>
      <w:r w:rsidR="002E5C0B" w:rsidRPr="00B63BD5">
        <w:rPr>
          <w:lang w:val="fr-CA"/>
        </w:rPr>
        <w:t xml:space="preserve">Emprunteur doit rembourser à la Banque </w:t>
      </w:r>
      <w:r w:rsidR="000779B9" w:rsidRPr="00B63BD5">
        <w:rPr>
          <w:lang w:val="fr-CA"/>
        </w:rPr>
        <w:t xml:space="preserve">immédiatement </w:t>
      </w:r>
      <w:r w:rsidR="002E5C0B" w:rsidRPr="00B63BD5">
        <w:rPr>
          <w:lang w:val="fr-CA"/>
        </w:rPr>
        <w:t>les</w:t>
      </w:r>
      <w:r w:rsidR="002F33D6" w:rsidRPr="00B63BD5">
        <w:rPr>
          <w:lang w:val="fr-CA"/>
        </w:rPr>
        <w:t> </w:t>
      </w:r>
      <w:r w:rsidR="002E5C0B" w:rsidRPr="00B63BD5">
        <w:rPr>
          <w:lang w:val="fr-CA"/>
        </w:rPr>
        <w:t>sommes prélevées sur une Lettre de garantie. L</w:t>
      </w:r>
      <w:r w:rsidR="00564B0C" w:rsidRPr="00B63BD5">
        <w:rPr>
          <w:lang w:val="fr-CA"/>
        </w:rPr>
        <w:t>’</w:t>
      </w:r>
      <w:r w:rsidR="002E5C0B" w:rsidRPr="00B63BD5">
        <w:rPr>
          <w:lang w:val="fr-CA"/>
        </w:rPr>
        <w:t xml:space="preserve">intérêt sur les </w:t>
      </w:r>
      <w:r w:rsidR="00122508" w:rsidRPr="00B63BD5">
        <w:rPr>
          <w:lang w:val="fr-CA"/>
        </w:rPr>
        <w:t>sommes prélevées</w:t>
      </w:r>
      <w:r w:rsidR="002E5C0B" w:rsidRPr="00B63BD5">
        <w:rPr>
          <w:lang w:val="fr-CA"/>
        </w:rPr>
        <w:t xml:space="preserve"> sur une Lettre de</w:t>
      </w:r>
      <w:r w:rsidR="002F33D6" w:rsidRPr="00B63BD5">
        <w:rPr>
          <w:lang w:val="fr-CA"/>
        </w:rPr>
        <w:t> </w:t>
      </w:r>
      <w:r w:rsidR="002E5C0B" w:rsidRPr="00B63BD5">
        <w:rPr>
          <w:lang w:val="fr-CA"/>
        </w:rPr>
        <w:t xml:space="preserve">garantie </w:t>
      </w:r>
      <w:r w:rsidR="00364553" w:rsidRPr="00B63BD5">
        <w:rPr>
          <w:lang w:val="fr-CA"/>
        </w:rPr>
        <w:t>qui n</w:t>
      </w:r>
      <w:r w:rsidR="00564B0C" w:rsidRPr="00B63BD5">
        <w:rPr>
          <w:lang w:val="fr-CA"/>
        </w:rPr>
        <w:t>’</w:t>
      </w:r>
      <w:r w:rsidR="00364553" w:rsidRPr="00B63BD5">
        <w:rPr>
          <w:lang w:val="fr-CA"/>
        </w:rPr>
        <w:t>ont pas été</w:t>
      </w:r>
      <w:r w:rsidR="002E5C0B" w:rsidRPr="00B63BD5">
        <w:rPr>
          <w:lang w:val="fr-CA"/>
        </w:rPr>
        <w:t xml:space="preserve"> remboursées à la Banque</w:t>
      </w:r>
      <w:r w:rsidR="000779B9" w:rsidRPr="00B63BD5">
        <w:rPr>
          <w:lang w:val="fr-CA"/>
        </w:rPr>
        <w:t xml:space="preserve"> immédiatement</w:t>
      </w:r>
      <w:r w:rsidR="002E5C0B" w:rsidRPr="00B63BD5">
        <w:rPr>
          <w:lang w:val="fr-CA"/>
        </w:rPr>
        <w:t xml:space="preserve"> court quotidiennement et est calculé mensuellement à terme échu au </w:t>
      </w:r>
      <w:r w:rsidR="00BB00BF" w:rsidRPr="00B63BD5">
        <w:rPr>
          <w:lang w:val="fr-CA"/>
        </w:rPr>
        <w:t>t</w:t>
      </w:r>
      <w:r w:rsidR="002E5C0B" w:rsidRPr="00B63BD5">
        <w:rPr>
          <w:lang w:val="fr-CA"/>
        </w:rPr>
        <w:t xml:space="preserve">aux de </w:t>
      </w:r>
      <w:r w:rsidR="00BB00BF" w:rsidRPr="00B63BD5">
        <w:rPr>
          <w:lang w:val="fr-CA"/>
        </w:rPr>
        <w:t>21</w:t>
      </w:r>
      <w:r w:rsidR="00B056F9" w:rsidRPr="00B63BD5">
        <w:rPr>
          <w:lang w:val="fr-CA"/>
        </w:rPr>
        <w:t> </w:t>
      </w:r>
      <w:r w:rsidR="002E5C0B" w:rsidRPr="00B63BD5">
        <w:rPr>
          <w:lang w:val="fr-CA"/>
        </w:rPr>
        <w:t>% par année</w:t>
      </w:r>
      <w:r w:rsidR="00BB00BF" w:rsidRPr="00B63BD5">
        <w:rPr>
          <w:lang w:val="fr-CA"/>
        </w:rPr>
        <w:t>.</w:t>
      </w:r>
    </w:p>
    <w:p w14:paraId="783B003B" w14:textId="3953817A" w:rsidR="00ED3019" w:rsidRPr="00B63BD5" w:rsidRDefault="00ED3019" w:rsidP="00D33630">
      <w:pPr>
        <w:pStyle w:val="04LOLglNew2"/>
      </w:pPr>
      <w:r w:rsidRPr="00B63BD5">
        <w:t>Modalités supplémentaires applicables à la Facilité sous forme de lettre de garantie</w:t>
      </w:r>
    </w:p>
    <w:p w14:paraId="673BB27B" w14:textId="152F54B0" w:rsidR="00ED3019" w:rsidRPr="00B63BD5" w:rsidRDefault="00ED3019" w:rsidP="00511093">
      <w:pPr>
        <w:widowControl w:val="0"/>
        <w:spacing w:after="240"/>
        <w:jc w:val="both"/>
        <w:rPr>
          <w:lang w:val="fr-CA"/>
        </w:rPr>
      </w:pPr>
      <w:r w:rsidRPr="00B63BD5">
        <w:rPr>
          <w:lang w:val="fr-CA"/>
        </w:rPr>
        <w:t xml:space="preserve">La Facilité sous forme de lettre de garantie est assujettie aux modalités supplémentaires qui sont énoncées </w:t>
      </w:r>
      <w:r w:rsidRPr="00B63BD5">
        <w:rPr>
          <w:lang w:val="fr-CA"/>
        </w:rPr>
        <w:lastRenderedPageBreak/>
        <w:t>dans les Conditions commerciales standards dans la mesure où ces conditions ne contreviennent pas avec les conditions de la présente Lettre relative aux facilités</w:t>
      </w:r>
    </w:p>
    <w:p w14:paraId="226AB925" w14:textId="0DD4F898" w:rsidR="00FD1A15" w:rsidRPr="00B63BD5" w:rsidRDefault="001523A5" w:rsidP="00D33630">
      <w:pPr>
        <w:pStyle w:val="04LOLglNew2"/>
      </w:pPr>
      <w:r w:rsidRPr="00B63BD5">
        <w:t xml:space="preserve">Frais </w:t>
      </w:r>
    </w:p>
    <w:p w14:paraId="734D7291" w14:textId="2ED090DB" w:rsidR="009E1E7B" w:rsidRPr="00B63BD5" w:rsidRDefault="009E1E7B" w:rsidP="00632863">
      <w:pPr>
        <w:keepNext/>
        <w:spacing w:after="240"/>
        <w:jc w:val="both"/>
        <w:rPr>
          <w:lang w:val="fr-CA"/>
        </w:rPr>
      </w:pPr>
      <w:r w:rsidRPr="00B63BD5">
        <w:rPr>
          <w:lang w:val="fr-CA"/>
        </w:rPr>
        <w:t>L</w:t>
      </w:r>
      <w:r w:rsidR="00564B0C" w:rsidRPr="00B63BD5">
        <w:rPr>
          <w:lang w:val="fr-CA"/>
        </w:rPr>
        <w:t>’</w:t>
      </w:r>
      <w:r w:rsidRPr="00B63BD5">
        <w:rPr>
          <w:lang w:val="fr-CA"/>
        </w:rPr>
        <w:t>Emprunteur doit verser à la Banque les frais suivants</w:t>
      </w:r>
      <w:r w:rsidR="003F60C5" w:rsidRPr="00B63BD5">
        <w:rPr>
          <w:lang w:val="fr-CA"/>
        </w:rPr>
        <w:t xml:space="preserve"> relatifs aux Lettres de garantie émises aux termes de la Facilité sous forme de lettre de garantie</w:t>
      </w:r>
      <w:r w:rsidR="00AC4107" w:rsidRPr="00B63BD5">
        <w:rPr>
          <w:lang w:val="fr-CA"/>
        </w:rPr>
        <w:t xml:space="preserve"> </w:t>
      </w:r>
      <w:r w:rsidRPr="00B63BD5">
        <w:rPr>
          <w:lang w:val="fr-CA"/>
        </w:rPr>
        <w:t>:</w:t>
      </w:r>
    </w:p>
    <w:p w14:paraId="7D31125E" w14:textId="09791EF0" w:rsidR="009E1E7B" w:rsidRPr="00B63BD5" w:rsidRDefault="00751935" w:rsidP="00440A7E">
      <w:pPr>
        <w:pStyle w:val="04LOLglNew4"/>
        <w:rPr>
          <w:rStyle w:val="Prompt"/>
          <w:color w:val="auto"/>
          <w:lang w:val="fr-CA"/>
        </w:rPr>
      </w:pPr>
      <w:r w:rsidRPr="00B63BD5">
        <w:rPr>
          <w:rStyle w:val="Prompt"/>
          <w:color w:val="auto"/>
          <w:lang w:val="fr-CA"/>
        </w:rPr>
        <w:t>a</w:t>
      </w:r>
      <w:r w:rsidR="009E1E7B" w:rsidRPr="00B63BD5">
        <w:rPr>
          <w:rStyle w:val="Prompt"/>
          <w:color w:val="auto"/>
          <w:lang w:val="fr-CA"/>
        </w:rPr>
        <w:t xml:space="preserve">u moment </w:t>
      </w:r>
      <w:r w:rsidR="00C94E57" w:rsidRPr="00B63BD5">
        <w:rPr>
          <w:rStyle w:val="Prompt"/>
          <w:color w:val="auto"/>
          <w:lang w:val="fr-CA"/>
        </w:rPr>
        <w:t xml:space="preserve">où </w:t>
      </w:r>
      <w:r w:rsidR="009E1E7B" w:rsidRPr="00B63BD5">
        <w:rPr>
          <w:rStyle w:val="Prompt"/>
          <w:color w:val="auto"/>
          <w:lang w:val="fr-CA"/>
        </w:rPr>
        <w:t>la Banque</w:t>
      </w:r>
      <w:r w:rsidR="00C94E57" w:rsidRPr="00B63BD5">
        <w:rPr>
          <w:rStyle w:val="Prompt"/>
          <w:color w:val="auto"/>
          <w:lang w:val="fr-CA"/>
        </w:rPr>
        <w:t xml:space="preserve"> émet </w:t>
      </w:r>
      <w:r w:rsidR="009E1E7B" w:rsidRPr="00B63BD5">
        <w:rPr>
          <w:rStyle w:val="Prompt"/>
          <w:color w:val="auto"/>
          <w:lang w:val="fr-CA"/>
        </w:rPr>
        <w:t>chaque Lettre de garantie financière (y</w:t>
      </w:r>
      <w:r w:rsidR="00AC4107" w:rsidRPr="00B63BD5">
        <w:rPr>
          <w:rStyle w:val="Prompt"/>
          <w:color w:val="auto"/>
          <w:lang w:val="fr-CA"/>
        </w:rPr>
        <w:t xml:space="preserve"> </w:t>
      </w:r>
      <w:r w:rsidR="009E1E7B" w:rsidRPr="00B63BD5">
        <w:rPr>
          <w:rStyle w:val="Prompt"/>
          <w:color w:val="auto"/>
          <w:lang w:val="fr-CA"/>
        </w:rPr>
        <w:t>compris au moment du</w:t>
      </w:r>
      <w:r w:rsidR="002F33D6" w:rsidRPr="00B63BD5">
        <w:rPr>
          <w:rStyle w:val="Prompt"/>
          <w:color w:val="auto"/>
          <w:lang w:val="fr-CA"/>
        </w:rPr>
        <w:t> </w:t>
      </w:r>
      <w:r w:rsidR="009E1E7B" w:rsidRPr="00B63BD5">
        <w:rPr>
          <w:lang w:val="fr-CA"/>
        </w:rPr>
        <w:t>renouvellement ou du remplacement d</w:t>
      </w:r>
      <w:r w:rsidR="00564B0C" w:rsidRPr="00B63BD5">
        <w:rPr>
          <w:lang w:val="fr-CA"/>
        </w:rPr>
        <w:t>’</w:t>
      </w:r>
      <w:r w:rsidR="009E1E7B" w:rsidRPr="00B63BD5">
        <w:rPr>
          <w:lang w:val="fr-CA"/>
        </w:rPr>
        <w:t>une telle lettre, après son échéance ou</w:t>
      </w:r>
      <w:r w:rsidR="00AB0594" w:rsidRPr="00B63BD5">
        <w:rPr>
          <w:lang w:val="fr-CA"/>
        </w:rPr>
        <w:t xml:space="preserve"> </w:t>
      </w:r>
      <w:r w:rsidR="009E1E7B" w:rsidRPr="00B63BD5">
        <w:rPr>
          <w:lang w:val="fr-CA"/>
        </w:rPr>
        <w:t>son</w:t>
      </w:r>
      <w:r w:rsidR="00AB0594" w:rsidRPr="00B63BD5">
        <w:rPr>
          <w:lang w:val="fr-CA"/>
        </w:rPr>
        <w:t xml:space="preserve"> </w:t>
      </w:r>
      <w:r w:rsidR="009E1E7B" w:rsidRPr="00B63BD5">
        <w:rPr>
          <w:lang w:val="fr-CA"/>
        </w:rPr>
        <w:t>expiration), des frais correspondant à ●</w:t>
      </w:r>
      <w:r w:rsidR="00AC4107" w:rsidRPr="00B63BD5">
        <w:rPr>
          <w:lang w:val="fr-CA"/>
        </w:rPr>
        <w:t xml:space="preserve"> </w:t>
      </w:r>
      <w:r w:rsidR="009E1E7B" w:rsidRPr="00B63BD5">
        <w:rPr>
          <w:lang w:val="fr-CA"/>
        </w:rPr>
        <w:t xml:space="preserve">% par année, calculés sur la valeur nominale et sur </w:t>
      </w:r>
      <w:r w:rsidR="00364553" w:rsidRPr="00B63BD5">
        <w:rPr>
          <w:lang w:val="fr-CA"/>
        </w:rPr>
        <w:t>le terme</w:t>
      </w:r>
      <w:r w:rsidR="009E1E7B" w:rsidRPr="00B63BD5">
        <w:rPr>
          <w:lang w:val="fr-CA"/>
        </w:rPr>
        <w:t xml:space="preserve"> de la Lettre de garantie financière</w:t>
      </w:r>
      <w:r w:rsidR="00381764" w:rsidRPr="00B63BD5">
        <w:rPr>
          <w:lang w:val="fr-CA"/>
        </w:rPr>
        <w:t xml:space="preserve">, </w:t>
      </w:r>
      <w:r w:rsidR="00381764" w:rsidRPr="00B63BD5">
        <w:rPr>
          <w:rStyle w:val="Prompt"/>
          <w:color w:val="auto"/>
          <w:lang w:val="fr-CA"/>
        </w:rPr>
        <w:t>sous réserve de frais minimaux de</w:t>
      </w:r>
      <w:r w:rsidR="002F33D6" w:rsidRPr="00B63BD5">
        <w:rPr>
          <w:rStyle w:val="Prompt"/>
          <w:color w:val="auto"/>
          <w:lang w:val="fr-CA"/>
        </w:rPr>
        <w:t> </w:t>
      </w:r>
      <w:r w:rsidR="00381764" w:rsidRPr="00B63BD5">
        <w:rPr>
          <w:rStyle w:val="Prompt"/>
          <w:color w:val="auto"/>
          <w:lang w:val="fr-CA"/>
        </w:rPr>
        <w:t>●</w:t>
      </w:r>
      <w:r w:rsidR="002F33D6" w:rsidRPr="00B63BD5">
        <w:rPr>
          <w:rStyle w:val="Prompt"/>
          <w:color w:val="auto"/>
          <w:lang w:val="fr-CA"/>
        </w:rPr>
        <w:t> </w:t>
      </w:r>
      <w:r w:rsidR="00381764" w:rsidRPr="00B63BD5">
        <w:rPr>
          <w:rStyle w:val="Prompt"/>
          <w:color w:val="auto"/>
          <w:lang w:val="fr-CA"/>
        </w:rPr>
        <w:t>$</w:t>
      </w:r>
      <w:r w:rsidR="002F33D6" w:rsidRPr="00B63BD5">
        <w:rPr>
          <w:rStyle w:val="Prompt"/>
          <w:color w:val="auto"/>
          <w:lang w:val="fr-CA"/>
        </w:rPr>
        <w:t> </w:t>
      </w:r>
      <w:r w:rsidR="00381764" w:rsidRPr="00B63BD5">
        <w:rPr>
          <w:rStyle w:val="Prompt"/>
          <w:color w:val="auto"/>
          <w:lang w:val="fr-CA"/>
        </w:rPr>
        <w:t>par</w:t>
      </w:r>
      <w:r w:rsidR="00AB0594" w:rsidRPr="00B63BD5">
        <w:rPr>
          <w:rStyle w:val="Prompt"/>
          <w:color w:val="auto"/>
          <w:lang w:val="fr-CA"/>
        </w:rPr>
        <w:t xml:space="preserve"> </w:t>
      </w:r>
      <w:r w:rsidR="00381764" w:rsidRPr="00B63BD5">
        <w:rPr>
          <w:rStyle w:val="Prompt"/>
          <w:color w:val="auto"/>
          <w:lang w:val="fr-CA"/>
        </w:rPr>
        <w:t>émission;</w:t>
      </w:r>
      <w:r w:rsidR="00F827C2" w:rsidRPr="00B63BD5">
        <w:rPr>
          <w:rStyle w:val="Prompt"/>
          <w:color w:val="auto"/>
          <w:lang w:val="fr-CA"/>
        </w:rPr>
        <w:t xml:space="preserve"> </w:t>
      </w:r>
    </w:p>
    <w:p w14:paraId="5E9A9D5A" w14:textId="0E4D34C8" w:rsidR="009E1E7B" w:rsidRPr="00B63BD5" w:rsidRDefault="00C94E57" w:rsidP="00440A7E">
      <w:pPr>
        <w:pStyle w:val="04LOLglNew4"/>
        <w:rPr>
          <w:rStyle w:val="Prompt"/>
          <w:color w:val="auto"/>
          <w:lang w:val="fr-CA"/>
        </w:rPr>
      </w:pPr>
      <w:r w:rsidRPr="00B63BD5">
        <w:rPr>
          <w:rStyle w:val="Prompt"/>
          <w:color w:val="auto"/>
          <w:lang w:val="fr-CA"/>
        </w:rPr>
        <w:t xml:space="preserve">au moment où la Banque émet </w:t>
      </w:r>
      <w:r w:rsidR="009E1E7B" w:rsidRPr="00B63BD5">
        <w:rPr>
          <w:rStyle w:val="Prompt"/>
          <w:color w:val="auto"/>
          <w:lang w:val="fr-CA"/>
        </w:rPr>
        <w:t xml:space="preserve">chaque Lettre de </w:t>
      </w:r>
      <w:r w:rsidR="00B210C5" w:rsidRPr="00B63BD5">
        <w:rPr>
          <w:rStyle w:val="Prompt"/>
          <w:color w:val="auto"/>
          <w:lang w:val="fr-CA"/>
        </w:rPr>
        <w:t>garantie de bonne exécution</w:t>
      </w:r>
      <w:r w:rsidR="00381764" w:rsidRPr="00B63BD5">
        <w:rPr>
          <w:rStyle w:val="Prompt"/>
          <w:color w:val="auto"/>
          <w:lang w:val="fr-CA"/>
        </w:rPr>
        <w:t xml:space="preserve"> (y</w:t>
      </w:r>
      <w:r w:rsidR="00AB0594" w:rsidRPr="00B63BD5">
        <w:rPr>
          <w:rStyle w:val="Prompt"/>
          <w:color w:val="auto"/>
          <w:lang w:val="fr-CA"/>
        </w:rPr>
        <w:t xml:space="preserve"> </w:t>
      </w:r>
      <w:r w:rsidR="00381764" w:rsidRPr="00B63BD5">
        <w:rPr>
          <w:rStyle w:val="Prompt"/>
          <w:color w:val="auto"/>
          <w:lang w:val="fr-CA"/>
        </w:rPr>
        <w:t>compris au</w:t>
      </w:r>
      <w:r w:rsidR="002F33D6" w:rsidRPr="00B63BD5">
        <w:rPr>
          <w:rStyle w:val="Prompt"/>
          <w:color w:val="auto"/>
          <w:lang w:val="fr-CA"/>
        </w:rPr>
        <w:t> </w:t>
      </w:r>
      <w:r w:rsidR="00381764" w:rsidRPr="00B63BD5">
        <w:rPr>
          <w:rStyle w:val="Prompt"/>
          <w:color w:val="auto"/>
          <w:lang w:val="fr-CA"/>
        </w:rPr>
        <w:t xml:space="preserve">moment du </w:t>
      </w:r>
      <w:r w:rsidR="00381764" w:rsidRPr="00B63BD5">
        <w:rPr>
          <w:lang w:val="fr-CA"/>
        </w:rPr>
        <w:t>renouvellement ou du remplacement d</w:t>
      </w:r>
      <w:r w:rsidR="00564B0C" w:rsidRPr="00B63BD5">
        <w:rPr>
          <w:lang w:val="fr-CA"/>
        </w:rPr>
        <w:t>’</w:t>
      </w:r>
      <w:r w:rsidR="00381764" w:rsidRPr="00B63BD5">
        <w:rPr>
          <w:lang w:val="fr-CA"/>
        </w:rPr>
        <w:t>une telle lettre, après son échéance ou</w:t>
      </w:r>
      <w:r w:rsidR="002F33D6" w:rsidRPr="00B63BD5">
        <w:rPr>
          <w:lang w:val="fr-CA"/>
        </w:rPr>
        <w:t> </w:t>
      </w:r>
      <w:r w:rsidR="00381764" w:rsidRPr="00B63BD5">
        <w:rPr>
          <w:lang w:val="fr-CA"/>
        </w:rPr>
        <w:t>son expiration)</w:t>
      </w:r>
      <w:r w:rsidR="009E1E7B" w:rsidRPr="00B63BD5">
        <w:rPr>
          <w:rStyle w:val="Prompt"/>
          <w:color w:val="auto"/>
          <w:lang w:val="fr-CA"/>
        </w:rPr>
        <w:t>, des frais correspondant à ●</w:t>
      </w:r>
      <w:r w:rsidR="00AC4107" w:rsidRPr="00B63BD5">
        <w:rPr>
          <w:rStyle w:val="Prompt"/>
          <w:color w:val="auto"/>
          <w:lang w:val="fr-CA"/>
        </w:rPr>
        <w:t xml:space="preserve"> </w:t>
      </w:r>
      <w:r w:rsidR="009E1E7B" w:rsidRPr="00B63BD5">
        <w:rPr>
          <w:rStyle w:val="Prompt"/>
          <w:color w:val="auto"/>
          <w:lang w:val="fr-CA"/>
        </w:rPr>
        <w:t xml:space="preserve">% par année, calculés sur la valeur nominale et sur </w:t>
      </w:r>
      <w:r w:rsidR="00364553" w:rsidRPr="00B63BD5">
        <w:rPr>
          <w:rStyle w:val="Prompt"/>
          <w:color w:val="auto"/>
          <w:lang w:val="fr-CA"/>
        </w:rPr>
        <w:t>le terme</w:t>
      </w:r>
      <w:r w:rsidR="009E1E7B" w:rsidRPr="00B63BD5">
        <w:rPr>
          <w:rStyle w:val="Prompt"/>
          <w:color w:val="auto"/>
          <w:lang w:val="fr-CA"/>
        </w:rPr>
        <w:t xml:space="preserve"> de la Lettre de </w:t>
      </w:r>
      <w:r w:rsidR="00B210C5" w:rsidRPr="00B63BD5">
        <w:rPr>
          <w:rStyle w:val="Prompt"/>
          <w:color w:val="auto"/>
          <w:lang w:val="fr-CA"/>
        </w:rPr>
        <w:t>garantie de bonne exécution</w:t>
      </w:r>
      <w:r w:rsidR="0054647B" w:rsidRPr="00B63BD5">
        <w:rPr>
          <w:rStyle w:val="Prompt"/>
          <w:color w:val="auto"/>
          <w:lang w:val="fr-CA"/>
        </w:rPr>
        <w:t>,</w:t>
      </w:r>
      <w:r w:rsidR="00F827C2" w:rsidRPr="00B63BD5">
        <w:rPr>
          <w:rStyle w:val="Prompt"/>
          <w:color w:val="auto"/>
          <w:lang w:val="fr-CA"/>
        </w:rPr>
        <w:t xml:space="preserve"> </w:t>
      </w:r>
      <w:r w:rsidR="00381764" w:rsidRPr="00B63BD5">
        <w:rPr>
          <w:rStyle w:val="Prompt"/>
          <w:color w:val="auto"/>
          <w:lang w:val="fr-CA"/>
        </w:rPr>
        <w:t>sous réserve de frais minimaux de ●</w:t>
      </w:r>
      <w:r w:rsidR="00AB0594" w:rsidRPr="00B63BD5">
        <w:rPr>
          <w:lang w:val="fr-CA"/>
        </w:rPr>
        <w:t> </w:t>
      </w:r>
      <w:r w:rsidR="00381764" w:rsidRPr="00B63BD5">
        <w:rPr>
          <w:rStyle w:val="Prompt"/>
          <w:color w:val="auto"/>
          <w:lang w:val="fr-CA"/>
        </w:rPr>
        <w:t>$ par</w:t>
      </w:r>
      <w:r w:rsidR="00AB0594" w:rsidRPr="00B63BD5">
        <w:rPr>
          <w:rStyle w:val="Prompt"/>
          <w:color w:val="auto"/>
          <w:lang w:val="fr-CA"/>
        </w:rPr>
        <w:t xml:space="preserve"> </w:t>
      </w:r>
      <w:r w:rsidR="00381764" w:rsidRPr="00B63BD5">
        <w:rPr>
          <w:rStyle w:val="Prompt"/>
          <w:color w:val="auto"/>
          <w:lang w:val="fr-CA"/>
        </w:rPr>
        <w:t>émission;</w:t>
      </w:r>
    </w:p>
    <w:p w14:paraId="6C93739D" w14:textId="2478A6EA" w:rsidR="00130895" w:rsidRPr="00B63BD5" w:rsidRDefault="00BB00BF" w:rsidP="00440A7E">
      <w:pPr>
        <w:pStyle w:val="04LOLglNew4"/>
        <w:rPr>
          <w:rStyle w:val="Prompt"/>
          <w:color w:val="auto"/>
          <w:lang w:val="fr-CA"/>
        </w:rPr>
      </w:pPr>
      <w:r w:rsidRPr="00B63BD5">
        <w:rPr>
          <w:rStyle w:val="Prompt"/>
          <w:color w:val="auto"/>
          <w:lang w:val="fr-CA"/>
        </w:rPr>
        <w:t>s</w:t>
      </w:r>
      <w:r w:rsidR="00564B0C" w:rsidRPr="00B63BD5">
        <w:rPr>
          <w:rStyle w:val="Prompt"/>
          <w:color w:val="auto"/>
          <w:lang w:val="fr-CA"/>
        </w:rPr>
        <w:t>’</w:t>
      </w:r>
      <w:r w:rsidRPr="00B63BD5">
        <w:rPr>
          <w:rStyle w:val="Prompt"/>
          <w:color w:val="auto"/>
          <w:lang w:val="fr-CA"/>
        </w:rPr>
        <w:t>il y</w:t>
      </w:r>
      <w:r w:rsidR="00AC4107" w:rsidRPr="00B63BD5">
        <w:rPr>
          <w:rStyle w:val="Prompt"/>
          <w:color w:val="auto"/>
          <w:lang w:val="fr-CA"/>
        </w:rPr>
        <w:t xml:space="preserve"> </w:t>
      </w:r>
      <w:r w:rsidRPr="00B63BD5">
        <w:rPr>
          <w:rStyle w:val="Prompt"/>
          <w:color w:val="auto"/>
          <w:lang w:val="fr-CA"/>
        </w:rPr>
        <w:t>a</w:t>
      </w:r>
      <w:r w:rsidR="00AC4107" w:rsidRPr="00B63BD5">
        <w:rPr>
          <w:rStyle w:val="Prompt"/>
          <w:color w:val="auto"/>
          <w:lang w:val="fr-CA"/>
        </w:rPr>
        <w:t xml:space="preserve"> </w:t>
      </w:r>
      <w:r w:rsidRPr="00B63BD5">
        <w:rPr>
          <w:rStyle w:val="Prompt"/>
          <w:color w:val="auto"/>
          <w:lang w:val="fr-CA"/>
        </w:rPr>
        <w:t xml:space="preserve">lieu, </w:t>
      </w:r>
      <w:r w:rsidR="009E1E7B" w:rsidRPr="00B63BD5">
        <w:rPr>
          <w:rStyle w:val="Prompt"/>
          <w:color w:val="auto"/>
          <w:lang w:val="fr-CA"/>
        </w:rPr>
        <w:t>les frais supplém</w:t>
      </w:r>
      <w:r w:rsidR="0091562C" w:rsidRPr="00B63BD5">
        <w:rPr>
          <w:rStyle w:val="Prompt"/>
          <w:color w:val="auto"/>
          <w:lang w:val="fr-CA"/>
        </w:rPr>
        <w:t xml:space="preserve">entaires qui sont </w:t>
      </w:r>
      <w:r w:rsidR="008542BE" w:rsidRPr="00B63BD5">
        <w:rPr>
          <w:rStyle w:val="Prompt"/>
          <w:color w:val="auto"/>
          <w:lang w:val="fr-CA"/>
        </w:rPr>
        <w:t>indiqués</w:t>
      </w:r>
      <w:r w:rsidRPr="00B63BD5">
        <w:rPr>
          <w:rStyle w:val="Prompt"/>
          <w:color w:val="auto"/>
          <w:lang w:val="fr-CA"/>
        </w:rPr>
        <w:t xml:space="preserve"> </w:t>
      </w:r>
      <w:r w:rsidR="00381764" w:rsidRPr="00B63BD5">
        <w:rPr>
          <w:rStyle w:val="Prompt"/>
          <w:color w:val="auto"/>
          <w:lang w:val="fr-CA"/>
        </w:rPr>
        <w:t>dans le document intitulé «</w:t>
      </w:r>
      <w:r w:rsidR="0094743F" w:rsidRPr="00B63BD5">
        <w:rPr>
          <w:rStyle w:val="Prompt"/>
          <w:color w:val="auto"/>
          <w:lang w:val="fr-CA"/>
        </w:rPr>
        <w:t> </w:t>
      </w:r>
      <w:r w:rsidR="00B210C5" w:rsidRPr="00B63BD5">
        <w:rPr>
          <w:rStyle w:val="Prompt"/>
          <w:color w:val="auto"/>
          <w:lang w:val="fr-CA"/>
        </w:rPr>
        <w:t>Commerce</w:t>
      </w:r>
      <w:r w:rsidR="00AB0594" w:rsidRPr="00B63BD5">
        <w:rPr>
          <w:rStyle w:val="Prompt"/>
          <w:color w:val="auto"/>
          <w:lang w:val="fr-CA"/>
        </w:rPr>
        <w:t xml:space="preserve"> </w:t>
      </w:r>
      <w:r w:rsidR="00B210C5" w:rsidRPr="00B63BD5">
        <w:rPr>
          <w:rStyle w:val="Prompt"/>
          <w:color w:val="auto"/>
          <w:lang w:val="fr-CA"/>
        </w:rPr>
        <w:t xml:space="preserve">international et financement des comptes clients (Canada) </w:t>
      </w:r>
      <w:r w:rsidR="000144B5" w:rsidRPr="00B63BD5">
        <w:rPr>
          <w:lang w:val="fr-CA"/>
        </w:rPr>
        <w:t>–</w:t>
      </w:r>
      <w:r w:rsidR="00580BA8" w:rsidRPr="00B63BD5">
        <w:rPr>
          <w:rStyle w:val="Prompt"/>
          <w:color w:val="auto"/>
          <w:lang w:val="fr-CA"/>
        </w:rPr>
        <w:t xml:space="preserve"> </w:t>
      </w:r>
      <w:r w:rsidR="00B210C5" w:rsidRPr="00B63BD5">
        <w:rPr>
          <w:rStyle w:val="Prompt"/>
          <w:color w:val="auto"/>
          <w:lang w:val="fr-CA"/>
        </w:rPr>
        <w:t>Barème des frais applicables</w:t>
      </w:r>
      <w:r w:rsidR="0094743F" w:rsidRPr="00B63BD5">
        <w:rPr>
          <w:rStyle w:val="Prompt"/>
          <w:color w:val="auto"/>
          <w:lang w:val="fr-CA"/>
        </w:rPr>
        <w:t> </w:t>
      </w:r>
      <w:r w:rsidR="00B210C5" w:rsidRPr="00B63BD5">
        <w:rPr>
          <w:rStyle w:val="Prompt"/>
          <w:color w:val="auto"/>
          <w:lang w:val="fr-CA"/>
        </w:rPr>
        <w:t>»</w:t>
      </w:r>
      <w:r w:rsidRPr="00B63BD5">
        <w:rPr>
          <w:rStyle w:val="Prompt"/>
          <w:color w:val="auto"/>
          <w:lang w:val="fr-CA"/>
        </w:rPr>
        <w:t xml:space="preserve"> </w:t>
      </w:r>
      <w:r w:rsidR="00776DAD" w:rsidRPr="00B63BD5">
        <w:rPr>
          <w:rStyle w:val="Prompt"/>
          <w:color w:val="auto"/>
          <w:lang w:val="fr-CA"/>
        </w:rPr>
        <w:t>tel qu</w:t>
      </w:r>
      <w:r w:rsidR="00564B0C" w:rsidRPr="00B63BD5">
        <w:rPr>
          <w:rStyle w:val="Prompt"/>
          <w:color w:val="auto"/>
          <w:lang w:val="fr-CA"/>
        </w:rPr>
        <w:t>’</w:t>
      </w:r>
      <w:r w:rsidR="00381764" w:rsidRPr="00B63BD5">
        <w:rPr>
          <w:rStyle w:val="Prompt"/>
          <w:color w:val="auto"/>
          <w:lang w:val="fr-CA"/>
        </w:rPr>
        <w:t>il</w:t>
      </w:r>
      <w:r w:rsidR="00776DAD" w:rsidRPr="00B63BD5">
        <w:rPr>
          <w:rStyle w:val="Prompt"/>
          <w:color w:val="auto"/>
          <w:lang w:val="fr-CA"/>
        </w:rPr>
        <w:t xml:space="preserve"> </w:t>
      </w:r>
      <w:r w:rsidR="00EF314F" w:rsidRPr="00B63BD5">
        <w:rPr>
          <w:rStyle w:val="Prompt"/>
          <w:color w:val="auto"/>
          <w:lang w:val="fr-CA"/>
        </w:rPr>
        <w:t>peut</w:t>
      </w:r>
      <w:r w:rsidR="00776DAD" w:rsidRPr="00B63BD5">
        <w:rPr>
          <w:rStyle w:val="Prompt"/>
          <w:color w:val="auto"/>
          <w:lang w:val="fr-CA"/>
        </w:rPr>
        <w:t xml:space="preserve"> être</w:t>
      </w:r>
      <w:r w:rsidR="00381764" w:rsidRPr="00B63BD5">
        <w:rPr>
          <w:rStyle w:val="Prompt"/>
          <w:color w:val="auto"/>
          <w:lang w:val="fr-CA"/>
        </w:rPr>
        <w:t xml:space="preserve"> modifié</w:t>
      </w:r>
      <w:r w:rsidRPr="00B63BD5">
        <w:rPr>
          <w:rStyle w:val="Prompt"/>
          <w:color w:val="auto"/>
          <w:lang w:val="fr-CA"/>
        </w:rPr>
        <w:t xml:space="preserve"> par la Banque, à son entière discrétion</w:t>
      </w:r>
      <w:r w:rsidR="009E1E7B" w:rsidRPr="00B63BD5">
        <w:rPr>
          <w:rStyle w:val="Prompt"/>
          <w:color w:val="auto"/>
          <w:lang w:val="fr-CA"/>
        </w:rPr>
        <w:t>.</w:t>
      </w:r>
    </w:p>
    <w:p w14:paraId="6FC739C8" w14:textId="671AD53C" w:rsidR="009926E7" w:rsidRPr="00B63BD5" w:rsidRDefault="00B76DD5" w:rsidP="009027EF">
      <w:pPr>
        <w:pStyle w:val="04LOLglNew1"/>
        <w:rPr>
          <w:lang w:val="fr-CA"/>
        </w:rPr>
      </w:pPr>
      <w:r w:rsidRPr="00B63BD5">
        <w:rPr>
          <w:lang w:val="fr-CA"/>
        </w:rPr>
        <w:t xml:space="preserve">Facilité </w:t>
      </w:r>
      <w:r w:rsidR="00561311" w:rsidRPr="00B63BD5">
        <w:rPr>
          <w:lang w:val="fr-CA"/>
        </w:rPr>
        <w:t xml:space="preserve">relative aux opérations </w:t>
      </w:r>
      <w:r w:rsidRPr="00B63BD5">
        <w:rPr>
          <w:lang w:val="fr-CA"/>
        </w:rPr>
        <w:t>de change</w:t>
      </w:r>
    </w:p>
    <w:p w14:paraId="49008F4A" w14:textId="0587372B" w:rsidR="009926E7" w:rsidRPr="00B63BD5" w:rsidRDefault="00B76DD5" w:rsidP="00D33630">
      <w:pPr>
        <w:pStyle w:val="04LOLglNew2"/>
      </w:pPr>
      <w:r w:rsidRPr="00B63BD5">
        <w:t>Montant</w:t>
      </w:r>
      <w:r w:rsidR="00F94D9C" w:rsidRPr="00B63BD5">
        <w:t xml:space="preserve"> </w:t>
      </w:r>
    </w:p>
    <w:p w14:paraId="611040EF" w14:textId="7B16EA5A" w:rsidR="00C90473" w:rsidRPr="00B63BD5" w:rsidRDefault="00C90473" w:rsidP="00C90473">
      <w:pPr>
        <w:keepNext/>
        <w:spacing w:after="240"/>
        <w:jc w:val="both"/>
        <w:rPr>
          <w:color w:val="00B0F0"/>
          <w:lang w:val="fr-CA"/>
        </w:rPr>
      </w:pPr>
      <w:r w:rsidRPr="00B63BD5">
        <w:rPr>
          <w:color w:val="00B0F0"/>
          <w:lang w:val="fr-CA"/>
        </w:rPr>
        <w:t>[N.B. : Utiliser uniquement la monnaie dans laquelle la limite est exprimée (vérifier dans CARM) dans le présent article. Dans le présent article, utiliser la limite théorique établie en fonction du risque</w:t>
      </w:r>
      <w:r w:rsidR="00616254" w:rsidRPr="00B63BD5">
        <w:rPr>
          <w:color w:val="00B0F0"/>
          <w:lang w:val="fr-CA"/>
        </w:rPr>
        <w:t xml:space="preserve"> (limite de catégorie B)</w:t>
      </w:r>
      <w:r w:rsidRPr="00B63BD5">
        <w:rPr>
          <w:color w:val="00B0F0"/>
          <w:lang w:val="fr-CA"/>
        </w:rPr>
        <w:t xml:space="preserve"> et </w:t>
      </w:r>
      <w:r w:rsidRPr="00B63BD5">
        <w:rPr>
          <w:i/>
          <w:color w:val="00B0F0"/>
          <w:u w:val="single"/>
          <w:lang w:val="fr-CA"/>
        </w:rPr>
        <w:t>non</w:t>
      </w:r>
      <w:r w:rsidRPr="00B63BD5">
        <w:rPr>
          <w:i/>
          <w:color w:val="00B0F0"/>
          <w:lang w:val="fr-CA"/>
        </w:rPr>
        <w:t xml:space="preserve"> </w:t>
      </w:r>
      <w:r w:rsidRPr="00B63BD5">
        <w:rPr>
          <w:color w:val="00B0F0"/>
          <w:lang w:val="fr-CA"/>
        </w:rPr>
        <w:t>la valeur nominale. Utiliser uniquement la limite de règlement quotidienne pour les « Clients n’ayant pas une relation bancaire complète avec la Banque » conformément à la section 14.2.5 du manuel sur le crédit de gros (MCG). Supprimer le texte entre crochets si le client est un client bénéficiant de services bancaires complets.]</w:t>
      </w:r>
    </w:p>
    <w:p w14:paraId="2C956A71" w14:textId="63F93F95" w:rsidR="003F6BC8" w:rsidRPr="00B63BD5" w:rsidRDefault="003F6BC8" w:rsidP="00B63BD5">
      <w:pPr>
        <w:spacing w:afterLines="40" w:after="96"/>
        <w:jc w:val="both"/>
        <w:rPr>
          <w:lang w:val="fr-CA"/>
        </w:rPr>
      </w:pPr>
      <w:r w:rsidRPr="00B63BD5">
        <w:rPr>
          <w:lang w:val="fr-CA"/>
        </w:rPr>
        <w:t>Facilité relative aux opérations de change renouvelable à demande (la «</w:t>
      </w:r>
      <w:r w:rsidRPr="00B63BD5">
        <w:rPr>
          <w:b/>
          <w:lang w:val="fr-CA"/>
        </w:rPr>
        <w:t>Facilité relative aux opérations de change</w:t>
      </w:r>
      <w:r w:rsidRPr="00B63BD5">
        <w:rPr>
          <w:lang w:val="fr-CA"/>
        </w:rPr>
        <w:t xml:space="preserve">») en vertu de laquelle l’Emprunteur peut conclure des contrats de change avec la Banque présentant un risque global maximal </w:t>
      </w:r>
      <w:r w:rsidR="004A5E03" w:rsidRPr="00B63BD5">
        <w:rPr>
          <w:lang w:val="fr-CA"/>
        </w:rPr>
        <w:t>présumé déterminé</w:t>
      </w:r>
      <w:r w:rsidRPr="00B63BD5">
        <w:rPr>
          <w:lang w:val="fr-CA"/>
        </w:rPr>
        <w:t xml:space="preserve"> par la Banque, de temps à autre pour les contrats de change à terme d’un montant maximal n’excédant pas ● $ US (la « </w:t>
      </w:r>
      <w:r w:rsidRPr="00B63BD5">
        <w:rPr>
          <w:b/>
          <w:lang w:val="fr-CA"/>
        </w:rPr>
        <w:t>Limite de la facilité relative aux opérations de change</w:t>
      </w:r>
      <w:r w:rsidRPr="00B63BD5">
        <w:rPr>
          <w:lang w:val="fr-CA"/>
        </w:rPr>
        <w:t> ») [, sous réserve d’une limite de règlement quotidienne de ● $ US dans la monnaie applicable].</w:t>
      </w:r>
    </w:p>
    <w:p w14:paraId="721F645D" w14:textId="77777777" w:rsidR="000E282B" w:rsidRPr="00B63BD5" w:rsidRDefault="000E282B" w:rsidP="003F6BC8">
      <w:pPr>
        <w:spacing w:afterLines="40" w:after="96"/>
        <w:jc w:val="both"/>
        <w:rPr>
          <w:lang w:val="fr-CA"/>
        </w:rPr>
      </w:pPr>
    </w:p>
    <w:p w14:paraId="7B213263" w14:textId="77777777" w:rsidR="003F6BC8" w:rsidRPr="00B63BD5" w:rsidRDefault="003F6BC8" w:rsidP="00B63BD5">
      <w:pPr>
        <w:spacing w:afterLines="40" w:after="96"/>
        <w:jc w:val="both"/>
        <w:rPr>
          <w:color w:val="00B0F0"/>
          <w:lang w:val="fr-CA"/>
        </w:rPr>
      </w:pPr>
      <w:r w:rsidRPr="00B63BD5">
        <w:rPr>
          <w:color w:val="00B0F0"/>
          <w:lang w:val="fr-CA"/>
        </w:rPr>
        <w:t>[N.B. : Si des limites différentes sont mises à la disposition d’entités différentes, indiquer le nom de chaque entité et le montant mis à la disposition de l’entité en question, comme il est indiqué ci</w:t>
      </w:r>
      <w:r w:rsidRPr="00B63BD5">
        <w:rPr>
          <w:color w:val="00B0F0"/>
          <w:lang w:val="fr-CA"/>
        </w:rPr>
        <w:noBreakHyphen/>
        <w:t xml:space="preserve">après. Il n’est pas nécessaire de répéter le nom de l’Emprunteur de la facilité s’il n’y en a qu’un seul </w:t>
      </w:r>
      <w:r w:rsidRPr="00B63BD5">
        <w:rPr>
          <w:color w:val="00B0F0"/>
          <w:u w:val="single"/>
          <w:lang w:val="fr-CA"/>
        </w:rPr>
        <w:t>ou</w:t>
      </w:r>
      <w:r w:rsidRPr="00B63BD5">
        <w:rPr>
          <w:color w:val="00B0F0"/>
          <w:lang w:val="fr-CA"/>
        </w:rPr>
        <w:t xml:space="preserve"> s’il y a plusieurs Emprunteurs et que tous ceux</w:t>
      </w:r>
      <w:r w:rsidRPr="00B63BD5">
        <w:rPr>
          <w:color w:val="00B0F0"/>
          <w:lang w:val="fr-CA"/>
        </w:rPr>
        <w:noBreakHyphen/>
        <w:t>ci ont accès à la même limite totale solidairement et dans une mesure égale].</w:t>
      </w:r>
    </w:p>
    <w:p w14:paraId="4396E8CA" w14:textId="77777777" w:rsidR="003F6BC8" w:rsidRPr="00B63BD5" w:rsidRDefault="003F6BC8" w:rsidP="00B63BD5">
      <w:pPr>
        <w:spacing w:afterLines="40" w:after="96"/>
        <w:jc w:val="both"/>
        <w:rPr>
          <w:lang w:val="fr-CA"/>
        </w:rPr>
      </w:pPr>
      <w:r w:rsidRPr="00B63BD5">
        <w:rPr>
          <w:lang w:val="fr-CA"/>
        </w:rPr>
        <w:t>[Somme mise à la disposition de [inscrire le nom de l’Emprunteur] : [● $ US]]</w:t>
      </w:r>
    </w:p>
    <w:p w14:paraId="0F6D6BB9" w14:textId="77777777" w:rsidR="003F6BC8" w:rsidRPr="00B63BD5" w:rsidRDefault="003F6BC8" w:rsidP="00B63BD5">
      <w:pPr>
        <w:spacing w:afterLines="40" w:after="96"/>
        <w:jc w:val="both"/>
        <w:rPr>
          <w:lang w:val="fr-CA"/>
        </w:rPr>
      </w:pPr>
      <w:r w:rsidRPr="00B63BD5">
        <w:rPr>
          <w:lang w:val="fr-CA"/>
        </w:rPr>
        <w:t>[Somme mise à la disposition de [inscrire le nom de l’Emprunteur] : [● $ US]]</w:t>
      </w:r>
    </w:p>
    <w:p w14:paraId="73CA3F9E" w14:textId="77777777" w:rsidR="003F6BC8" w:rsidRPr="00B63BD5" w:rsidRDefault="003F6BC8" w:rsidP="003F6BC8">
      <w:pPr>
        <w:jc w:val="both"/>
        <w:rPr>
          <w:lang w:val="fr-CA"/>
        </w:rPr>
      </w:pPr>
    </w:p>
    <w:p w14:paraId="25D275F8" w14:textId="085BD0C1" w:rsidR="00CB21D9" w:rsidRPr="00B63BD5" w:rsidRDefault="003F6BC8" w:rsidP="00CB21D9">
      <w:pPr>
        <w:pStyle w:val="04LOLglNew2"/>
      </w:pPr>
      <w:r w:rsidRPr="00B63BD5">
        <w:t>Objet</w:t>
      </w:r>
    </w:p>
    <w:p w14:paraId="21D293F5" w14:textId="05DC876A" w:rsidR="003F6BC8" w:rsidRPr="00B63BD5" w:rsidRDefault="003F6BC8" w:rsidP="00B63BD5">
      <w:pPr>
        <w:spacing w:afterLines="40" w:after="96"/>
        <w:jc w:val="both"/>
        <w:rPr>
          <w:lang w:val="fr-CA"/>
        </w:rPr>
      </w:pPr>
      <w:r w:rsidRPr="00B63BD5">
        <w:rPr>
          <w:lang w:val="fr-CA"/>
        </w:rPr>
        <w:t>La Facilité relative aux opérations de change couvre l’Emprunteur contre le risque de change auquel il est exposé dans le cours normal de ses activités; elle ne doit pas servir à des fins spéculatives.</w:t>
      </w:r>
    </w:p>
    <w:p w14:paraId="2682DD3F" w14:textId="77777777" w:rsidR="003F6BC8" w:rsidRPr="00B63BD5" w:rsidRDefault="003F6BC8" w:rsidP="003F6BC8">
      <w:pPr>
        <w:pStyle w:val="Heading2"/>
        <w:spacing w:afterLines="40" w:after="96"/>
        <w:jc w:val="both"/>
        <w:rPr>
          <w:rFonts w:eastAsiaTheme="minorHAnsi"/>
          <w:color w:val="auto"/>
        </w:rPr>
      </w:pPr>
    </w:p>
    <w:p w14:paraId="2DD92DB2" w14:textId="456431C3" w:rsidR="00CB21D9" w:rsidRPr="00B63BD5" w:rsidRDefault="003F6BC8" w:rsidP="00CB21D9">
      <w:pPr>
        <w:pStyle w:val="04LOLglNew2"/>
      </w:pPr>
      <w:r w:rsidRPr="00B63BD5">
        <w:t>Disponibilité</w:t>
      </w:r>
    </w:p>
    <w:p w14:paraId="7A26C647" w14:textId="06D9DFE7" w:rsidR="003F6BC8" w:rsidRPr="00B63BD5" w:rsidRDefault="003F6BC8" w:rsidP="003F6BC8">
      <w:pPr>
        <w:spacing w:afterLines="40" w:after="96"/>
        <w:jc w:val="both"/>
        <w:rPr>
          <w:i/>
          <w:lang w:val="fr-CA"/>
        </w:rPr>
      </w:pPr>
      <w:r w:rsidRPr="00B63BD5">
        <w:rPr>
          <w:lang w:val="fr-CA"/>
        </w:rPr>
        <w:t>La Facilité relative aux opérations de change peut servir à conclure des contrats de change à terme avec la Banque (les «</w:t>
      </w:r>
      <w:r w:rsidRPr="00B63BD5">
        <w:rPr>
          <w:b/>
          <w:lang w:val="fr-CA"/>
        </w:rPr>
        <w:t>Contrats de change à terme</w:t>
      </w:r>
      <w:r w:rsidRPr="00B63BD5">
        <w:rPr>
          <w:lang w:val="fr-CA"/>
        </w:rPr>
        <w:t xml:space="preserve">») d’une durée pouvant aller jusqu’à [un] an qui portent sur l’une ou </w:t>
      </w:r>
      <w:r w:rsidRPr="00B63BD5">
        <w:rPr>
          <w:lang w:val="fr-CA"/>
        </w:rPr>
        <w:lastRenderedPageBreak/>
        <w:t>l’autre des monnaies principales indiquées et approuvées par la Banque, à la condition que le montant n’excède pas la Limite de la facilité relative aux opérations de change.</w:t>
      </w:r>
    </w:p>
    <w:p w14:paraId="3C919AD6" w14:textId="77777777" w:rsidR="003F6BC8" w:rsidRPr="00B63BD5" w:rsidRDefault="003F6BC8" w:rsidP="00B63BD5">
      <w:pPr>
        <w:spacing w:afterLines="40" w:after="96"/>
        <w:jc w:val="both"/>
        <w:rPr>
          <w:lang w:val="fr-CA"/>
        </w:rPr>
      </w:pPr>
    </w:p>
    <w:p w14:paraId="1D4165D0" w14:textId="2FD5E1C7" w:rsidR="00CB21D9" w:rsidRPr="00B63BD5" w:rsidRDefault="003F6BC8" w:rsidP="00CB21D9">
      <w:pPr>
        <w:pStyle w:val="04LOLglNew2"/>
      </w:pPr>
      <w:r w:rsidRPr="00B63BD5">
        <w:t>Remboursement</w:t>
      </w:r>
    </w:p>
    <w:p w14:paraId="20B92B83" w14:textId="1BC0A6FB" w:rsidR="003F6BC8" w:rsidRPr="00B63BD5" w:rsidRDefault="003F6BC8" w:rsidP="00B63BD5">
      <w:pPr>
        <w:keepNext/>
        <w:spacing w:after="240"/>
        <w:jc w:val="both"/>
        <w:rPr>
          <w:b/>
          <w:color w:val="00B0F0"/>
          <w:lang w:val="fr-CA"/>
        </w:rPr>
      </w:pPr>
      <w:r w:rsidRPr="00B63BD5">
        <w:rPr>
          <w:lang w:val="fr-CA"/>
        </w:rPr>
        <w:t>L’Emprunteur doit rembourser sur demande toutes les dettes que la Banque a contractées aux termes des Contrats de change à terme et, sauf demande contraire de la Banque, il doit exécuter ces contrats au moment où ils viennent à échéance.</w:t>
      </w:r>
    </w:p>
    <w:p w14:paraId="4A7739F3" w14:textId="5B200CA4" w:rsidR="009926E7" w:rsidRPr="00B63BD5" w:rsidRDefault="00A86D64" w:rsidP="009027EF">
      <w:pPr>
        <w:pStyle w:val="04LOLglNew1"/>
        <w:rPr>
          <w:lang w:val="fr-CA"/>
        </w:rPr>
      </w:pPr>
      <w:r w:rsidRPr="00B63BD5">
        <w:rPr>
          <w:lang w:val="fr-CA"/>
        </w:rPr>
        <w:t xml:space="preserve">Facilité </w:t>
      </w:r>
      <w:r w:rsidR="00561311" w:rsidRPr="00B63BD5">
        <w:rPr>
          <w:lang w:val="fr-CA"/>
        </w:rPr>
        <w:t>relative au</w:t>
      </w:r>
      <w:r w:rsidR="009B61B1" w:rsidRPr="00B63BD5">
        <w:rPr>
          <w:lang w:val="fr-CA"/>
        </w:rPr>
        <w:t xml:space="preserve"> s</w:t>
      </w:r>
      <w:r w:rsidR="009926E7" w:rsidRPr="00B63BD5">
        <w:rPr>
          <w:lang w:val="fr-CA"/>
        </w:rPr>
        <w:t>wap</w:t>
      </w:r>
    </w:p>
    <w:p w14:paraId="5AF6E94E" w14:textId="4E085E52" w:rsidR="009926E7" w:rsidRPr="00B63BD5" w:rsidRDefault="009B61B1" w:rsidP="00D33630">
      <w:pPr>
        <w:pStyle w:val="04LOLglNew2"/>
      </w:pPr>
      <w:r w:rsidRPr="00B63BD5">
        <w:t>Montant</w:t>
      </w:r>
    </w:p>
    <w:p w14:paraId="4D6140DC" w14:textId="55B60A0F" w:rsidR="00240FE9" w:rsidRPr="00B63BD5" w:rsidRDefault="00240FE9" w:rsidP="00632863">
      <w:pPr>
        <w:spacing w:after="240"/>
        <w:jc w:val="both"/>
        <w:rPr>
          <w:lang w:val="fr-CA"/>
        </w:rPr>
      </w:pPr>
      <w:r w:rsidRPr="00B63BD5">
        <w:rPr>
          <w:lang w:val="fr-CA"/>
        </w:rPr>
        <w:t>Facilité relative au swap de taux d</w:t>
      </w:r>
      <w:r w:rsidR="00564B0C" w:rsidRPr="00B63BD5">
        <w:rPr>
          <w:lang w:val="fr-CA"/>
        </w:rPr>
        <w:t>’</w:t>
      </w:r>
      <w:r w:rsidRPr="00B63BD5">
        <w:rPr>
          <w:lang w:val="fr-CA"/>
        </w:rPr>
        <w:t>intérêt (la</w:t>
      </w:r>
      <w:r w:rsidR="00AC4107" w:rsidRPr="00B63BD5">
        <w:rPr>
          <w:lang w:val="fr-CA"/>
        </w:rPr>
        <w:t xml:space="preserve"> </w:t>
      </w:r>
      <w:r w:rsidRPr="00B63BD5">
        <w:rPr>
          <w:lang w:val="fr-CA"/>
        </w:rPr>
        <w:t>«</w:t>
      </w:r>
      <w:r w:rsidR="0094743F" w:rsidRPr="00B63BD5">
        <w:rPr>
          <w:lang w:val="fr-CA"/>
        </w:rPr>
        <w:t> </w:t>
      </w:r>
      <w:r w:rsidRPr="00B63BD5">
        <w:rPr>
          <w:b/>
          <w:lang w:val="fr-CA"/>
        </w:rPr>
        <w:t>Facilité relative au swap</w:t>
      </w:r>
      <w:r w:rsidR="0094743F" w:rsidRPr="00B63BD5">
        <w:rPr>
          <w:lang w:val="fr-CA"/>
        </w:rPr>
        <w:t> </w:t>
      </w:r>
      <w:r w:rsidRPr="00B63BD5">
        <w:rPr>
          <w:lang w:val="fr-CA"/>
        </w:rPr>
        <w:t>») d</w:t>
      </w:r>
      <w:r w:rsidR="00564B0C" w:rsidRPr="00B63BD5">
        <w:rPr>
          <w:lang w:val="fr-CA"/>
        </w:rPr>
        <w:t>’</w:t>
      </w:r>
      <w:r w:rsidRPr="00B63BD5">
        <w:rPr>
          <w:lang w:val="fr-CA"/>
        </w:rPr>
        <w:t>un montant nominal</w:t>
      </w:r>
      <w:r w:rsidR="000D7C7F" w:rsidRPr="00B63BD5">
        <w:rPr>
          <w:lang w:val="fr-CA"/>
        </w:rPr>
        <w:t xml:space="preserve"> n</w:t>
      </w:r>
      <w:r w:rsidR="00564B0C" w:rsidRPr="00B63BD5">
        <w:rPr>
          <w:lang w:val="fr-CA"/>
        </w:rPr>
        <w:t>’</w:t>
      </w:r>
      <w:r w:rsidR="000D7C7F" w:rsidRPr="00B63BD5">
        <w:rPr>
          <w:lang w:val="fr-CA"/>
        </w:rPr>
        <w:t>excédant pas</w:t>
      </w:r>
      <w:r w:rsidR="007A374D" w:rsidRPr="00B63BD5">
        <w:rPr>
          <w:lang w:val="fr-CA"/>
        </w:rPr>
        <w:t xml:space="preserve"> ●</w:t>
      </w:r>
      <w:r w:rsidR="00AC4107" w:rsidRPr="00B63BD5">
        <w:rPr>
          <w:lang w:val="fr-CA"/>
        </w:rPr>
        <w:t xml:space="preserve"> </w:t>
      </w:r>
      <w:r w:rsidR="007A374D" w:rsidRPr="00B63BD5">
        <w:rPr>
          <w:lang w:val="fr-CA"/>
        </w:rPr>
        <w:t>$</w:t>
      </w:r>
      <w:r w:rsidR="00AC4107" w:rsidRPr="00B63BD5">
        <w:rPr>
          <w:lang w:val="fr-CA"/>
        </w:rPr>
        <w:t xml:space="preserve"> </w:t>
      </w:r>
      <w:r w:rsidR="007A374D" w:rsidRPr="00B63BD5">
        <w:rPr>
          <w:lang w:val="fr-CA"/>
        </w:rPr>
        <w:t>US (ou l</w:t>
      </w:r>
      <w:r w:rsidR="00564B0C" w:rsidRPr="00B63BD5">
        <w:rPr>
          <w:lang w:val="fr-CA"/>
        </w:rPr>
        <w:t>’</w:t>
      </w:r>
      <w:r w:rsidR="007A374D" w:rsidRPr="00B63BD5">
        <w:rPr>
          <w:lang w:val="fr-CA"/>
        </w:rPr>
        <w:t>Équivalent en dollars canadiens)</w:t>
      </w:r>
      <w:r w:rsidRPr="00B63BD5">
        <w:rPr>
          <w:lang w:val="fr-CA"/>
        </w:rPr>
        <w:t>.</w:t>
      </w:r>
    </w:p>
    <w:p w14:paraId="27020480" w14:textId="16E2DA0F" w:rsidR="00F827C2" w:rsidRPr="00B63BD5" w:rsidRDefault="00F827C2" w:rsidP="00632863">
      <w:pPr>
        <w:spacing w:after="240"/>
        <w:jc w:val="both"/>
        <w:rPr>
          <w:b/>
          <w:color w:val="00B0F0"/>
          <w:lang w:val="fr-CA"/>
        </w:rPr>
      </w:pPr>
      <w:r w:rsidRPr="00B63BD5">
        <w:rPr>
          <w:b/>
          <w:color w:val="00B0F0"/>
          <w:lang w:val="fr-CA"/>
        </w:rPr>
        <w:t>[N.B. :</w:t>
      </w:r>
      <w:r w:rsidR="000B5F72" w:rsidRPr="00B63BD5">
        <w:rPr>
          <w:b/>
          <w:color w:val="00B0F0"/>
          <w:lang w:val="fr-CA"/>
        </w:rPr>
        <w:t xml:space="preserve"> </w:t>
      </w:r>
      <w:r w:rsidR="00DD7E58" w:rsidRPr="00B63BD5">
        <w:rPr>
          <w:b/>
          <w:color w:val="00B0F0"/>
          <w:lang w:val="fr-CA"/>
        </w:rPr>
        <w:t xml:space="preserve">Inscrire la limite </w:t>
      </w:r>
      <w:r w:rsidR="005F6954" w:rsidRPr="00B63BD5">
        <w:rPr>
          <w:b/>
          <w:color w:val="00B0F0"/>
          <w:lang w:val="fr-CA"/>
        </w:rPr>
        <w:t>de</w:t>
      </w:r>
      <w:r w:rsidR="00AC4107" w:rsidRPr="00B63BD5">
        <w:rPr>
          <w:b/>
          <w:color w:val="00B0F0"/>
          <w:lang w:val="fr-CA"/>
        </w:rPr>
        <w:t xml:space="preserve"> </w:t>
      </w:r>
      <w:r w:rsidR="00DD7E58" w:rsidRPr="00B63BD5">
        <w:rPr>
          <w:b/>
          <w:color w:val="00B0F0"/>
          <w:lang w:val="fr-CA"/>
        </w:rPr>
        <w:t>catégorie</w:t>
      </w:r>
      <w:r w:rsidR="00AC4107" w:rsidRPr="00B63BD5">
        <w:rPr>
          <w:b/>
          <w:color w:val="00B0F0"/>
          <w:lang w:val="fr-CA"/>
        </w:rPr>
        <w:t xml:space="preserve"> </w:t>
      </w:r>
      <w:r w:rsidR="00DD7E58" w:rsidRPr="00B63BD5">
        <w:rPr>
          <w:b/>
          <w:color w:val="00B0F0"/>
          <w:lang w:val="fr-CA"/>
        </w:rPr>
        <w:t>B ci</w:t>
      </w:r>
      <w:r w:rsidR="00DD7E58" w:rsidRPr="00B63BD5">
        <w:rPr>
          <w:b/>
          <w:color w:val="00B0F0"/>
          <w:lang w:val="fr-CA"/>
        </w:rPr>
        <w:noBreakHyphen/>
        <w:t xml:space="preserve">dessus. </w:t>
      </w:r>
      <w:r w:rsidR="008542BE" w:rsidRPr="00B63BD5">
        <w:rPr>
          <w:b/>
          <w:color w:val="00B0F0"/>
          <w:lang w:val="fr-CA"/>
        </w:rPr>
        <w:t>S</w:t>
      </w:r>
      <w:r w:rsidR="00564B0C" w:rsidRPr="00B63BD5">
        <w:rPr>
          <w:b/>
          <w:color w:val="00B0F0"/>
          <w:lang w:val="fr-CA"/>
        </w:rPr>
        <w:t>’</w:t>
      </w:r>
      <w:r w:rsidR="000B5F72" w:rsidRPr="00B63BD5">
        <w:rPr>
          <w:b/>
          <w:color w:val="00B0F0"/>
          <w:lang w:val="fr-CA"/>
        </w:rPr>
        <w:t xml:space="preserve">il y a plusieurs Emprunteurs, indiquer </w:t>
      </w:r>
      <w:r w:rsidR="008542BE" w:rsidRPr="00B63BD5">
        <w:rPr>
          <w:b/>
          <w:color w:val="00B0F0"/>
          <w:lang w:val="fr-CA"/>
        </w:rPr>
        <w:t>ci</w:t>
      </w:r>
      <w:r w:rsidR="008542BE" w:rsidRPr="00B63BD5">
        <w:rPr>
          <w:b/>
          <w:color w:val="00B0F0"/>
          <w:lang w:val="fr-CA"/>
        </w:rPr>
        <w:noBreakHyphen/>
        <w:t xml:space="preserve">après </w:t>
      </w:r>
      <w:r w:rsidR="000B5F72" w:rsidRPr="00B63BD5">
        <w:rPr>
          <w:b/>
          <w:color w:val="00B0F0"/>
          <w:lang w:val="fr-CA"/>
        </w:rPr>
        <w:t>la somme mise à la disposition de chacun d</w:t>
      </w:r>
      <w:r w:rsidR="00564B0C" w:rsidRPr="00B63BD5">
        <w:rPr>
          <w:b/>
          <w:color w:val="00B0F0"/>
          <w:lang w:val="fr-CA"/>
        </w:rPr>
        <w:t>’</w:t>
      </w:r>
      <w:r w:rsidR="000B5F72" w:rsidRPr="00B63BD5">
        <w:rPr>
          <w:b/>
          <w:color w:val="00B0F0"/>
          <w:lang w:val="fr-CA"/>
        </w:rPr>
        <w:t>entre eux</w:t>
      </w:r>
      <w:r w:rsidRPr="00B63BD5">
        <w:rPr>
          <w:b/>
          <w:color w:val="00B0F0"/>
          <w:lang w:val="fr-CA"/>
        </w:rPr>
        <w:t>.]</w:t>
      </w:r>
    </w:p>
    <w:p w14:paraId="13736E68" w14:textId="32E87DCD" w:rsidR="00F827C2" w:rsidRPr="00B63BD5" w:rsidRDefault="00F827C2" w:rsidP="00632863">
      <w:pPr>
        <w:spacing w:after="240"/>
        <w:jc w:val="both"/>
        <w:rPr>
          <w:lang w:val="fr-CA"/>
        </w:rPr>
      </w:pPr>
      <w:r w:rsidRPr="00B63BD5">
        <w:rPr>
          <w:lang w:val="fr-CA"/>
        </w:rPr>
        <w:t>[Somme mise à la disposition de [inscrire le nom d</w:t>
      </w:r>
      <w:r w:rsidR="008542BE" w:rsidRPr="00B63BD5">
        <w:rPr>
          <w:lang w:val="fr-CA"/>
        </w:rPr>
        <w:t xml:space="preserve">u premier </w:t>
      </w:r>
      <w:r w:rsidRPr="00B63BD5">
        <w:rPr>
          <w:lang w:val="fr-CA"/>
        </w:rPr>
        <w:t>Emprunteur]</w:t>
      </w:r>
      <w:r w:rsidR="00AC4107" w:rsidRPr="00B63BD5">
        <w:rPr>
          <w:lang w:val="fr-CA"/>
        </w:rPr>
        <w:t xml:space="preserve"> </w:t>
      </w:r>
      <w:r w:rsidRPr="00B63BD5">
        <w:rPr>
          <w:lang w:val="fr-CA"/>
        </w:rPr>
        <w:t xml:space="preserve">: </w:t>
      </w:r>
      <w:r w:rsidR="009F6E69" w:rsidRPr="00B63BD5">
        <w:rPr>
          <w:lang w:val="fr-CA"/>
        </w:rPr>
        <w:t>[●</w:t>
      </w:r>
      <w:r w:rsidR="00AC4107" w:rsidRPr="00B63BD5">
        <w:rPr>
          <w:lang w:val="fr-CA"/>
        </w:rPr>
        <w:t xml:space="preserve"> </w:t>
      </w:r>
      <w:r w:rsidR="009F6E69" w:rsidRPr="00B63BD5">
        <w:rPr>
          <w:lang w:val="fr-CA"/>
        </w:rPr>
        <w:t>$</w:t>
      </w:r>
      <w:r w:rsidR="00AC4107" w:rsidRPr="00B63BD5">
        <w:rPr>
          <w:lang w:val="fr-CA"/>
        </w:rPr>
        <w:t xml:space="preserve"> </w:t>
      </w:r>
      <w:r w:rsidR="009F6E69" w:rsidRPr="00B63BD5">
        <w:rPr>
          <w:lang w:val="fr-CA"/>
        </w:rPr>
        <w:t>US]</w:t>
      </w:r>
      <w:r w:rsidR="00142D9B" w:rsidRPr="00B63BD5">
        <w:rPr>
          <w:lang w:val="fr-CA"/>
        </w:rPr>
        <w:t>]</w:t>
      </w:r>
    </w:p>
    <w:p w14:paraId="4D0D27BC" w14:textId="00AD001C" w:rsidR="0050380D" w:rsidRPr="00B63BD5" w:rsidRDefault="00F827C2" w:rsidP="00632863">
      <w:pPr>
        <w:spacing w:after="240"/>
        <w:jc w:val="both"/>
        <w:rPr>
          <w:lang w:val="fr-CA"/>
        </w:rPr>
      </w:pPr>
      <w:r w:rsidRPr="00B63BD5">
        <w:rPr>
          <w:lang w:val="fr-CA"/>
        </w:rPr>
        <w:t>[Somme mise à la disposition de [inscrire le nom d</w:t>
      </w:r>
      <w:r w:rsidR="008542BE" w:rsidRPr="00B63BD5">
        <w:rPr>
          <w:lang w:val="fr-CA"/>
        </w:rPr>
        <w:t xml:space="preserve">u deuxième </w:t>
      </w:r>
      <w:r w:rsidRPr="00B63BD5">
        <w:rPr>
          <w:lang w:val="fr-CA"/>
        </w:rPr>
        <w:t>Emprunteur]</w:t>
      </w:r>
      <w:r w:rsidR="00AC4107" w:rsidRPr="00B63BD5">
        <w:rPr>
          <w:lang w:val="fr-CA"/>
        </w:rPr>
        <w:t xml:space="preserve"> </w:t>
      </w:r>
      <w:r w:rsidRPr="00B63BD5">
        <w:rPr>
          <w:lang w:val="fr-CA"/>
        </w:rPr>
        <w:t xml:space="preserve">: </w:t>
      </w:r>
      <w:r w:rsidR="009F6E69" w:rsidRPr="00B63BD5">
        <w:rPr>
          <w:lang w:val="fr-CA"/>
        </w:rPr>
        <w:t>[●</w:t>
      </w:r>
      <w:r w:rsidR="00AC4107" w:rsidRPr="00B63BD5">
        <w:rPr>
          <w:lang w:val="fr-CA"/>
        </w:rPr>
        <w:t xml:space="preserve"> </w:t>
      </w:r>
      <w:r w:rsidR="009F6E69" w:rsidRPr="00B63BD5">
        <w:rPr>
          <w:lang w:val="fr-CA"/>
        </w:rPr>
        <w:t>$</w:t>
      </w:r>
      <w:r w:rsidR="00AC4107" w:rsidRPr="00B63BD5">
        <w:rPr>
          <w:lang w:val="fr-CA"/>
        </w:rPr>
        <w:t xml:space="preserve"> </w:t>
      </w:r>
      <w:r w:rsidR="009F6E69" w:rsidRPr="00B63BD5">
        <w:rPr>
          <w:lang w:val="fr-CA"/>
        </w:rPr>
        <w:t>US</w:t>
      </w:r>
      <w:r w:rsidR="00DD7E58" w:rsidRPr="00B63BD5">
        <w:rPr>
          <w:lang w:val="fr-CA"/>
        </w:rPr>
        <w:t>.</w:t>
      </w:r>
      <w:r w:rsidR="009F6E69" w:rsidRPr="00B63BD5">
        <w:rPr>
          <w:lang w:val="fr-CA"/>
        </w:rPr>
        <w:t>]</w:t>
      </w:r>
      <w:r w:rsidR="00DD7E58" w:rsidRPr="00B63BD5">
        <w:rPr>
          <w:lang w:val="fr-CA"/>
        </w:rPr>
        <w:t xml:space="preserve"> </w:t>
      </w:r>
    </w:p>
    <w:p w14:paraId="4E5F3F55" w14:textId="19427A0E" w:rsidR="00F827C2" w:rsidRPr="00B63BD5" w:rsidRDefault="00DD7E58" w:rsidP="00632863">
      <w:pPr>
        <w:spacing w:after="240"/>
        <w:jc w:val="both"/>
        <w:rPr>
          <w:lang w:val="fr-CA"/>
        </w:rPr>
      </w:pPr>
      <w:r w:rsidRPr="00B63BD5">
        <w:rPr>
          <w:lang w:val="fr-CA"/>
        </w:rPr>
        <w:t>[S</w:t>
      </w:r>
      <w:r w:rsidR="00564B0C" w:rsidRPr="00B63BD5">
        <w:rPr>
          <w:lang w:val="fr-CA"/>
        </w:rPr>
        <w:t>’</w:t>
      </w:r>
      <w:r w:rsidRPr="00B63BD5">
        <w:rPr>
          <w:lang w:val="fr-CA"/>
        </w:rPr>
        <w:t>il</w:t>
      </w:r>
      <w:r w:rsidR="00AC4107" w:rsidRPr="00B63BD5">
        <w:rPr>
          <w:lang w:val="fr-CA"/>
        </w:rPr>
        <w:t xml:space="preserve"> </w:t>
      </w:r>
      <w:r w:rsidRPr="00B63BD5">
        <w:rPr>
          <w:lang w:val="fr-CA"/>
        </w:rPr>
        <w:t>y</w:t>
      </w:r>
      <w:r w:rsidR="00AC4107" w:rsidRPr="00B63BD5">
        <w:rPr>
          <w:lang w:val="fr-CA"/>
        </w:rPr>
        <w:t xml:space="preserve"> </w:t>
      </w:r>
      <w:r w:rsidRPr="00B63BD5">
        <w:rPr>
          <w:lang w:val="fr-CA"/>
        </w:rPr>
        <w:t xml:space="preserve">a plusieurs Emprunteurs, la somme globale mise à la disposition de tous les Emprunteurs ne peut pas excéder </w:t>
      </w:r>
      <w:r w:rsidR="0002423C" w:rsidRPr="00B63BD5">
        <w:rPr>
          <w:lang w:val="fr-CA"/>
        </w:rPr>
        <w:t>le</w:t>
      </w:r>
      <w:r w:rsidR="00B42DE1" w:rsidRPr="00B63BD5">
        <w:rPr>
          <w:lang w:val="fr-CA"/>
        </w:rPr>
        <w:t> </w:t>
      </w:r>
      <w:r w:rsidR="0002423C" w:rsidRPr="00B63BD5">
        <w:rPr>
          <w:lang w:val="fr-CA"/>
        </w:rPr>
        <w:t>montant de la Facilité relative au swap indiquée ci-dessus</w:t>
      </w:r>
      <w:r w:rsidRPr="00B63BD5">
        <w:rPr>
          <w:lang w:val="fr-CA"/>
        </w:rPr>
        <w:t>.]</w:t>
      </w:r>
    </w:p>
    <w:p w14:paraId="370D7885" w14:textId="1DE3D509" w:rsidR="009926E7" w:rsidRPr="00B63BD5" w:rsidRDefault="009B61B1" w:rsidP="00D33630">
      <w:pPr>
        <w:pStyle w:val="04LOLglNew2"/>
      </w:pPr>
      <w:r w:rsidRPr="00B63BD5">
        <w:t>Objet</w:t>
      </w:r>
    </w:p>
    <w:p w14:paraId="1AD55B96" w14:textId="4FEA023B" w:rsidR="009926E7" w:rsidRPr="00B63BD5" w:rsidRDefault="009B61B1" w:rsidP="00632863">
      <w:pPr>
        <w:pStyle w:val="DocPara2"/>
        <w:ind w:left="0"/>
        <w:jc w:val="both"/>
        <w:rPr>
          <w:lang w:val="fr-CA"/>
        </w:rPr>
      </w:pPr>
      <w:r w:rsidRPr="00B63BD5">
        <w:rPr>
          <w:lang w:val="fr-CA"/>
        </w:rPr>
        <w:t>Conclure un contrat de swap de taux d</w:t>
      </w:r>
      <w:r w:rsidR="00564B0C" w:rsidRPr="00B63BD5">
        <w:rPr>
          <w:lang w:val="fr-CA"/>
        </w:rPr>
        <w:t>’</w:t>
      </w:r>
      <w:r w:rsidRPr="00B63BD5">
        <w:rPr>
          <w:lang w:val="fr-CA"/>
        </w:rPr>
        <w:t xml:space="preserve">intérêt </w:t>
      </w:r>
      <w:r w:rsidR="00A86D64" w:rsidRPr="00B63BD5">
        <w:rPr>
          <w:lang w:val="fr-CA"/>
        </w:rPr>
        <w:t>d</w:t>
      </w:r>
      <w:r w:rsidR="00564B0C" w:rsidRPr="00B63BD5">
        <w:rPr>
          <w:lang w:val="fr-CA"/>
        </w:rPr>
        <w:t>’</w:t>
      </w:r>
      <w:r w:rsidR="00A86D64" w:rsidRPr="00B63BD5">
        <w:rPr>
          <w:lang w:val="fr-CA"/>
        </w:rPr>
        <w:t xml:space="preserve">une durée </w:t>
      </w:r>
      <w:r w:rsidR="00D1132A">
        <w:rPr>
          <w:lang w:val="fr-CA"/>
        </w:rPr>
        <w:t>convenue mutuellement par la Banque et l’Emprunteur</w:t>
      </w:r>
      <w:r w:rsidR="00761595">
        <w:rPr>
          <w:lang w:val="fr-CA"/>
        </w:rPr>
        <w:t xml:space="preserve">, sans toutefois dépasser dans tous les cas une </w:t>
      </w:r>
      <w:r w:rsidR="00AC4C53">
        <w:rPr>
          <w:lang w:val="fr-CA"/>
        </w:rPr>
        <w:t>p</w:t>
      </w:r>
      <w:r w:rsidR="00761595">
        <w:rPr>
          <w:lang w:val="fr-CA"/>
        </w:rPr>
        <w:t>ériode de</w:t>
      </w:r>
      <w:r w:rsidR="00D1132A" w:rsidRPr="00B63BD5">
        <w:rPr>
          <w:lang w:val="fr-CA"/>
        </w:rPr>
        <w:t xml:space="preserve"> </w:t>
      </w:r>
      <w:r w:rsidR="00E12234" w:rsidRPr="00B63BD5">
        <w:rPr>
          <w:lang w:val="fr-CA"/>
        </w:rPr>
        <w:t>[</w:t>
      </w:r>
      <w:r w:rsidR="00761595">
        <w:rPr>
          <w:rStyle w:val="Prompt"/>
        </w:rPr>
        <w:sym w:font="Wingdings" w:char="F06C"/>
      </w:r>
      <w:r w:rsidR="00E12234" w:rsidRPr="00B63BD5">
        <w:rPr>
          <w:lang w:val="fr-CA"/>
        </w:rPr>
        <w:t>]</w:t>
      </w:r>
      <w:r w:rsidR="00AC4107" w:rsidRPr="00B63BD5">
        <w:rPr>
          <w:b/>
          <w:lang w:val="fr-CA"/>
        </w:rPr>
        <w:t xml:space="preserve"> </w:t>
      </w:r>
      <w:r w:rsidRPr="00B63BD5">
        <w:rPr>
          <w:lang w:val="fr-CA"/>
        </w:rPr>
        <w:t>mois</w:t>
      </w:r>
      <w:r w:rsidR="00AC4C53">
        <w:rPr>
          <w:lang w:val="fr-CA"/>
        </w:rPr>
        <w:t>,</w:t>
      </w:r>
      <w:r w:rsidRPr="00B63BD5">
        <w:rPr>
          <w:lang w:val="fr-CA"/>
        </w:rPr>
        <w:t xml:space="preserve"> </w:t>
      </w:r>
      <w:r w:rsidR="00761595" w:rsidRPr="00B63BD5">
        <w:rPr>
          <w:lang w:val="fr-CA"/>
        </w:rPr>
        <w:t>(un « </w:t>
      </w:r>
      <w:r w:rsidR="00761595" w:rsidRPr="00B63BD5">
        <w:rPr>
          <w:b/>
          <w:lang w:val="fr-CA"/>
        </w:rPr>
        <w:t>Swap</w:t>
      </w:r>
      <w:r w:rsidR="00761595" w:rsidRPr="00B63BD5">
        <w:rPr>
          <w:lang w:val="fr-CA"/>
        </w:rPr>
        <w:t xml:space="preserve"> ») </w:t>
      </w:r>
      <w:r w:rsidR="00275541" w:rsidRPr="00B63BD5">
        <w:rPr>
          <w:lang w:val="fr-CA"/>
        </w:rPr>
        <w:t>permett</w:t>
      </w:r>
      <w:r w:rsidR="00052CB0" w:rsidRPr="00B63BD5">
        <w:rPr>
          <w:lang w:val="fr-CA"/>
        </w:rPr>
        <w:t xml:space="preserve">ant </w:t>
      </w:r>
      <w:r w:rsidR="00275541" w:rsidRPr="00B63BD5">
        <w:rPr>
          <w:lang w:val="fr-CA"/>
        </w:rPr>
        <w:t>à</w:t>
      </w:r>
      <w:r w:rsidR="00B42DE1" w:rsidRPr="00B63BD5">
        <w:rPr>
          <w:lang w:val="fr-CA"/>
        </w:rPr>
        <w:t> </w:t>
      </w:r>
      <w:r w:rsidR="00275541" w:rsidRPr="00B63BD5">
        <w:rPr>
          <w:lang w:val="fr-CA"/>
        </w:rPr>
        <w:t>l</w:t>
      </w:r>
      <w:r w:rsidR="00564B0C" w:rsidRPr="00B63BD5">
        <w:rPr>
          <w:lang w:val="fr-CA"/>
        </w:rPr>
        <w:t>’</w:t>
      </w:r>
      <w:r w:rsidR="00275541" w:rsidRPr="00B63BD5">
        <w:rPr>
          <w:lang w:val="fr-CA"/>
        </w:rPr>
        <w:t xml:space="preserve">Emprunteur de se </w:t>
      </w:r>
      <w:r w:rsidR="00A86D64" w:rsidRPr="00B63BD5">
        <w:rPr>
          <w:lang w:val="fr-CA"/>
        </w:rPr>
        <w:t>protéger</w:t>
      </w:r>
      <w:r w:rsidR="00275541" w:rsidRPr="00B63BD5">
        <w:rPr>
          <w:lang w:val="fr-CA"/>
        </w:rPr>
        <w:t xml:space="preserve"> contre les fluct</w:t>
      </w:r>
      <w:r w:rsidR="00A86D64" w:rsidRPr="00B63BD5">
        <w:rPr>
          <w:lang w:val="fr-CA"/>
        </w:rPr>
        <w:t>uations du coût d</w:t>
      </w:r>
      <w:r w:rsidR="00564B0C" w:rsidRPr="00B63BD5">
        <w:rPr>
          <w:lang w:val="fr-CA"/>
        </w:rPr>
        <w:t>’</w:t>
      </w:r>
      <w:r w:rsidR="00A86D64" w:rsidRPr="00B63BD5">
        <w:rPr>
          <w:lang w:val="fr-CA"/>
        </w:rPr>
        <w:t>emprunt</w:t>
      </w:r>
      <w:r w:rsidR="00FB09BF" w:rsidRPr="00B63BD5">
        <w:rPr>
          <w:lang w:val="fr-CA"/>
        </w:rPr>
        <w:t>.</w:t>
      </w:r>
    </w:p>
    <w:p w14:paraId="06275819" w14:textId="380CD05B" w:rsidR="009926E7" w:rsidRPr="00B63BD5" w:rsidRDefault="009B61B1" w:rsidP="00D33630">
      <w:pPr>
        <w:pStyle w:val="04LOLglNew2"/>
      </w:pPr>
      <w:r w:rsidRPr="00B63BD5">
        <w:t>Disponibilité</w:t>
      </w:r>
    </w:p>
    <w:p w14:paraId="2E6B58F3" w14:textId="38C8EC25" w:rsidR="009926E7" w:rsidRPr="00B63BD5" w:rsidRDefault="006D2E6C" w:rsidP="00632863">
      <w:pPr>
        <w:pStyle w:val="DocPara2"/>
        <w:ind w:left="0"/>
        <w:jc w:val="both"/>
        <w:rPr>
          <w:snapToGrid w:val="0"/>
          <w:lang w:val="fr-CA"/>
        </w:rPr>
      </w:pPr>
      <w:r w:rsidRPr="00B63BD5">
        <w:rPr>
          <w:lang w:val="fr-CA"/>
        </w:rPr>
        <w:t>L</w:t>
      </w:r>
      <w:r w:rsidR="00564B0C" w:rsidRPr="00B63BD5">
        <w:rPr>
          <w:lang w:val="fr-CA"/>
        </w:rPr>
        <w:t>’</w:t>
      </w:r>
      <w:r w:rsidRPr="00B63BD5">
        <w:rPr>
          <w:lang w:val="fr-CA"/>
        </w:rPr>
        <w:t>Emprunteur peut</w:t>
      </w:r>
      <w:r w:rsidR="000D7C7F" w:rsidRPr="00B63BD5">
        <w:rPr>
          <w:lang w:val="fr-CA"/>
        </w:rPr>
        <w:t xml:space="preserve"> se prévaloir de</w:t>
      </w:r>
      <w:r w:rsidRPr="00B63BD5">
        <w:rPr>
          <w:lang w:val="fr-CA"/>
        </w:rPr>
        <w:t xml:space="preserve"> l</w:t>
      </w:r>
      <w:r w:rsidR="00C81959" w:rsidRPr="00B63BD5">
        <w:rPr>
          <w:lang w:val="fr-CA"/>
        </w:rPr>
        <w:t xml:space="preserve">a Facilité </w:t>
      </w:r>
      <w:r w:rsidR="00561311" w:rsidRPr="00B63BD5">
        <w:rPr>
          <w:lang w:val="fr-CA"/>
        </w:rPr>
        <w:t>relative au</w:t>
      </w:r>
      <w:r w:rsidR="00275541" w:rsidRPr="00B63BD5">
        <w:rPr>
          <w:lang w:val="fr-CA"/>
        </w:rPr>
        <w:t xml:space="preserve"> swap </w:t>
      </w:r>
      <w:r w:rsidRPr="00B63BD5">
        <w:rPr>
          <w:lang w:val="fr-CA"/>
        </w:rPr>
        <w:t xml:space="preserve">en faisant une </w:t>
      </w:r>
      <w:r w:rsidR="00C81959" w:rsidRPr="00B63BD5">
        <w:rPr>
          <w:lang w:val="fr-CA"/>
        </w:rPr>
        <w:t>demande écrite</w:t>
      </w:r>
      <w:r w:rsidRPr="00B63BD5">
        <w:rPr>
          <w:lang w:val="fr-CA"/>
        </w:rPr>
        <w:t xml:space="preserve">, sur quoi </w:t>
      </w:r>
      <w:r w:rsidR="00275541" w:rsidRPr="00B63BD5">
        <w:rPr>
          <w:lang w:val="fr-CA"/>
        </w:rPr>
        <w:t>la</w:t>
      </w:r>
      <w:r w:rsidR="00B42DE1" w:rsidRPr="00B63BD5">
        <w:rPr>
          <w:lang w:val="fr-CA"/>
        </w:rPr>
        <w:t> </w:t>
      </w:r>
      <w:r w:rsidR="00275541" w:rsidRPr="00B63BD5">
        <w:rPr>
          <w:lang w:val="fr-CA"/>
        </w:rPr>
        <w:t xml:space="preserve">Banque fera des efforts raisonnables pour </w:t>
      </w:r>
      <w:r w:rsidR="00561311" w:rsidRPr="00B63BD5">
        <w:rPr>
          <w:lang w:val="fr-CA"/>
        </w:rPr>
        <w:t>lui offrir</w:t>
      </w:r>
      <w:r w:rsidR="00275541" w:rsidRPr="00B63BD5">
        <w:rPr>
          <w:lang w:val="fr-CA"/>
        </w:rPr>
        <w:t xml:space="preserve"> un swap à</w:t>
      </w:r>
      <w:r w:rsidR="00B42DE1" w:rsidRPr="00B63BD5">
        <w:rPr>
          <w:lang w:val="fr-CA"/>
        </w:rPr>
        <w:t> </w:t>
      </w:r>
      <w:r w:rsidR="00275541" w:rsidRPr="00B63BD5">
        <w:rPr>
          <w:lang w:val="fr-CA"/>
        </w:rPr>
        <w:t>l</w:t>
      </w:r>
      <w:r w:rsidR="00564B0C" w:rsidRPr="00B63BD5">
        <w:rPr>
          <w:lang w:val="fr-CA"/>
        </w:rPr>
        <w:t>’</w:t>
      </w:r>
      <w:r w:rsidR="00275541" w:rsidRPr="00B63BD5">
        <w:rPr>
          <w:lang w:val="fr-CA"/>
        </w:rPr>
        <w:t>égard</w:t>
      </w:r>
      <w:r w:rsidR="00B42DE1" w:rsidRPr="00B63BD5">
        <w:rPr>
          <w:lang w:val="fr-CA"/>
        </w:rPr>
        <w:t> </w:t>
      </w:r>
      <w:r w:rsidR="00275541" w:rsidRPr="00B63BD5">
        <w:rPr>
          <w:lang w:val="fr-CA"/>
        </w:rPr>
        <w:t>de la totalité ou d</w:t>
      </w:r>
      <w:r w:rsidR="00564B0C" w:rsidRPr="00B63BD5">
        <w:rPr>
          <w:lang w:val="fr-CA"/>
        </w:rPr>
        <w:t>’</w:t>
      </w:r>
      <w:r w:rsidR="00275541" w:rsidRPr="00B63BD5">
        <w:rPr>
          <w:lang w:val="fr-CA"/>
        </w:rPr>
        <w:t>une partie de l</w:t>
      </w:r>
      <w:r w:rsidR="00564B0C" w:rsidRPr="00B63BD5">
        <w:rPr>
          <w:lang w:val="fr-CA"/>
        </w:rPr>
        <w:t>’</w:t>
      </w:r>
      <w:r w:rsidR="00275541" w:rsidRPr="00B63BD5">
        <w:rPr>
          <w:lang w:val="fr-CA"/>
        </w:rPr>
        <w:t>encours des emprunts pertinents consentis dans</w:t>
      </w:r>
      <w:r w:rsidR="00B42DE1" w:rsidRPr="00B63BD5">
        <w:rPr>
          <w:lang w:val="fr-CA"/>
        </w:rPr>
        <w:t> </w:t>
      </w:r>
      <w:r w:rsidR="00275541" w:rsidRPr="00B63BD5">
        <w:rPr>
          <w:lang w:val="fr-CA"/>
        </w:rPr>
        <w:t>le cadre de</w:t>
      </w:r>
      <w:r w:rsidR="00F827C2" w:rsidRPr="00B63BD5">
        <w:rPr>
          <w:lang w:val="fr-CA"/>
        </w:rPr>
        <w:t xml:space="preserve">s </w:t>
      </w:r>
      <w:r w:rsidR="00275541" w:rsidRPr="00B63BD5">
        <w:rPr>
          <w:lang w:val="fr-CA"/>
        </w:rPr>
        <w:t>Facilité</w:t>
      </w:r>
      <w:r w:rsidR="00F827C2" w:rsidRPr="00B63BD5">
        <w:rPr>
          <w:lang w:val="fr-CA"/>
        </w:rPr>
        <w:t>s</w:t>
      </w:r>
      <w:r w:rsidR="00275541" w:rsidRPr="00B63BD5">
        <w:rPr>
          <w:lang w:val="fr-CA"/>
        </w:rPr>
        <w:t xml:space="preserve"> de </w:t>
      </w:r>
      <w:r w:rsidR="00F827C2" w:rsidRPr="00B63BD5">
        <w:rPr>
          <w:lang w:val="fr-CA"/>
        </w:rPr>
        <w:t>crédit</w:t>
      </w:r>
      <w:r w:rsidR="00275541" w:rsidRPr="00B63BD5">
        <w:rPr>
          <w:lang w:val="fr-CA"/>
        </w:rPr>
        <w:t xml:space="preserve"> </w:t>
      </w:r>
      <w:r w:rsidR="00052CB0" w:rsidRPr="00B63BD5">
        <w:rPr>
          <w:lang w:val="fr-CA"/>
        </w:rPr>
        <w:t xml:space="preserve">selon </w:t>
      </w:r>
      <w:r w:rsidR="00290A17" w:rsidRPr="00B63BD5">
        <w:rPr>
          <w:lang w:val="fr-CA"/>
        </w:rPr>
        <w:t>le terme</w:t>
      </w:r>
      <w:r w:rsidR="00275541" w:rsidRPr="00B63BD5">
        <w:rPr>
          <w:lang w:val="fr-CA"/>
        </w:rPr>
        <w:t xml:space="preserve"> dont</w:t>
      </w:r>
      <w:r w:rsidR="00B42DE1" w:rsidRPr="00B63BD5">
        <w:rPr>
          <w:lang w:val="fr-CA"/>
        </w:rPr>
        <w:t> </w:t>
      </w:r>
      <w:r w:rsidR="00275541" w:rsidRPr="00B63BD5">
        <w:rPr>
          <w:lang w:val="fr-CA"/>
        </w:rPr>
        <w:t>la</w:t>
      </w:r>
      <w:r w:rsidR="00B42DE1" w:rsidRPr="00B63BD5">
        <w:rPr>
          <w:lang w:val="fr-CA"/>
        </w:rPr>
        <w:t> </w:t>
      </w:r>
      <w:r w:rsidR="00275541" w:rsidRPr="00B63BD5">
        <w:rPr>
          <w:lang w:val="fr-CA"/>
        </w:rPr>
        <w:t>Banque et</w:t>
      </w:r>
      <w:r w:rsidR="00B42DE1" w:rsidRPr="00B63BD5">
        <w:rPr>
          <w:lang w:val="fr-CA"/>
        </w:rPr>
        <w:t> </w:t>
      </w:r>
      <w:r w:rsidR="00275541" w:rsidRPr="00B63BD5">
        <w:rPr>
          <w:lang w:val="fr-CA"/>
        </w:rPr>
        <w:t>l</w:t>
      </w:r>
      <w:r w:rsidR="00564B0C" w:rsidRPr="00B63BD5">
        <w:rPr>
          <w:lang w:val="fr-CA"/>
        </w:rPr>
        <w:t>’</w:t>
      </w:r>
      <w:r w:rsidR="00275541" w:rsidRPr="00B63BD5">
        <w:rPr>
          <w:lang w:val="fr-CA"/>
        </w:rPr>
        <w:t>Emprunteur</w:t>
      </w:r>
      <w:r w:rsidR="00C81959" w:rsidRPr="00B63BD5">
        <w:rPr>
          <w:lang w:val="fr-CA"/>
        </w:rPr>
        <w:t xml:space="preserve"> </w:t>
      </w:r>
      <w:r w:rsidRPr="00B63BD5">
        <w:rPr>
          <w:lang w:val="fr-CA"/>
        </w:rPr>
        <w:t xml:space="preserve">pourraient convenir </w:t>
      </w:r>
      <w:r w:rsidR="00275541" w:rsidRPr="00B63BD5">
        <w:rPr>
          <w:lang w:val="fr-CA"/>
        </w:rPr>
        <w:t>mutuellement, sous réserve des restrictions et</w:t>
      </w:r>
      <w:r w:rsidR="00B42DE1" w:rsidRPr="00B63BD5">
        <w:rPr>
          <w:lang w:val="fr-CA"/>
        </w:rPr>
        <w:t> </w:t>
      </w:r>
      <w:r w:rsidR="00275541" w:rsidRPr="00B63BD5">
        <w:rPr>
          <w:lang w:val="fr-CA"/>
        </w:rPr>
        <w:t>des</w:t>
      </w:r>
      <w:r w:rsidR="00B42DE1" w:rsidRPr="00B63BD5">
        <w:rPr>
          <w:lang w:val="fr-CA"/>
        </w:rPr>
        <w:t> </w:t>
      </w:r>
      <w:r w:rsidR="00275541" w:rsidRPr="00B63BD5">
        <w:rPr>
          <w:lang w:val="fr-CA"/>
        </w:rPr>
        <w:t>conditions suivantes</w:t>
      </w:r>
      <w:r w:rsidR="00AC4107" w:rsidRPr="00B63BD5">
        <w:rPr>
          <w:lang w:val="fr-CA"/>
        </w:rPr>
        <w:t xml:space="preserve"> </w:t>
      </w:r>
      <w:r w:rsidR="009926E7" w:rsidRPr="00B63BD5">
        <w:rPr>
          <w:snapToGrid w:val="0"/>
          <w:lang w:val="fr-CA"/>
        </w:rPr>
        <w:t>:</w:t>
      </w:r>
    </w:p>
    <w:p w14:paraId="67404003" w14:textId="0AB4CB7A" w:rsidR="009926E7" w:rsidRPr="000B7739" w:rsidRDefault="000D7C7F" w:rsidP="000B7739">
      <w:pPr>
        <w:pStyle w:val="04LOLglNew3"/>
        <w:numPr>
          <w:ilvl w:val="2"/>
          <w:numId w:val="32"/>
        </w:numPr>
        <w:rPr>
          <w:lang w:val="fr-CA"/>
        </w:rPr>
      </w:pPr>
      <w:r w:rsidRPr="000B7739">
        <w:rPr>
          <w:lang w:val="fr-CA"/>
        </w:rPr>
        <w:t>le S</w:t>
      </w:r>
      <w:r w:rsidR="00275541" w:rsidRPr="000B7739">
        <w:rPr>
          <w:lang w:val="fr-CA"/>
        </w:rPr>
        <w:t xml:space="preserve">wap </w:t>
      </w:r>
      <w:r w:rsidR="004F1211" w:rsidRPr="000B7739">
        <w:rPr>
          <w:lang w:val="fr-CA"/>
        </w:rPr>
        <w:t>est</w:t>
      </w:r>
      <w:r w:rsidR="00275541" w:rsidRPr="000B7739">
        <w:rPr>
          <w:lang w:val="fr-CA"/>
        </w:rPr>
        <w:t xml:space="preserve"> </w:t>
      </w:r>
      <w:r w:rsidR="00561311" w:rsidRPr="000B7739">
        <w:rPr>
          <w:lang w:val="fr-CA"/>
        </w:rPr>
        <w:t xml:space="preserve">offert par la Banque sous réserve de </w:t>
      </w:r>
      <w:r w:rsidR="00275541" w:rsidRPr="000B7739">
        <w:rPr>
          <w:lang w:val="fr-CA"/>
        </w:rPr>
        <w:t>la disponibilité et</w:t>
      </w:r>
      <w:r w:rsidRPr="000B7739">
        <w:rPr>
          <w:lang w:val="fr-CA"/>
        </w:rPr>
        <w:t xml:space="preserve"> pour</w:t>
      </w:r>
      <w:r w:rsidR="00561311" w:rsidRPr="000B7739">
        <w:rPr>
          <w:lang w:val="fr-CA"/>
        </w:rPr>
        <w:t xml:space="preserve"> </w:t>
      </w:r>
      <w:r w:rsidR="004F1211" w:rsidRPr="000B7739">
        <w:rPr>
          <w:lang w:val="fr-CA"/>
        </w:rPr>
        <w:t>un</w:t>
      </w:r>
      <w:r w:rsidR="00290A17" w:rsidRPr="000B7739">
        <w:rPr>
          <w:lang w:val="fr-CA"/>
        </w:rPr>
        <w:t xml:space="preserve"> terme</w:t>
      </w:r>
      <w:r w:rsidR="00275541" w:rsidRPr="000B7739">
        <w:rPr>
          <w:lang w:val="fr-CA"/>
        </w:rPr>
        <w:t xml:space="preserve"> </w:t>
      </w:r>
      <w:r w:rsidR="00AC4C53" w:rsidRPr="000B7739">
        <w:rPr>
          <w:lang w:val="fr-CA"/>
        </w:rPr>
        <w:t>inférieur à la durée énoncée au point 6.2</w:t>
      </w:r>
      <w:r w:rsidR="009926E7" w:rsidRPr="000B7739">
        <w:rPr>
          <w:lang w:val="fr-CA"/>
        </w:rPr>
        <w:t>;</w:t>
      </w:r>
    </w:p>
    <w:p w14:paraId="0BDEFC68" w14:textId="78EC2F31" w:rsidR="00AC4C53" w:rsidRPr="000B7739" w:rsidRDefault="00AC4C53" w:rsidP="000B7739">
      <w:pPr>
        <w:pStyle w:val="04LOLglNew3"/>
        <w:numPr>
          <w:ilvl w:val="2"/>
          <w:numId w:val="32"/>
        </w:numPr>
        <w:rPr>
          <w:lang w:val="fr-CA"/>
        </w:rPr>
      </w:pPr>
      <w:r w:rsidRPr="000B7739">
        <w:rPr>
          <w:lang w:val="fr-CA"/>
        </w:rPr>
        <w:t xml:space="preserve"> </w:t>
      </w:r>
      <w:r w:rsidRPr="000B7739">
        <w:rPr>
          <w:lang w:val="fr-CA"/>
        </w:rPr>
        <w:br/>
      </w:r>
      <w:r w:rsidRPr="000B7739">
        <w:rPr>
          <w:lang w:val="fr-CA"/>
        </w:rPr>
        <w:br/>
      </w:r>
      <w:r w:rsidRPr="000B7739">
        <w:rPr>
          <w:b/>
          <w:color w:val="00B0F0"/>
          <w:szCs w:val="20"/>
          <w:lang w:val="fr-CA"/>
        </w:rPr>
        <w:t>[N.B. : Inclure l’alinéa b) seulement si la clause de résiliation est approuvée dans le système CARM.]</w:t>
      </w:r>
      <w:r w:rsidRPr="000B7739">
        <w:rPr>
          <w:lang w:val="fr-CA"/>
        </w:rPr>
        <w:t>tout Swap dont la durée est supérieure à [</w:t>
      </w:r>
      <w:r>
        <w:rPr>
          <w:rStyle w:val="Prompt"/>
        </w:rPr>
        <w:sym w:font="Wingdings" w:char="F06C"/>
      </w:r>
      <w:r w:rsidRPr="000B7739">
        <w:rPr>
          <w:lang w:val="fr-CA"/>
        </w:rPr>
        <w:t>] ans doit comprendre une clause de résiliation anticipée qui autorise la résiliation du Swap avant l’échéance (à moins que les parties conviennent mutuellement de modifier les conditions du Swap avant une telle résiliation anticipée);</w:t>
      </w:r>
    </w:p>
    <w:p w14:paraId="2A5568BF" w14:textId="2B2A45B2" w:rsidR="00E921FA" w:rsidRPr="000B7739" w:rsidRDefault="00AC4C53" w:rsidP="000B7739">
      <w:pPr>
        <w:pStyle w:val="04LOLglNew3"/>
        <w:numPr>
          <w:ilvl w:val="2"/>
          <w:numId w:val="32"/>
        </w:numPr>
        <w:rPr>
          <w:lang w:val="fr-CA"/>
        </w:rPr>
      </w:pPr>
      <w:r w:rsidRPr="000B7739">
        <w:rPr>
          <w:lang w:val="fr-CA"/>
        </w:rPr>
        <w:t>les parties concluent une convention cadre de l’ISDA (conformément au formulaire publié par l’International Swaps and Derivatives Association, Inc.) ou tout autre convention ou confirmation à long terme lorsque les parties sont réputées avoir signé une telle convention-cadre, qui énonce ou régit les conditions de l’opération entre l’Emprunteur et la Banque (par écrit ou par voie électronique) (la « </w:t>
      </w:r>
      <w:r w:rsidRPr="000B7739">
        <w:rPr>
          <w:b/>
          <w:bCs/>
          <w:lang w:val="fr-CA"/>
        </w:rPr>
        <w:t>Convention ISDA </w:t>
      </w:r>
      <w:r w:rsidRPr="000B7739">
        <w:rPr>
          <w:lang w:val="fr-CA"/>
        </w:rPr>
        <w:t>»)</w:t>
      </w:r>
      <w:r w:rsidR="00E921FA" w:rsidRPr="000B7739">
        <w:rPr>
          <w:lang w:val="fr-CA"/>
        </w:rPr>
        <w:t>;</w:t>
      </w:r>
    </w:p>
    <w:p w14:paraId="29A022BB" w14:textId="76E527FB" w:rsidR="009926E7" w:rsidRPr="000B7739" w:rsidRDefault="00217EEB" w:rsidP="000B7739">
      <w:pPr>
        <w:pStyle w:val="04LOLglNew3"/>
        <w:numPr>
          <w:ilvl w:val="2"/>
          <w:numId w:val="32"/>
        </w:numPr>
        <w:rPr>
          <w:lang w:val="fr-CA"/>
        </w:rPr>
      </w:pPr>
      <w:r w:rsidRPr="000B7739">
        <w:rPr>
          <w:lang w:val="fr-CA"/>
        </w:rPr>
        <w:t xml:space="preserve">le </w:t>
      </w:r>
      <w:r w:rsidR="00DF5B84" w:rsidRPr="000B7739">
        <w:rPr>
          <w:lang w:val="fr-CA"/>
        </w:rPr>
        <w:t>montant</w:t>
      </w:r>
      <w:r w:rsidR="00561311" w:rsidRPr="000B7739">
        <w:rPr>
          <w:lang w:val="fr-CA"/>
        </w:rPr>
        <w:t xml:space="preserve"> nominal</w:t>
      </w:r>
      <w:r w:rsidR="004F1211" w:rsidRPr="000B7739">
        <w:rPr>
          <w:lang w:val="fr-CA"/>
        </w:rPr>
        <w:t xml:space="preserve"> </w:t>
      </w:r>
      <w:r w:rsidR="008542BE" w:rsidRPr="000B7739">
        <w:rPr>
          <w:lang w:val="fr-CA"/>
        </w:rPr>
        <w:t xml:space="preserve">utilisé </w:t>
      </w:r>
      <w:r w:rsidRPr="000B7739">
        <w:rPr>
          <w:lang w:val="fr-CA"/>
        </w:rPr>
        <w:t xml:space="preserve">de la Facilité </w:t>
      </w:r>
      <w:r w:rsidR="00561311" w:rsidRPr="000B7739">
        <w:rPr>
          <w:lang w:val="fr-CA"/>
        </w:rPr>
        <w:t>relative au</w:t>
      </w:r>
      <w:r w:rsidRPr="000B7739">
        <w:rPr>
          <w:lang w:val="fr-CA"/>
        </w:rPr>
        <w:t xml:space="preserve"> swap doit correspondre </w:t>
      </w:r>
      <w:r w:rsidR="00CF4ECA" w:rsidRPr="000B7739">
        <w:rPr>
          <w:lang w:val="fr-CA"/>
        </w:rPr>
        <w:t xml:space="preserve">à une somme calculée </w:t>
      </w:r>
      <w:r w:rsidR="008542BE" w:rsidRPr="000B7739">
        <w:rPr>
          <w:lang w:val="fr-CA"/>
        </w:rPr>
        <w:t xml:space="preserve">selon le </w:t>
      </w:r>
      <w:r w:rsidR="00CF4ECA" w:rsidRPr="000B7739">
        <w:rPr>
          <w:lang w:val="fr-CA"/>
        </w:rPr>
        <w:t>modèle interne de la Banque</w:t>
      </w:r>
      <w:r w:rsidR="00776DAD" w:rsidRPr="000B7739">
        <w:rPr>
          <w:lang w:val="fr-CA"/>
        </w:rPr>
        <w:t>,</w:t>
      </w:r>
      <w:r w:rsidR="00CF4ECA" w:rsidRPr="000B7739">
        <w:rPr>
          <w:lang w:val="fr-CA"/>
        </w:rPr>
        <w:t xml:space="preserve"> qui rep</w:t>
      </w:r>
      <w:r w:rsidR="00776DAD" w:rsidRPr="000B7739">
        <w:rPr>
          <w:lang w:val="fr-CA"/>
        </w:rPr>
        <w:t>ose sur le profil</w:t>
      </w:r>
      <w:r w:rsidR="00CF4ECA" w:rsidRPr="000B7739">
        <w:rPr>
          <w:lang w:val="fr-CA"/>
        </w:rPr>
        <w:t xml:space="preserve"> d</w:t>
      </w:r>
      <w:r w:rsidR="008542BE" w:rsidRPr="000B7739">
        <w:rPr>
          <w:lang w:val="fr-CA"/>
        </w:rPr>
        <w:t>e risque</w:t>
      </w:r>
      <w:r w:rsidR="000D7C7F" w:rsidRPr="000B7739">
        <w:rPr>
          <w:lang w:val="fr-CA"/>
        </w:rPr>
        <w:t xml:space="preserve"> prévu du S</w:t>
      </w:r>
      <w:r w:rsidR="00CF4ECA" w:rsidRPr="000B7739">
        <w:rPr>
          <w:lang w:val="fr-CA"/>
        </w:rPr>
        <w:t>wap, ainsi que</w:t>
      </w:r>
      <w:r w:rsidR="00B42DE1" w:rsidRPr="000B7739">
        <w:rPr>
          <w:lang w:val="fr-CA"/>
        </w:rPr>
        <w:t> </w:t>
      </w:r>
      <w:r w:rsidR="00CF4ECA" w:rsidRPr="000B7739">
        <w:rPr>
          <w:lang w:val="fr-CA"/>
        </w:rPr>
        <w:t>sur d</w:t>
      </w:r>
      <w:r w:rsidR="00564B0C" w:rsidRPr="000B7739">
        <w:rPr>
          <w:lang w:val="fr-CA"/>
        </w:rPr>
        <w:t>’</w:t>
      </w:r>
      <w:r w:rsidR="00CF4ECA" w:rsidRPr="000B7739">
        <w:rPr>
          <w:lang w:val="fr-CA"/>
        </w:rPr>
        <w:t>autres facteurs, tel</w:t>
      </w:r>
      <w:r w:rsidR="00776DAD" w:rsidRPr="000B7739">
        <w:rPr>
          <w:lang w:val="fr-CA"/>
        </w:rPr>
        <w:t>s</w:t>
      </w:r>
      <w:r w:rsidR="008542BE" w:rsidRPr="000B7739">
        <w:rPr>
          <w:lang w:val="fr-CA"/>
        </w:rPr>
        <w:t xml:space="preserve"> que la fluctuation et </w:t>
      </w:r>
      <w:r w:rsidR="00CF4ECA" w:rsidRPr="000B7739">
        <w:rPr>
          <w:lang w:val="fr-CA"/>
        </w:rPr>
        <w:t>la volatilité</w:t>
      </w:r>
      <w:r w:rsidR="008542BE" w:rsidRPr="000B7739">
        <w:rPr>
          <w:lang w:val="fr-CA"/>
        </w:rPr>
        <w:t xml:space="preserve"> des taux d</w:t>
      </w:r>
      <w:r w:rsidR="00564B0C" w:rsidRPr="000B7739">
        <w:rPr>
          <w:lang w:val="fr-CA"/>
        </w:rPr>
        <w:t>’</w:t>
      </w:r>
      <w:r w:rsidR="008542BE" w:rsidRPr="000B7739">
        <w:rPr>
          <w:lang w:val="fr-CA"/>
        </w:rPr>
        <w:t>intérêt</w:t>
      </w:r>
      <w:r w:rsidR="00CF4ECA" w:rsidRPr="000B7739">
        <w:rPr>
          <w:lang w:val="fr-CA"/>
        </w:rPr>
        <w:t xml:space="preserve">; </w:t>
      </w:r>
    </w:p>
    <w:p w14:paraId="7F613460" w14:textId="526A68C6" w:rsidR="009926E7" w:rsidRPr="000B7739" w:rsidRDefault="00052CB0" w:rsidP="000B7739">
      <w:pPr>
        <w:pStyle w:val="04LOLglNew3"/>
        <w:numPr>
          <w:ilvl w:val="2"/>
          <w:numId w:val="32"/>
        </w:numPr>
        <w:rPr>
          <w:lang w:val="fr-CA"/>
        </w:rPr>
      </w:pPr>
      <w:r w:rsidRPr="000B7739">
        <w:rPr>
          <w:lang w:val="fr-CA"/>
        </w:rPr>
        <w:lastRenderedPageBreak/>
        <w:t>l</w:t>
      </w:r>
      <w:r w:rsidR="00564B0C" w:rsidRPr="000B7739">
        <w:rPr>
          <w:lang w:val="fr-CA"/>
        </w:rPr>
        <w:t>’</w:t>
      </w:r>
      <w:r w:rsidR="00606145" w:rsidRPr="000B7739">
        <w:rPr>
          <w:lang w:val="fr-CA"/>
        </w:rPr>
        <w:t xml:space="preserve">intérêt </w:t>
      </w:r>
      <w:r w:rsidRPr="000B7739">
        <w:rPr>
          <w:lang w:val="fr-CA"/>
        </w:rPr>
        <w:t xml:space="preserve">payable </w:t>
      </w:r>
      <w:r w:rsidR="00606145" w:rsidRPr="000B7739">
        <w:rPr>
          <w:lang w:val="fr-CA"/>
        </w:rPr>
        <w:t>aux termes d</w:t>
      </w:r>
      <w:r w:rsidR="00564B0C" w:rsidRPr="000B7739">
        <w:rPr>
          <w:lang w:val="fr-CA"/>
        </w:rPr>
        <w:t>’</w:t>
      </w:r>
      <w:r w:rsidR="00606145" w:rsidRPr="000B7739">
        <w:rPr>
          <w:lang w:val="fr-CA"/>
        </w:rPr>
        <w:t xml:space="preserve">un </w:t>
      </w:r>
      <w:r w:rsidR="004F3809" w:rsidRPr="000B7739">
        <w:rPr>
          <w:lang w:val="fr-CA"/>
        </w:rPr>
        <w:t xml:space="preserve">contrat de </w:t>
      </w:r>
      <w:r w:rsidR="00606145" w:rsidRPr="000B7739">
        <w:rPr>
          <w:lang w:val="fr-CA"/>
        </w:rPr>
        <w:t>swap de taux d</w:t>
      </w:r>
      <w:r w:rsidR="00564B0C" w:rsidRPr="000B7739">
        <w:rPr>
          <w:lang w:val="fr-CA"/>
        </w:rPr>
        <w:t>’</w:t>
      </w:r>
      <w:r w:rsidR="00606145" w:rsidRPr="000B7739">
        <w:rPr>
          <w:lang w:val="fr-CA"/>
        </w:rPr>
        <w:t>intérêt doit être</w:t>
      </w:r>
      <w:r w:rsidR="004F3809" w:rsidRPr="000B7739">
        <w:rPr>
          <w:lang w:val="fr-CA"/>
        </w:rPr>
        <w:t xml:space="preserve"> </w:t>
      </w:r>
      <w:r w:rsidRPr="000B7739">
        <w:rPr>
          <w:lang w:val="fr-CA"/>
        </w:rPr>
        <w:t>versé sous forme d</w:t>
      </w:r>
      <w:r w:rsidR="00561311" w:rsidRPr="000B7739">
        <w:rPr>
          <w:lang w:val="fr-CA"/>
        </w:rPr>
        <w:t>e</w:t>
      </w:r>
      <w:r w:rsidR="00B42DE1" w:rsidRPr="000B7739">
        <w:rPr>
          <w:lang w:val="fr-CA"/>
        </w:rPr>
        <w:t> </w:t>
      </w:r>
      <w:r w:rsidR="00561311" w:rsidRPr="000B7739">
        <w:rPr>
          <w:lang w:val="fr-CA"/>
        </w:rPr>
        <w:t>paiement</w:t>
      </w:r>
      <w:r w:rsidR="00AC4107" w:rsidRPr="000B7739">
        <w:rPr>
          <w:lang w:val="fr-CA"/>
        </w:rPr>
        <w:t xml:space="preserve"> </w:t>
      </w:r>
      <w:r w:rsidRPr="000B7739">
        <w:rPr>
          <w:lang w:val="fr-CA"/>
        </w:rPr>
        <w:t>net</w:t>
      </w:r>
      <w:r w:rsidR="00606145" w:rsidRPr="000B7739">
        <w:rPr>
          <w:lang w:val="fr-CA"/>
        </w:rPr>
        <w:t>;</w:t>
      </w:r>
    </w:p>
    <w:p w14:paraId="0C50911C" w14:textId="2E4E4901" w:rsidR="00C20121" w:rsidRPr="000B7739" w:rsidRDefault="00606145" w:rsidP="000B7739">
      <w:pPr>
        <w:pStyle w:val="04LOLglNew3"/>
        <w:numPr>
          <w:ilvl w:val="2"/>
          <w:numId w:val="32"/>
        </w:numPr>
        <w:rPr>
          <w:lang w:val="fr-CA"/>
        </w:rPr>
      </w:pPr>
      <w:r w:rsidRPr="000B7739">
        <w:rPr>
          <w:lang w:val="fr-CA"/>
        </w:rPr>
        <w:t xml:space="preserve">la Facilité </w:t>
      </w:r>
      <w:r w:rsidR="00561311" w:rsidRPr="000B7739">
        <w:rPr>
          <w:lang w:val="fr-CA"/>
        </w:rPr>
        <w:t>relative au</w:t>
      </w:r>
      <w:r w:rsidRPr="000B7739">
        <w:rPr>
          <w:lang w:val="fr-CA"/>
        </w:rPr>
        <w:t xml:space="preserve"> swap cesse</w:t>
      </w:r>
      <w:r w:rsidR="0052551E" w:rsidRPr="000B7739">
        <w:rPr>
          <w:lang w:val="fr-CA"/>
        </w:rPr>
        <w:t xml:space="preserve"> </w:t>
      </w:r>
      <w:r w:rsidRPr="000B7739">
        <w:rPr>
          <w:lang w:val="fr-CA"/>
        </w:rPr>
        <w:t>d</w:t>
      </w:r>
      <w:r w:rsidR="00564B0C" w:rsidRPr="000B7739">
        <w:rPr>
          <w:lang w:val="fr-CA"/>
        </w:rPr>
        <w:t>’</w:t>
      </w:r>
      <w:r w:rsidRPr="000B7739">
        <w:rPr>
          <w:lang w:val="fr-CA"/>
        </w:rPr>
        <w:t xml:space="preserve">être disponible et </w:t>
      </w:r>
      <w:r w:rsidR="006D2E6C" w:rsidRPr="000B7739">
        <w:rPr>
          <w:lang w:val="fr-CA"/>
        </w:rPr>
        <w:t xml:space="preserve">est </w:t>
      </w:r>
      <w:r w:rsidRPr="000B7739">
        <w:rPr>
          <w:lang w:val="fr-CA"/>
        </w:rPr>
        <w:t>résiliée au moment où la Banque demande</w:t>
      </w:r>
      <w:r w:rsidR="00B42DE1" w:rsidRPr="000B7739">
        <w:rPr>
          <w:lang w:val="fr-CA"/>
        </w:rPr>
        <w:t> </w:t>
      </w:r>
      <w:r w:rsidRPr="000B7739">
        <w:rPr>
          <w:lang w:val="fr-CA"/>
        </w:rPr>
        <w:t>le remboursement des dettes contractées aux termes de</w:t>
      </w:r>
      <w:r w:rsidR="008542BE" w:rsidRPr="000B7739">
        <w:rPr>
          <w:lang w:val="fr-CA"/>
        </w:rPr>
        <w:t>s</w:t>
      </w:r>
      <w:r w:rsidR="00E921FA" w:rsidRPr="000B7739">
        <w:rPr>
          <w:lang w:val="fr-CA"/>
        </w:rPr>
        <w:t xml:space="preserve"> f</w:t>
      </w:r>
      <w:r w:rsidR="0052551E" w:rsidRPr="000B7739">
        <w:rPr>
          <w:lang w:val="fr-CA"/>
        </w:rPr>
        <w:t>acilités</w:t>
      </w:r>
      <w:r w:rsidRPr="000B7739">
        <w:rPr>
          <w:lang w:val="fr-CA"/>
        </w:rPr>
        <w:t xml:space="preserve"> de </w:t>
      </w:r>
      <w:r w:rsidR="00E921FA" w:rsidRPr="000B7739">
        <w:rPr>
          <w:lang w:val="fr-CA"/>
        </w:rPr>
        <w:t>prêt connexes qui</w:t>
      </w:r>
      <w:r w:rsidR="00B42DE1" w:rsidRPr="000B7739">
        <w:rPr>
          <w:lang w:val="fr-CA"/>
        </w:rPr>
        <w:t> </w:t>
      </w:r>
      <w:r w:rsidR="00E921FA" w:rsidRPr="000B7739">
        <w:rPr>
          <w:lang w:val="fr-CA"/>
        </w:rPr>
        <w:t>ont</w:t>
      </w:r>
      <w:r w:rsidR="00B42DE1" w:rsidRPr="000B7739">
        <w:rPr>
          <w:lang w:val="fr-CA"/>
        </w:rPr>
        <w:t> </w:t>
      </w:r>
      <w:r w:rsidR="00E921FA" w:rsidRPr="000B7739">
        <w:rPr>
          <w:lang w:val="fr-CA"/>
        </w:rPr>
        <w:t>été</w:t>
      </w:r>
      <w:r w:rsidR="00B42DE1" w:rsidRPr="000B7739">
        <w:rPr>
          <w:lang w:val="fr-CA"/>
        </w:rPr>
        <w:t> </w:t>
      </w:r>
      <w:r w:rsidR="00E921FA" w:rsidRPr="000B7739">
        <w:rPr>
          <w:lang w:val="fr-CA"/>
        </w:rPr>
        <w:t>couvertes</w:t>
      </w:r>
      <w:r w:rsidRPr="000B7739">
        <w:rPr>
          <w:lang w:val="fr-CA"/>
        </w:rPr>
        <w:t>;</w:t>
      </w:r>
    </w:p>
    <w:p w14:paraId="15BE4F5C" w14:textId="61073054" w:rsidR="009926E7" w:rsidRPr="000B7739" w:rsidRDefault="00606145" w:rsidP="000B7739">
      <w:pPr>
        <w:pStyle w:val="04LOLglNew3"/>
        <w:numPr>
          <w:ilvl w:val="2"/>
          <w:numId w:val="32"/>
        </w:numPr>
        <w:rPr>
          <w:lang w:val="fr-CA"/>
        </w:rPr>
      </w:pPr>
      <w:r w:rsidRPr="000B7739">
        <w:rPr>
          <w:lang w:val="fr-CA"/>
        </w:rPr>
        <w:t xml:space="preserve">la Banque doit avoir reçu tous les Documents de prêt, consentements, reconnaissances, avis, conventions et autres </w:t>
      </w:r>
      <w:r w:rsidR="006D2E6C" w:rsidRPr="000B7739">
        <w:rPr>
          <w:lang w:val="fr-CA"/>
        </w:rPr>
        <w:t xml:space="preserve">confirmations </w:t>
      </w:r>
      <w:r w:rsidR="00EF732A" w:rsidRPr="000B7739">
        <w:rPr>
          <w:lang w:val="fr-CA"/>
        </w:rPr>
        <w:t xml:space="preserve">ayant </w:t>
      </w:r>
      <w:r w:rsidRPr="000B7739">
        <w:rPr>
          <w:lang w:val="fr-CA"/>
        </w:rPr>
        <w:t>trait au swap de taux d</w:t>
      </w:r>
      <w:r w:rsidR="00564B0C" w:rsidRPr="000B7739">
        <w:rPr>
          <w:lang w:val="fr-CA"/>
        </w:rPr>
        <w:t>’</w:t>
      </w:r>
      <w:r w:rsidRPr="000B7739">
        <w:rPr>
          <w:lang w:val="fr-CA"/>
        </w:rPr>
        <w:t>intérêt en question qu</w:t>
      </w:r>
      <w:r w:rsidR="00564B0C" w:rsidRPr="000B7739">
        <w:rPr>
          <w:lang w:val="fr-CA"/>
        </w:rPr>
        <w:t>’</w:t>
      </w:r>
      <w:r w:rsidRPr="000B7739">
        <w:rPr>
          <w:lang w:val="fr-CA"/>
        </w:rPr>
        <w:t>elle</w:t>
      </w:r>
      <w:r w:rsidRPr="000B7739">
        <w:rPr>
          <w:lang w:val="fr-CA"/>
        </w:rPr>
        <w:noBreakHyphen/>
        <w:t xml:space="preserve">même ou ses </w:t>
      </w:r>
      <w:r w:rsidR="00097683" w:rsidRPr="000B7739">
        <w:rPr>
          <w:lang w:val="fr-CA"/>
        </w:rPr>
        <w:t xml:space="preserve">avocats </w:t>
      </w:r>
      <w:r w:rsidR="006D2E6C" w:rsidRPr="000B7739">
        <w:rPr>
          <w:lang w:val="fr-CA"/>
        </w:rPr>
        <w:t>pourraient avoir exigés</w:t>
      </w:r>
      <w:r w:rsidRPr="000B7739">
        <w:rPr>
          <w:lang w:val="fr-CA"/>
        </w:rPr>
        <w:t>;</w:t>
      </w:r>
    </w:p>
    <w:p w14:paraId="40F73D9C" w14:textId="087BDBE6" w:rsidR="009926E7" w:rsidRPr="000B7739" w:rsidRDefault="0052551E" w:rsidP="000B7739">
      <w:pPr>
        <w:pStyle w:val="04LOLglNew3"/>
        <w:numPr>
          <w:ilvl w:val="2"/>
          <w:numId w:val="32"/>
        </w:numPr>
        <w:rPr>
          <w:lang w:val="fr-CA"/>
        </w:rPr>
      </w:pPr>
      <w:r w:rsidRPr="000B7739">
        <w:rPr>
          <w:lang w:val="fr-CA"/>
        </w:rPr>
        <w:t>l</w:t>
      </w:r>
      <w:r w:rsidR="00EF732A" w:rsidRPr="000B7739">
        <w:rPr>
          <w:lang w:val="fr-CA"/>
        </w:rPr>
        <w:t>e</w:t>
      </w:r>
      <w:r w:rsidRPr="000B7739">
        <w:rPr>
          <w:lang w:val="fr-CA"/>
        </w:rPr>
        <w:t xml:space="preserve"> montant </w:t>
      </w:r>
      <w:r w:rsidR="00097683" w:rsidRPr="000B7739">
        <w:rPr>
          <w:lang w:val="fr-CA"/>
        </w:rPr>
        <w:t>nominal</w:t>
      </w:r>
      <w:r w:rsidRPr="000B7739">
        <w:rPr>
          <w:lang w:val="fr-CA"/>
        </w:rPr>
        <w:t xml:space="preserve"> utilisé </w:t>
      </w:r>
      <w:r w:rsidR="000118E5" w:rsidRPr="000B7739">
        <w:rPr>
          <w:lang w:val="fr-CA"/>
        </w:rPr>
        <w:t>de la Facilité relative au swap (que l</w:t>
      </w:r>
      <w:r w:rsidR="00564B0C" w:rsidRPr="000B7739">
        <w:rPr>
          <w:lang w:val="fr-CA"/>
        </w:rPr>
        <w:t>’</w:t>
      </w:r>
      <w:r w:rsidR="003306D9" w:rsidRPr="000B7739">
        <w:rPr>
          <w:lang w:val="fr-CA"/>
        </w:rPr>
        <w:t>Emprunteur</w:t>
      </w:r>
      <w:r w:rsidR="000118E5" w:rsidRPr="000B7739">
        <w:rPr>
          <w:lang w:val="fr-CA"/>
        </w:rPr>
        <w:t xml:space="preserve"> peut demander à</w:t>
      </w:r>
      <w:r w:rsidR="00B42DE1" w:rsidRPr="000B7739">
        <w:rPr>
          <w:lang w:val="fr-CA"/>
        </w:rPr>
        <w:t> </w:t>
      </w:r>
      <w:r w:rsidR="000118E5" w:rsidRPr="000B7739">
        <w:rPr>
          <w:lang w:val="fr-CA"/>
        </w:rPr>
        <w:t>la</w:t>
      </w:r>
      <w:r w:rsidR="00B42DE1" w:rsidRPr="000B7739">
        <w:rPr>
          <w:lang w:val="fr-CA"/>
        </w:rPr>
        <w:t> </w:t>
      </w:r>
      <w:r w:rsidR="000118E5" w:rsidRPr="000B7739">
        <w:rPr>
          <w:lang w:val="fr-CA"/>
        </w:rPr>
        <w:t xml:space="preserve">Banque) </w:t>
      </w:r>
      <w:r w:rsidRPr="000B7739">
        <w:rPr>
          <w:lang w:val="fr-CA"/>
        </w:rPr>
        <w:t>est réputé constituer une somme que l</w:t>
      </w:r>
      <w:r w:rsidR="00564B0C" w:rsidRPr="000B7739">
        <w:rPr>
          <w:lang w:val="fr-CA"/>
        </w:rPr>
        <w:t>’</w:t>
      </w:r>
      <w:r w:rsidRPr="000B7739">
        <w:rPr>
          <w:lang w:val="fr-CA"/>
        </w:rPr>
        <w:t>Emprunteur doit à la Banque et</w:t>
      </w:r>
      <w:r w:rsidR="00B42DE1" w:rsidRPr="000B7739">
        <w:rPr>
          <w:lang w:val="fr-CA"/>
        </w:rPr>
        <w:t> </w:t>
      </w:r>
      <w:r w:rsidRPr="000B7739">
        <w:rPr>
          <w:lang w:val="fr-CA"/>
        </w:rPr>
        <w:t>le</w:t>
      </w:r>
      <w:r w:rsidR="00B42DE1" w:rsidRPr="000B7739">
        <w:rPr>
          <w:lang w:val="fr-CA"/>
        </w:rPr>
        <w:t> </w:t>
      </w:r>
      <w:r w:rsidRPr="000B7739">
        <w:rPr>
          <w:lang w:val="fr-CA"/>
        </w:rPr>
        <w:t xml:space="preserve">remboursement de cette somme </w:t>
      </w:r>
      <w:r w:rsidR="00097683" w:rsidRPr="000B7739">
        <w:rPr>
          <w:lang w:val="fr-CA"/>
        </w:rPr>
        <w:t xml:space="preserve">à </w:t>
      </w:r>
      <w:r w:rsidR="00052CB0" w:rsidRPr="000B7739">
        <w:rPr>
          <w:lang w:val="fr-CA"/>
        </w:rPr>
        <w:t>l</w:t>
      </w:r>
      <w:r w:rsidR="00EF732A" w:rsidRPr="000B7739">
        <w:rPr>
          <w:lang w:val="fr-CA"/>
        </w:rPr>
        <w:t xml:space="preserve">a </w:t>
      </w:r>
      <w:r w:rsidRPr="000B7739">
        <w:rPr>
          <w:lang w:val="fr-CA"/>
        </w:rPr>
        <w:t>date d</w:t>
      </w:r>
      <w:r w:rsidR="00564B0C" w:rsidRPr="000B7739">
        <w:rPr>
          <w:lang w:val="fr-CA"/>
        </w:rPr>
        <w:t>’</w:t>
      </w:r>
      <w:r w:rsidRPr="000B7739">
        <w:rPr>
          <w:lang w:val="fr-CA"/>
        </w:rPr>
        <w:t>exigibilité doit être gar</w:t>
      </w:r>
      <w:r w:rsidR="00EF732A" w:rsidRPr="000B7739">
        <w:rPr>
          <w:lang w:val="fr-CA"/>
        </w:rPr>
        <w:t>a</w:t>
      </w:r>
      <w:r w:rsidRPr="000B7739">
        <w:rPr>
          <w:lang w:val="fr-CA"/>
        </w:rPr>
        <w:t>nti par les Documents de</w:t>
      </w:r>
      <w:r w:rsidR="00B42DE1" w:rsidRPr="000B7739">
        <w:rPr>
          <w:lang w:val="fr-CA"/>
        </w:rPr>
        <w:t> </w:t>
      </w:r>
      <w:r w:rsidRPr="000B7739">
        <w:rPr>
          <w:lang w:val="fr-CA"/>
        </w:rPr>
        <w:t>prêt.</w:t>
      </w:r>
    </w:p>
    <w:p w14:paraId="3C71D023" w14:textId="6632DE38" w:rsidR="00FA0093" w:rsidRPr="00B63BD5" w:rsidRDefault="000118E5" w:rsidP="009027EF">
      <w:pPr>
        <w:pStyle w:val="04LOLglNew1"/>
        <w:rPr>
          <w:rFonts w:ascii="Arial" w:hAnsi="Arial"/>
          <w:color w:val="00B0F0"/>
          <w:sz w:val="20"/>
          <w:szCs w:val="20"/>
          <w:lang w:val="fr-CA"/>
        </w:rPr>
      </w:pPr>
      <w:r w:rsidRPr="00B63BD5">
        <w:rPr>
          <w:rFonts w:ascii="Arial" w:hAnsi="Arial"/>
          <w:color w:val="00B0F0"/>
          <w:sz w:val="20"/>
          <w:szCs w:val="20"/>
          <w:lang w:val="fr-CA"/>
        </w:rPr>
        <w:t>[N.B.</w:t>
      </w:r>
      <w:r w:rsidR="00AC4107" w:rsidRPr="00B63BD5">
        <w:rPr>
          <w:rFonts w:ascii="Arial" w:hAnsi="Arial"/>
          <w:color w:val="00B0F0"/>
          <w:sz w:val="20"/>
          <w:szCs w:val="20"/>
          <w:lang w:val="fr-CA"/>
        </w:rPr>
        <w:t xml:space="preserve"> </w:t>
      </w:r>
      <w:r w:rsidRPr="00B63BD5">
        <w:rPr>
          <w:rFonts w:ascii="Arial" w:hAnsi="Arial"/>
          <w:color w:val="00B0F0"/>
          <w:sz w:val="20"/>
          <w:szCs w:val="20"/>
          <w:lang w:val="fr-CA"/>
        </w:rPr>
        <w:t>: SI UN CLIENT OBTIENT UNE APPROBATION RELATIVE À (1)</w:t>
      </w:r>
      <w:r w:rsidR="00AC4107" w:rsidRPr="00B63BD5">
        <w:rPr>
          <w:rFonts w:ascii="Arial" w:hAnsi="Arial"/>
          <w:color w:val="00B0F0"/>
          <w:sz w:val="20"/>
          <w:szCs w:val="20"/>
          <w:lang w:val="fr-CA"/>
        </w:rPr>
        <w:t xml:space="preserve"> </w:t>
      </w:r>
      <w:r w:rsidR="00AB4F5A" w:rsidRPr="00B63BD5">
        <w:rPr>
          <w:rFonts w:ascii="Arial" w:hAnsi="Arial"/>
          <w:color w:val="00B0F0"/>
          <w:sz w:val="20"/>
          <w:szCs w:val="20"/>
          <w:lang w:val="fr-CA"/>
        </w:rPr>
        <w:t xml:space="preserve">UNE FACILITÉ DE </w:t>
      </w:r>
      <w:r w:rsidR="005F6954" w:rsidRPr="00B63BD5">
        <w:rPr>
          <w:rFonts w:ascii="Arial" w:hAnsi="Arial"/>
          <w:color w:val="00B0F0"/>
          <w:sz w:val="20"/>
          <w:szCs w:val="20"/>
          <w:lang w:val="fr-CA"/>
        </w:rPr>
        <w:t>PRÊT À</w:t>
      </w:r>
      <w:r w:rsidR="00363F9D" w:rsidRPr="00B63BD5">
        <w:rPr>
          <w:rFonts w:ascii="Arial" w:hAnsi="Arial"/>
          <w:color w:val="00B0F0"/>
          <w:sz w:val="20"/>
          <w:szCs w:val="20"/>
          <w:lang w:val="fr-CA"/>
        </w:rPr>
        <w:t> </w:t>
      </w:r>
      <w:r w:rsidR="00AB4F5A" w:rsidRPr="00B63BD5">
        <w:rPr>
          <w:rFonts w:ascii="Arial" w:hAnsi="Arial"/>
          <w:color w:val="00B0F0"/>
          <w:sz w:val="20"/>
          <w:szCs w:val="20"/>
          <w:lang w:val="fr-CA"/>
        </w:rPr>
        <w:t>L</w:t>
      </w:r>
      <w:r w:rsidR="00564B0C" w:rsidRPr="00B63BD5">
        <w:rPr>
          <w:rFonts w:ascii="Arial" w:hAnsi="Arial"/>
          <w:color w:val="00B0F0"/>
          <w:sz w:val="20"/>
          <w:szCs w:val="20"/>
          <w:lang w:val="fr-CA"/>
        </w:rPr>
        <w:t>’</w:t>
      </w:r>
      <w:r w:rsidR="00AB4F5A" w:rsidRPr="00B63BD5">
        <w:rPr>
          <w:rFonts w:ascii="Arial" w:hAnsi="Arial"/>
          <w:color w:val="00B0F0"/>
          <w:sz w:val="20"/>
          <w:szCs w:val="20"/>
          <w:lang w:val="fr-CA"/>
        </w:rPr>
        <w:t>ACHETEUR AVANT EXPÉDITION</w:t>
      </w:r>
      <w:r w:rsidR="00AC4107" w:rsidRPr="00B63BD5">
        <w:rPr>
          <w:rFonts w:ascii="Arial" w:hAnsi="Arial"/>
          <w:color w:val="00B0F0"/>
          <w:sz w:val="20"/>
          <w:szCs w:val="20"/>
          <w:lang w:val="fr-CA"/>
        </w:rPr>
        <w:t xml:space="preserve"> </w:t>
      </w:r>
      <w:r w:rsidR="00AB4F5A" w:rsidRPr="00B63BD5">
        <w:rPr>
          <w:rFonts w:ascii="Arial" w:hAnsi="Arial"/>
          <w:color w:val="00B0F0"/>
          <w:sz w:val="20"/>
          <w:szCs w:val="20"/>
          <w:lang w:val="fr-CA"/>
        </w:rPr>
        <w:t xml:space="preserve">; (2) UNE FACILITÉ DE </w:t>
      </w:r>
      <w:r w:rsidR="005F6954" w:rsidRPr="00B63BD5">
        <w:rPr>
          <w:rFonts w:ascii="Arial" w:hAnsi="Arial"/>
          <w:color w:val="00B0F0"/>
          <w:sz w:val="20"/>
          <w:szCs w:val="20"/>
          <w:lang w:val="fr-CA"/>
        </w:rPr>
        <w:t>PRÊT À</w:t>
      </w:r>
      <w:r w:rsidR="00AB4F5A" w:rsidRPr="00B63BD5">
        <w:rPr>
          <w:rFonts w:ascii="Arial" w:hAnsi="Arial"/>
          <w:color w:val="00B0F0"/>
          <w:sz w:val="20"/>
          <w:szCs w:val="20"/>
          <w:lang w:val="fr-CA"/>
        </w:rPr>
        <w:t xml:space="preserve"> L</w:t>
      </w:r>
      <w:r w:rsidR="00564B0C" w:rsidRPr="00B63BD5">
        <w:rPr>
          <w:rFonts w:ascii="Arial" w:hAnsi="Arial"/>
          <w:color w:val="00B0F0"/>
          <w:sz w:val="20"/>
          <w:szCs w:val="20"/>
          <w:lang w:val="fr-CA"/>
        </w:rPr>
        <w:t>’</w:t>
      </w:r>
      <w:r w:rsidR="00AB4F5A" w:rsidRPr="00B63BD5">
        <w:rPr>
          <w:rFonts w:ascii="Arial" w:hAnsi="Arial"/>
          <w:color w:val="00B0F0"/>
          <w:sz w:val="20"/>
          <w:szCs w:val="20"/>
          <w:lang w:val="fr-CA"/>
        </w:rPr>
        <w:t>ACHETEUR APRÈS EXPÉDITION</w:t>
      </w:r>
      <w:r w:rsidR="00AC4107" w:rsidRPr="00B63BD5">
        <w:rPr>
          <w:rFonts w:ascii="Arial" w:hAnsi="Arial"/>
          <w:color w:val="00B0F0"/>
          <w:sz w:val="20"/>
          <w:szCs w:val="20"/>
          <w:lang w:val="fr-CA"/>
        </w:rPr>
        <w:t xml:space="preserve"> </w:t>
      </w:r>
      <w:r w:rsidR="00AB4F5A" w:rsidRPr="00B63BD5">
        <w:rPr>
          <w:rFonts w:ascii="Arial" w:hAnsi="Arial"/>
          <w:color w:val="00B0F0"/>
          <w:sz w:val="20"/>
          <w:szCs w:val="20"/>
          <w:lang w:val="fr-CA"/>
        </w:rPr>
        <w:t>; (3) UNE FACILITÉ D</w:t>
      </w:r>
      <w:r w:rsidR="00564B0C" w:rsidRPr="00B63BD5">
        <w:rPr>
          <w:rFonts w:ascii="Arial" w:hAnsi="Arial"/>
          <w:color w:val="00B0F0"/>
          <w:sz w:val="20"/>
          <w:szCs w:val="20"/>
          <w:lang w:val="fr-CA"/>
        </w:rPr>
        <w:t>’</w:t>
      </w:r>
      <w:r w:rsidR="00AB4F5A" w:rsidRPr="00B63BD5">
        <w:rPr>
          <w:rFonts w:ascii="Arial" w:hAnsi="Arial"/>
          <w:color w:val="00B0F0"/>
          <w:sz w:val="20"/>
          <w:szCs w:val="20"/>
          <w:lang w:val="fr-CA"/>
        </w:rPr>
        <w:t xml:space="preserve">ESCOMPTE </w:t>
      </w:r>
      <w:r w:rsidR="005F6954" w:rsidRPr="00B63BD5">
        <w:rPr>
          <w:rFonts w:ascii="Arial" w:hAnsi="Arial"/>
          <w:color w:val="00B0F0"/>
          <w:sz w:val="20"/>
          <w:szCs w:val="20"/>
          <w:lang w:val="fr-CA"/>
        </w:rPr>
        <w:t>D</w:t>
      </w:r>
      <w:r w:rsidR="00564B0C" w:rsidRPr="00B63BD5">
        <w:rPr>
          <w:rFonts w:ascii="Arial" w:hAnsi="Arial"/>
          <w:color w:val="00B0F0"/>
          <w:sz w:val="20"/>
          <w:szCs w:val="20"/>
          <w:lang w:val="fr-CA"/>
        </w:rPr>
        <w:t>’</w:t>
      </w:r>
      <w:r w:rsidR="005F6954" w:rsidRPr="00B63BD5">
        <w:rPr>
          <w:rFonts w:ascii="Arial" w:hAnsi="Arial"/>
          <w:color w:val="00B0F0"/>
          <w:sz w:val="20"/>
          <w:szCs w:val="20"/>
          <w:lang w:val="fr-CA"/>
        </w:rPr>
        <w:t>EFFET DE COMMERCE</w:t>
      </w:r>
      <w:r w:rsidR="00AB4F5A" w:rsidRPr="00B63BD5">
        <w:rPr>
          <w:rFonts w:ascii="Arial" w:hAnsi="Arial"/>
          <w:color w:val="00B0F0"/>
          <w:sz w:val="20"/>
          <w:szCs w:val="20"/>
          <w:lang w:val="fr-CA"/>
        </w:rPr>
        <w:t xml:space="preserve"> OU DE TRAITE (AVEC</w:t>
      </w:r>
      <w:r w:rsidR="00363F9D" w:rsidRPr="00B63BD5">
        <w:rPr>
          <w:rFonts w:ascii="Arial" w:hAnsi="Arial"/>
          <w:color w:val="00B0F0"/>
          <w:sz w:val="20"/>
          <w:szCs w:val="20"/>
          <w:lang w:val="fr-CA"/>
        </w:rPr>
        <w:t> </w:t>
      </w:r>
      <w:r w:rsidR="00AB4F5A" w:rsidRPr="00B63BD5">
        <w:rPr>
          <w:rFonts w:ascii="Arial" w:hAnsi="Arial"/>
          <w:color w:val="00B0F0"/>
          <w:sz w:val="20"/>
          <w:szCs w:val="20"/>
          <w:lang w:val="fr-CA"/>
        </w:rPr>
        <w:t>RECOURS); (4)</w:t>
      </w:r>
      <w:r w:rsidR="00AC4107" w:rsidRPr="00B63BD5">
        <w:rPr>
          <w:rFonts w:ascii="Arial" w:hAnsi="Arial"/>
          <w:color w:val="00B0F0"/>
          <w:sz w:val="20"/>
          <w:szCs w:val="20"/>
          <w:lang w:val="fr-CA"/>
        </w:rPr>
        <w:t xml:space="preserve"> </w:t>
      </w:r>
      <w:r w:rsidR="00AB4F5A" w:rsidRPr="00B63BD5">
        <w:rPr>
          <w:rFonts w:ascii="Arial" w:hAnsi="Arial"/>
          <w:color w:val="00B0F0"/>
          <w:sz w:val="20"/>
          <w:szCs w:val="20"/>
          <w:lang w:val="fr-CA"/>
        </w:rPr>
        <w:t xml:space="preserve">UNE FACILITÉ DE </w:t>
      </w:r>
      <w:r w:rsidR="005F6954" w:rsidRPr="00B63BD5">
        <w:rPr>
          <w:rFonts w:ascii="Arial" w:hAnsi="Arial"/>
          <w:color w:val="00B0F0"/>
          <w:sz w:val="20"/>
          <w:szCs w:val="20"/>
          <w:lang w:val="fr-CA"/>
        </w:rPr>
        <w:t>PRÊT AU</w:t>
      </w:r>
      <w:r w:rsidR="00AB4F5A" w:rsidRPr="00B63BD5">
        <w:rPr>
          <w:rFonts w:ascii="Arial" w:hAnsi="Arial"/>
          <w:color w:val="00B0F0"/>
          <w:sz w:val="20"/>
          <w:szCs w:val="20"/>
          <w:lang w:val="fr-CA"/>
        </w:rPr>
        <w:t xml:space="preserve"> VENDEUR AVANT EXPÉDITION</w:t>
      </w:r>
      <w:r w:rsidR="00AC4107" w:rsidRPr="00B63BD5">
        <w:rPr>
          <w:rFonts w:ascii="Arial" w:hAnsi="Arial"/>
          <w:color w:val="00B0F0"/>
          <w:sz w:val="20"/>
          <w:szCs w:val="20"/>
          <w:lang w:val="fr-CA"/>
        </w:rPr>
        <w:t xml:space="preserve"> </w:t>
      </w:r>
      <w:r w:rsidR="00AB4F5A" w:rsidRPr="00B63BD5">
        <w:rPr>
          <w:rFonts w:ascii="Arial" w:hAnsi="Arial"/>
          <w:color w:val="00B0F0"/>
          <w:sz w:val="20"/>
          <w:szCs w:val="20"/>
          <w:lang w:val="fr-CA"/>
        </w:rPr>
        <w:t>; OU</w:t>
      </w:r>
      <w:r w:rsidR="00B42DE1" w:rsidRPr="00B63BD5">
        <w:rPr>
          <w:rFonts w:ascii="Arial" w:hAnsi="Arial"/>
          <w:color w:val="00B0F0"/>
          <w:sz w:val="20"/>
          <w:szCs w:val="20"/>
          <w:lang w:val="fr-CA"/>
        </w:rPr>
        <w:t> </w:t>
      </w:r>
      <w:r w:rsidR="00AB4F5A" w:rsidRPr="00B63BD5">
        <w:rPr>
          <w:rFonts w:ascii="Arial" w:hAnsi="Arial"/>
          <w:color w:val="00B0F0"/>
          <w:sz w:val="20"/>
          <w:szCs w:val="20"/>
          <w:lang w:val="fr-CA"/>
        </w:rPr>
        <w:t>(5)</w:t>
      </w:r>
      <w:r w:rsidR="00B42DE1" w:rsidRPr="00B63BD5">
        <w:rPr>
          <w:rFonts w:ascii="Arial" w:hAnsi="Arial"/>
          <w:color w:val="00B0F0"/>
          <w:sz w:val="20"/>
          <w:szCs w:val="20"/>
          <w:lang w:val="fr-CA"/>
        </w:rPr>
        <w:t> </w:t>
      </w:r>
      <w:r w:rsidR="00AB4F5A" w:rsidRPr="00B63BD5">
        <w:rPr>
          <w:rFonts w:ascii="Arial" w:hAnsi="Arial"/>
          <w:color w:val="00B0F0"/>
          <w:sz w:val="20"/>
          <w:szCs w:val="20"/>
          <w:lang w:val="fr-CA"/>
        </w:rPr>
        <w:t xml:space="preserve">UNE FACILITÉ DE </w:t>
      </w:r>
      <w:r w:rsidR="005F6954" w:rsidRPr="00B63BD5">
        <w:rPr>
          <w:rFonts w:ascii="Arial" w:hAnsi="Arial"/>
          <w:color w:val="00B0F0"/>
          <w:sz w:val="20"/>
          <w:szCs w:val="20"/>
          <w:lang w:val="fr-CA"/>
        </w:rPr>
        <w:t xml:space="preserve">PRÊT AU </w:t>
      </w:r>
      <w:r w:rsidR="00AB4F5A" w:rsidRPr="00B63BD5">
        <w:rPr>
          <w:rFonts w:ascii="Arial" w:hAnsi="Arial"/>
          <w:color w:val="00B0F0"/>
          <w:sz w:val="20"/>
          <w:szCs w:val="20"/>
          <w:lang w:val="fr-CA"/>
        </w:rPr>
        <w:t xml:space="preserve">VENDEUR APRÈS EXPÉDITION </w:t>
      </w:r>
      <w:r w:rsidRPr="00B63BD5">
        <w:rPr>
          <w:rFonts w:ascii="Arial" w:hAnsi="Arial"/>
          <w:color w:val="00B0F0"/>
          <w:sz w:val="20"/>
          <w:szCs w:val="20"/>
          <w:lang w:val="fr-CA"/>
        </w:rPr>
        <w:t>VEUILLEZ COPIER ET</w:t>
      </w:r>
      <w:r w:rsidR="00B42DE1" w:rsidRPr="00B63BD5">
        <w:rPr>
          <w:rFonts w:ascii="Arial" w:hAnsi="Arial"/>
          <w:color w:val="00B0F0"/>
          <w:sz w:val="20"/>
          <w:szCs w:val="20"/>
          <w:lang w:val="fr-CA"/>
        </w:rPr>
        <w:t> </w:t>
      </w:r>
      <w:r w:rsidRPr="00B63BD5">
        <w:rPr>
          <w:rFonts w:ascii="Arial" w:hAnsi="Arial"/>
          <w:color w:val="00B0F0"/>
          <w:sz w:val="20"/>
          <w:szCs w:val="20"/>
          <w:lang w:val="fr-CA"/>
        </w:rPr>
        <w:t xml:space="preserve">COLLER </w:t>
      </w:r>
      <w:r w:rsidR="00DA0F8B" w:rsidRPr="00B63BD5">
        <w:rPr>
          <w:rFonts w:ascii="Arial" w:hAnsi="Arial"/>
          <w:color w:val="00B0F0"/>
          <w:sz w:val="20"/>
          <w:szCs w:val="20"/>
          <w:lang w:val="fr-CA"/>
        </w:rPr>
        <w:t>LE LIBELLÉ</w:t>
      </w:r>
      <w:r w:rsidRPr="00B63BD5">
        <w:rPr>
          <w:rFonts w:ascii="Arial" w:hAnsi="Arial"/>
          <w:color w:val="00B0F0"/>
          <w:sz w:val="20"/>
          <w:szCs w:val="20"/>
          <w:lang w:val="fr-CA"/>
        </w:rPr>
        <w:t xml:space="preserve"> DU SUPPLÉMENT RELATIF AU </w:t>
      </w:r>
      <w:r w:rsidR="005F6954" w:rsidRPr="00B63BD5">
        <w:rPr>
          <w:rFonts w:ascii="Arial" w:hAnsi="Arial"/>
          <w:color w:val="00B0F0"/>
          <w:sz w:val="20"/>
          <w:szCs w:val="20"/>
          <w:lang w:val="fr-CA"/>
        </w:rPr>
        <w:t xml:space="preserve">COMMERCE </w:t>
      </w:r>
      <w:r w:rsidR="00656C45" w:rsidRPr="00B63BD5">
        <w:rPr>
          <w:rFonts w:ascii="Arial" w:hAnsi="Arial"/>
          <w:color w:val="00B0F0"/>
          <w:sz w:val="20"/>
          <w:szCs w:val="20"/>
          <w:lang w:val="fr-CA"/>
        </w:rPr>
        <w:t xml:space="preserve">INTERNATIONAL </w:t>
      </w:r>
      <w:r w:rsidRPr="00B63BD5">
        <w:rPr>
          <w:rFonts w:ascii="Arial" w:hAnsi="Arial"/>
          <w:color w:val="00B0F0"/>
          <w:sz w:val="20"/>
          <w:szCs w:val="20"/>
          <w:lang w:val="fr-CA"/>
        </w:rPr>
        <w:t>ET</w:t>
      </w:r>
      <w:r w:rsidR="00B42DE1" w:rsidRPr="00B63BD5">
        <w:rPr>
          <w:rFonts w:ascii="Arial" w:hAnsi="Arial"/>
          <w:color w:val="00B0F0"/>
          <w:sz w:val="20"/>
          <w:szCs w:val="20"/>
          <w:lang w:val="fr-CA"/>
        </w:rPr>
        <w:t> </w:t>
      </w:r>
      <w:r w:rsidR="005F6954" w:rsidRPr="00B63BD5">
        <w:rPr>
          <w:rFonts w:ascii="Arial" w:hAnsi="Arial"/>
          <w:color w:val="00B0F0"/>
          <w:sz w:val="20"/>
          <w:szCs w:val="20"/>
          <w:lang w:val="fr-CA"/>
        </w:rPr>
        <w:t xml:space="preserve">FINANCEMENT </w:t>
      </w:r>
      <w:r w:rsidRPr="00B63BD5">
        <w:rPr>
          <w:rFonts w:ascii="Arial" w:hAnsi="Arial"/>
          <w:color w:val="00B0F0"/>
          <w:sz w:val="20"/>
          <w:szCs w:val="20"/>
          <w:lang w:val="fr-CA"/>
        </w:rPr>
        <w:t xml:space="preserve">DES </w:t>
      </w:r>
      <w:r w:rsidR="00656C45" w:rsidRPr="00B63BD5">
        <w:rPr>
          <w:rFonts w:ascii="Arial" w:hAnsi="Arial"/>
          <w:color w:val="00B0F0"/>
          <w:sz w:val="20"/>
          <w:szCs w:val="20"/>
          <w:lang w:val="fr-CA"/>
        </w:rPr>
        <w:t xml:space="preserve">COMPTES </w:t>
      </w:r>
      <w:r w:rsidR="005F6954" w:rsidRPr="00B63BD5">
        <w:rPr>
          <w:rFonts w:ascii="Arial" w:hAnsi="Arial"/>
          <w:color w:val="00B0F0"/>
          <w:sz w:val="20"/>
          <w:szCs w:val="20"/>
          <w:lang w:val="fr-CA"/>
        </w:rPr>
        <w:t>CLIENTS</w:t>
      </w:r>
      <w:r w:rsidRPr="00B63BD5">
        <w:rPr>
          <w:rFonts w:ascii="Arial" w:hAnsi="Arial"/>
          <w:color w:val="00B0F0"/>
          <w:sz w:val="20"/>
          <w:szCs w:val="20"/>
          <w:lang w:val="fr-CA"/>
        </w:rPr>
        <w:t xml:space="preserve"> </w:t>
      </w:r>
      <w:r w:rsidR="00375163" w:rsidRPr="00B63BD5">
        <w:rPr>
          <w:rFonts w:ascii="Arial" w:hAnsi="Arial"/>
          <w:color w:val="00B0F0"/>
          <w:sz w:val="20"/>
          <w:szCs w:val="20"/>
          <w:lang w:val="fr-CA"/>
        </w:rPr>
        <w:t>(formulaire</w:t>
      </w:r>
      <w:r w:rsidR="00AC4107" w:rsidRPr="00B63BD5">
        <w:rPr>
          <w:rFonts w:ascii="Arial" w:hAnsi="Arial"/>
          <w:color w:val="00B0F0"/>
          <w:sz w:val="20"/>
          <w:szCs w:val="20"/>
          <w:lang w:val="fr-CA"/>
        </w:rPr>
        <w:t xml:space="preserve"> </w:t>
      </w:r>
      <w:r w:rsidR="00375163" w:rsidRPr="00B63BD5">
        <w:rPr>
          <w:rFonts w:ascii="Arial" w:hAnsi="Arial"/>
          <w:color w:val="00B0F0"/>
          <w:sz w:val="20"/>
          <w:szCs w:val="20"/>
          <w:lang w:val="fr-CA"/>
        </w:rPr>
        <w:t xml:space="preserve">825-0009-FR) </w:t>
      </w:r>
      <w:r w:rsidRPr="00B63BD5">
        <w:rPr>
          <w:rFonts w:ascii="Arial" w:hAnsi="Arial"/>
          <w:color w:val="00B0F0"/>
          <w:sz w:val="20"/>
          <w:szCs w:val="20"/>
          <w:lang w:val="fr-CA"/>
        </w:rPr>
        <w:t>ICI. SINON, SUPPRIMER LA PRÉSENTE NOTE.]</w:t>
      </w:r>
    </w:p>
    <w:p w14:paraId="6535A873" w14:textId="1361D35E" w:rsidR="009926E7" w:rsidRPr="00B63BD5" w:rsidRDefault="005E1D64" w:rsidP="009027EF">
      <w:pPr>
        <w:pStyle w:val="04LOLglNew1"/>
        <w:rPr>
          <w:lang w:val="fr-CA"/>
        </w:rPr>
      </w:pPr>
      <w:bookmarkStart w:id="6" w:name="_Hlk92788713"/>
      <w:r w:rsidRPr="00B63BD5">
        <w:rPr>
          <w:lang w:val="fr-CA"/>
        </w:rPr>
        <w:t>Exigence</w:t>
      </w:r>
      <w:r w:rsidR="00DF30B3" w:rsidRPr="00B63BD5">
        <w:rPr>
          <w:lang w:val="fr-CA"/>
        </w:rPr>
        <w:t>s</w:t>
      </w:r>
      <w:r w:rsidRPr="00B63BD5">
        <w:rPr>
          <w:lang w:val="fr-CA"/>
        </w:rPr>
        <w:t xml:space="preserve"> </w:t>
      </w:r>
      <w:r w:rsidR="006E27E9" w:rsidRPr="00B63BD5">
        <w:rPr>
          <w:lang w:val="fr-CA"/>
        </w:rPr>
        <w:t xml:space="preserve">relatives à la </w:t>
      </w:r>
      <w:r w:rsidRPr="00B63BD5">
        <w:rPr>
          <w:lang w:val="fr-CA"/>
        </w:rPr>
        <w:t>marge</w:t>
      </w:r>
    </w:p>
    <w:bookmarkEnd w:id="6"/>
    <w:p w14:paraId="568C3033" w14:textId="3E93D669" w:rsidR="00DD35DB" w:rsidRPr="00B63BD5" w:rsidRDefault="00DD35DB" w:rsidP="00632863">
      <w:pPr>
        <w:keepNext/>
        <w:spacing w:after="240"/>
        <w:jc w:val="both"/>
        <w:rPr>
          <w:b/>
          <w:color w:val="00B0F0"/>
          <w:lang w:val="fr-CA"/>
        </w:rPr>
      </w:pPr>
      <w:r w:rsidRPr="00B63BD5">
        <w:rPr>
          <w:b/>
          <w:color w:val="00B0F0"/>
          <w:lang w:val="fr-CA"/>
        </w:rPr>
        <w:t>[</w:t>
      </w:r>
      <w:r w:rsidR="00EC3CB5" w:rsidRPr="00B63BD5">
        <w:rPr>
          <w:b/>
          <w:color w:val="00B0F0"/>
          <w:lang w:val="fr-CA"/>
        </w:rPr>
        <w:t>N.B. :</w:t>
      </w:r>
      <w:r w:rsidR="002A75EF" w:rsidRPr="00B63BD5">
        <w:rPr>
          <w:b/>
          <w:color w:val="00B0F0"/>
          <w:lang w:val="fr-CA"/>
        </w:rPr>
        <w:t xml:space="preserve"> Les exigences relatives à la marge d</w:t>
      </w:r>
      <w:r w:rsidR="008542BE" w:rsidRPr="00B63BD5">
        <w:rPr>
          <w:b/>
          <w:color w:val="00B0F0"/>
          <w:lang w:val="fr-CA"/>
        </w:rPr>
        <w:t>oi</w:t>
      </w:r>
      <w:r w:rsidR="002A75EF" w:rsidRPr="00B63BD5">
        <w:rPr>
          <w:b/>
          <w:color w:val="00B0F0"/>
          <w:lang w:val="fr-CA"/>
        </w:rPr>
        <w:t>vent correspondre</w:t>
      </w:r>
      <w:r w:rsidR="00656C45" w:rsidRPr="00B63BD5">
        <w:rPr>
          <w:b/>
          <w:color w:val="00B0F0"/>
          <w:lang w:val="fr-CA"/>
        </w:rPr>
        <w:t xml:space="preserve"> à celles qui sont prévues dans</w:t>
      </w:r>
      <w:r w:rsidR="00977B95" w:rsidRPr="00B63BD5">
        <w:rPr>
          <w:b/>
          <w:color w:val="00B0F0"/>
          <w:lang w:val="fr-CA"/>
        </w:rPr>
        <w:t> </w:t>
      </w:r>
      <w:r w:rsidR="00043876" w:rsidRPr="00B63BD5">
        <w:rPr>
          <w:b/>
          <w:color w:val="00B0F0"/>
          <w:lang w:val="fr-CA"/>
        </w:rPr>
        <w:t>la</w:t>
      </w:r>
      <w:r w:rsidR="00977B95" w:rsidRPr="00B63BD5">
        <w:rPr>
          <w:b/>
          <w:color w:val="00B0F0"/>
          <w:lang w:val="fr-CA"/>
        </w:rPr>
        <w:t> </w:t>
      </w:r>
      <w:r w:rsidR="00043876" w:rsidRPr="00B63BD5">
        <w:rPr>
          <w:b/>
          <w:color w:val="00B0F0"/>
          <w:lang w:val="fr-CA"/>
        </w:rPr>
        <w:t>feuille de conditions approuvée</w:t>
      </w:r>
      <w:r w:rsidR="005E1D64" w:rsidRPr="00B63BD5">
        <w:rPr>
          <w:b/>
          <w:color w:val="00B0F0"/>
          <w:lang w:val="fr-CA"/>
        </w:rPr>
        <w:t xml:space="preserve">. </w:t>
      </w:r>
      <w:r w:rsidR="008542BE" w:rsidRPr="00B63BD5">
        <w:rPr>
          <w:b/>
          <w:color w:val="00B0F0"/>
          <w:lang w:val="fr-CA"/>
        </w:rPr>
        <w:t>La personnalisation</w:t>
      </w:r>
      <w:r w:rsidR="002A75EF" w:rsidRPr="00B63BD5">
        <w:rPr>
          <w:b/>
          <w:color w:val="00B0F0"/>
          <w:lang w:val="fr-CA"/>
        </w:rPr>
        <w:t xml:space="preserve"> des définitions</w:t>
      </w:r>
      <w:r w:rsidR="008542BE" w:rsidRPr="00B63BD5">
        <w:rPr>
          <w:b/>
          <w:color w:val="00B0F0"/>
          <w:lang w:val="fr-CA"/>
        </w:rPr>
        <w:t>, le cas échéant, doit</w:t>
      </w:r>
      <w:r w:rsidR="00977B95" w:rsidRPr="00B63BD5">
        <w:rPr>
          <w:b/>
          <w:color w:val="00B0F0"/>
          <w:lang w:val="fr-CA"/>
        </w:rPr>
        <w:t> </w:t>
      </w:r>
      <w:r w:rsidR="002A75EF" w:rsidRPr="00B63BD5">
        <w:rPr>
          <w:b/>
          <w:color w:val="00B0F0"/>
          <w:lang w:val="fr-CA"/>
        </w:rPr>
        <w:t>être effectuée à</w:t>
      </w:r>
      <w:r w:rsidR="00363F9D" w:rsidRPr="00B63BD5">
        <w:rPr>
          <w:b/>
          <w:color w:val="00B0F0"/>
          <w:lang w:val="fr-CA"/>
        </w:rPr>
        <w:t> </w:t>
      </w:r>
      <w:r w:rsidR="002A75EF" w:rsidRPr="00B63BD5">
        <w:rPr>
          <w:b/>
          <w:color w:val="00B0F0"/>
          <w:lang w:val="fr-CA"/>
        </w:rPr>
        <w:t>l</w:t>
      </w:r>
      <w:r w:rsidR="00564B0C" w:rsidRPr="00B63BD5">
        <w:rPr>
          <w:b/>
          <w:color w:val="00B0F0"/>
          <w:lang w:val="fr-CA"/>
        </w:rPr>
        <w:t>’</w:t>
      </w:r>
      <w:r w:rsidR="002A75EF" w:rsidRPr="00B63BD5">
        <w:rPr>
          <w:b/>
          <w:color w:val="00B0F0"/>
          <w:lang w:val="fr-CA"/>
        </w:rPr>
        <w:t>Annexe</w:t>
      </w:r>
      <w:r w:rsidR="00AC4107" w:rsidRPr="00B63BD5">
        <w:rPr>
          <w:b/>
          <w:color w:val="00B0F0"/>
          <w:lang w:val="fr-CA"/>
        </w:rPr>
        <w:t xml:space="preserve"> </w:t>
      </w:r>
      <w:r w:rsidR="002A75EF" w:rsidRPr="00B63BD5">
        <w:rPr>
          <w:b/>
          <w:color w:val="00B0F0"/>
          <w:lang w:val="fr-CA"/>
        </w:rPr>
        <w:t xml:space="preserve">A. </w:t>
      </w:r>
      <w:r w:rsidR="008542BE" w:rsidRPr="00B63BD5">
        <w:rPr>
          <w:b/>
          <w:color w:val="00B0F0"/>
          <w:lang w:val="fr-CA"/>
        </w:rPr>
        <w:t>À n</w:t>
      </w:r>
      <w:r w:rsidR="002A75EF" w:rsidRPr="00B63BD5">
        <w:rPr>
          <w:b/>
          <w:color w:val="00B0F0"/>
          <w:lang w:val="fr-CA"/>
        </w:rPr>
        <w:t xml:space="preserve">oter que les </w:t>
      </w:r>
      <w:r w:rsidR="00B85F79" w:rsidRPr="00B63BD5">
        <w:rPr>
          <w:b/>
          <w:color w:val="00B0F0"/>
          <w:lang w:val="fr-CA"/>
        </w:rPr>
        <w:t>clients principaux de l</w:t>
      </w:r>
      <w:r w:rsidR="00564B0C" w:rsidRPr="00B63BD5">
        <w:rPr>
          <w:b/>
          <w:color w:val="00B0F0"/>
          <w:lang w:val="fr-CA"/>
        </w:rPr>
        <w:t>’</w:t>
      </w:r>
      <w:r w:rsidR="00B85F79" w:rsidRPr="00B63BD5">
        <w:rPr>
          <w:b/>
          <w:color w:val="00B0F0"/>
          <w:lang w:val="fr-CA"/>
        </w:rPr>
        <w:t xml:space="preserve">Emprunteur </w:t>
      </w:r>
      <w:r w:rsidR="002A75EF" w:rsidRPr="00B63BD5">
        <w:rPr>
          <w:b/>
          <w:color w:val="00B0F0"/>
          <w:lang w:val="fr-CA"/>
        </w:rPr>
        <w:t xml:space="preserve">ne devraient pas être indiqués dans la </w:t>
      </w:r>
      <w:r w:rsidR="00656C45" w:rsidRPr="00B63BD5">
        <w:rPr>
          <w:b/>
          <w:color w:val="00B0F0"/>
          <w:lang w:val="fr-CA"/>
        </w:rPr>
        <w:t>présente L</w:t>
      </w:r>
      <w:r w:rsidR="002A75EF" w:rsidRPr="00B63BD5">
        <w:rPr>
          <w:b/>
          <w:color w:val="00B0F0"/>
          <w:lang w:val="fr-CA"/>
        </w:rPr>
        <w:t xml:space="preserve">ettre relative aux facilités. </w:t>
      </w:r>
      <w:r w:rsidR="00656C45" w:rsidRPr="00B63BD5">
        <w:rPr>
          <w:b/>
          <w:color w:val="00B0F0"/>
          <w:lang w:val="fr-CA"/>
        </w:rPr>
        <w:t>Faire</w:t>
      </w:r>
      <w:r w:rsidR="002A75EF" w:rsidRPr="00B63BD5">
        <w:rPr>
          <w:b/>
          <w:color w:val="00B0F0"/>
          <w:lang w:val="fr-CA"/>
        </w:rPr>
        <w:t xml:space="preserve"> attention en supprimant les</w:t>
      </w:r>
      <w:r w:rsidR="00977B95" w:rsidRPr="00B63BD5">
        <w:rPr>
          <w:b/>
          <w:color w:val="00B0F0"/>
          <w:lang w:val="fr-CA"/>
        </w:rPr>
        <w:t> </w:t>
      </w:r>
      <w:r w:rsidR="002A75EF" w:rsidRPr="00B63BD5">
        <w:rPr>
          <w:b/>
          <w:color w:val="00B0F0"/>
          <w:lang w:val="fr-CA"/>
        </w:rPr>
        <w:t>lignes de manière à ne pas modifier</w:t>
      </w:r>
      <w:r w:rsidR="00862595" w:rsidRPr="00B63BD5">
        <w:rPr>
          <w:b/>
          <w:color w:val="00B0F0"/>
          <w:lang w:val="fr-CA"/>
        </w:rPr>
        <w:t xml:space="preserve"> la formule par inadvertance. </w:t>
      </w:r>
      <w:r w:rsidR="00E800CB" w:rsidRPr="00B63BD5">
        <w:rPr>
          <w:b/>
          <w:color w:val="00B0F0"/>
          <w:lang w:val="fr-CA"/>
        </w:rPr>
        <w:t>Veuillez ne pas supprimer</w:t>
      </w:r>
      <w:r w:rsidR="008542BE" w:rsidRPr="00B63BD5">
        <w:rPr>
          <w:b/>
          <w:color w:val="00B0F0"/>
          <w:lang w:val="fr-CA"/>
        </w:rPr>
        <w:t xml:space="preserve"> l</w:t>
      </w:r>
      <w:r w:rsidR="00564B0C" w:rsidRPr="00B63BD5">
        <w:rPr>
          <w:b/>
          <w:color w:val="00B0F0"/>
          <w:lang w:val="fr-CA"/>
        </w:rPr>
        <w:t>’</w:t>
      </w:r>
      <w:r w:rsidR="008542BE" w:rsidRPr="00B63BD5">
        <w:rPr>
          <w:b/>
          <w:color w:val="00B0F0"/>
          <w:lang w:val="fr-CA"/>
        </w:rPr>
        <w:t>expression «</w:t>
      </w:r>
      <w:r w:rsidR="0094743F" w:rsidRPr="00B63BD5">
        <w:rPr>
          <w:b/>
          <w:color w:val="00B0F0"/>
          <w:lang w:val="fr-CA"/>
        </w:rPr>
        <w:t> </w:t>
      </w:r>
      <w:r w:rsidR="008542BE" w:rsidRPr="00B63BD5">
        <w:rPr>
          <w:b/>
          <w:color w:val="00B0F0"/>
          <w:lang w:val="fr-CA"/>
        </w:rPr>
        <w:t>déduction faite des éléments suivants</w:t>
      </w:r>
      <w:r w:rsidR="0094743F" w:rsidRPr="00B63BD5">
        <w:rPr>
          <w:b/>
          <w:color w:val="00B0F0"/>
          <w:lang w:val="fr-CA"/>
        </w:rPr>
        <w:t> </w:t>
      </w:r>
      <w:r w:rsidR="008542BE" w:rsidRPr="00B63BD5">
        <w:rPr>
          <w:b/>
          <w:color w:val="00B0F0"/>
          <w:lang w:val="fr-CA"/>
        </w:rPr>
        <w:t>».</w:t>
      </w:r>
      <w:r w:rsidRPr="00B63BD5">
        <w:rPr>
          <w:b/>
          <w:color w:val="00B0F0"/>
          <w:lang w:val="fr-CA"/>
        </w:rPr>
        <w:t>]</w:t>
      </w:r>
    </w:p>
    <w:p w14:paraId="5B21E7FF" w14:textId="6AB80CFD" w:rsidR="00A8507A" w:rsidRPr="00B63BD5" w:rsidRDefault="00272B37" w:rsidP="00632863">
      <w:pPr>
        <w:keepNext/>
        <w:spacing w:after="240"/>
        <w:jc w:val="both"/>
        <w:rPr>
          <w:lang w:val="fr-CA"/>
        </w:rPr>
      </w:pPr>
      <w:r w:rsidRPr="00B63BD5">
        <w:rPr>
          <w:lang w:val="fr-CA"/>
        </w:rPr>
        <w:t>Nonobstant toute autre disposition de la présente Lettre relative aux facilités, l</w:t>
      </w:r>
      <w:r w:rsidR="00564B0C" w:rsidRPr="00B63BD5">
        <w:rPr>
          <w:lang w:val="fr-CA"/>
        </w:rPr>
        <w:t>’</w:t>
      </w:r>
      <w:r w:rsidR="005E1D64" w:rsidRPr="00B63BD5">
        <w:rPr>
          <w:lang w:val="fr-CA"/>
        </w:rPr>
        <w:t>E</w:t>
      </w:r>
      <w:r w:rsidR="00B84398" w:rsidRPr="00B63BD5">
        <w:rPr>
          <w:lang w:val="fr-CA"/>
        </w:rPr>
        <w:t>mprunte</w:t>
      </w:r>
      <w:r w:rsidR="00A518C6" w:rsidRPr="00B63BD5">
        <w:rPr>
          <w:lang w:val="fr-CA"/>
        </w:rPr>
        <w:t>u</w:t>
      </w:r>
      <w:r w:rsidR="00B84398" w:rsidRPr="00B63BD5">
        <w:rPr>
          <w:lang w:val="fr-CA"/>
        </w:rPr>
        <w:t>r</w:t>
      </w:r>
      <w:r w:rsidR="005E1D64" w:rsidRPr="00B63BD5">
        <w:rPr>
          <w:lang w:val="fr-CA"/>
        </w:rPr>
        <w:t xml:space="preserve"> doit s</w:t>
      </w:r>
      <w:r w:rsidR="00564B0C" w:rsidRPr="00B63BD5">
        <w:rPr>
          <w:lang w:val="fr-CA"/>
        </w:rPr>
        <w:t>’</w:t>
      </w:r>
      <w:r w:rsidR="005E1D64" w:rsidRPr="00B63BD5">
        <w:rPr>
          <w:lang w:val="fr-CA"/>
        </w:rPr>
        <w:t>assurer que la s</w:t>
      </w:r>
      <w:r w:rsidR="00DB658A" w:rsidRPr="00B63BD5">
        <w:rPr>
          <w:lang w:val="fr-CA"/>
        </w:rPr>
        <w:t xml:space="preserve">omme calculée par la Banque </w:t>
      </w:r>
      <w:r w:rsidR="00682477" w:rsidRPr="00B63BD5">
        <w:rPr>
          <w:lang w:val="fr-CA"/>
        </w:rPr>
        <w:t>(exprimé</w:t>
      </w:r>
      <w:r w:rsidR="00052CB0" w:rsidRPr="00B63BD5">
        <w:rPr>
          <w:lang w:val="fr-CA"/>
        </w:rPr>
        <w:t>e</w:t>
      </w:r>
      <w:r w:rsidR="00682477" w:rsidRPr="00B63BD5">
        <w:rPr>
          <w:lang w:val="fr-CA"/>
        </w:rPr>
        <w:t xml:space="preserve"> en D</w:t>
      </w:r>
      <w:r w:rsidR="005E1D64" w:rsidRPr="00B63BD5">
        <w:rPr>
          <w:lang w:val="fr-CA"/>
        </w:rPr>
        <w:t xml:space="preserve">ollars canadiens ou </w:t>
      </w:r>
      <w:r w:rsidR="00063ADA" w:rsidRPr="00B63BD5">
        <w:rPr>
          <w:lang w:val="fr-CA"/>
        </w:rPr>
        <w:t xml:space="preserve">correspondant à </w:t>
      </w:r>
      <w:r w:rsidR="005E1D64" w:rsidRPr="00B63BD5">
        <w:rPr>
          <w:lang w:val="fr-CA"/>
        </w:rPr>
        <w:t>l</w:t>
      </w:r>
      <w:r w:rsidR="00564B0C" w:rsidRPr="00B63BD5">
        <w:rPr>
          <w:lang w:val="fr-CA"/>
        </w:rPr>
        <w:t>’</w:t>
      </w:r>
      <w:r w:rsidR="005E1D64" w:rsidRPr="00B63BD5">
        <w:rPr>
          <w:lang w:val="fr-CA"/>
        </w:rPr>
        <w:t>Équivalent en</w:t>
      </w:r>
      <w:r w:rsidR="00977B95" w:rsidRPr="00B63BD5">
        <w:rPr>
          <w:lang w:val="fr-CA"/>
        </w:rPr>
        <w:t> </w:t>
      </w:r>
      <w:r w:rsidR="005E1D64" w:rsidRPr="00B63BD5">
        <w:rPr>
          <w:lang w:val="fr-CA"/>
        </w:rPr>
        <w:t>dollars canadiens</w:t>
      </w:r>
      <w:r w:rsidR="00052CB0" w:rsidRPr="00B63BD5">
        <w:rPr>
          <w:lang w:val="fr-CA"/>
        </w:rPr>
        <w:t xml:space="preserve"> de celle</w:t>
      </w:r>
      <w:r w:rsidR="00052CB0" w:rsidRPr="00B63BD5">
        <w:rPr>
          <w:lang w:val="fr-CA"/>
        </w:rPr>
        <w:noBreakHyphen/>
        <w:t>ci</w:t>
      </w:r>
      <w:r w:rsidR="005E1D64" w:rsidRPr="00B63BD5">
        <w:rPr>
          <w:lang w:val="fr-CA"/>
        </w:rPr>
        <w:t>)</w:t>
      </w:r>
      <w:r w:rsidR="00AD2ABF" w:rsidRPr="00B63BD5">
        <w:rPr>
          <w:lang w:val="fr-CA"/>
        </w:rPr>
        <w:t xml:space="preserve"> des éléments suivants</w:t>
      </w:r>
      <w:r w:rsidR="00AC4107" w:rsidRPr="00B63BD5">
        <w:rPr>
          <w:lang w:val="fr-CA"/>
        </w:rPr>
        <w:t xml:space="preserve"> </w:t>
      </w:r>
      <w:r w:rsidR="00A8507A" w:rsidRPr="00B63BD5">
        <w:rPr>
          <w:lang w:val="fr-CA"/>
        </w:rPr>
        <w:t>:</w:t>
      </w:r>
    </w:p>
    <w:p w14:paraId="3ECE08D0" w14:textId="2EA11560" w:rsidR="009926E7" w:rsidRPr="000B7739" w:rsidRDefault="005E1D64" w:rsidP="000B7739">
      <w:pPr>
        <w:pStyle w:val="04LOLglNew3"/>
        <w:numPr>
          <w:ilvl w:val="2"/>
          <w:numId w:val="33"/>
        </w:numPr>
        <w:rPr>
          <w:lang w:val="fr-CA"/>
        </w:rPr>
      </w:pPr>
      <w:r w:rsidRPr="000B7739">
        <w:rPr>
          <w:lang w:val="fr-CA"/>
        </w:rPr>
        <w:t>la somme avancée et les dettes impayées aux termes de la Facilité de crédit à l</w:t>
      </w:r>
      <w:r w:rsidR="00564B0C" w:rsidRPr="000B7739">
        <w:rPr>
          <w:lang w:val="fr-CA"/>
        </w:rPr>
        <w:t>’</w:t>
      </w:r>
      <w:r w:rsidRPr="000B7739">
        <w:rPr>
          <w:lang w:val="fr-CA"/>
        </w:rPr>
        <w:t xml:space="preserve">exploitation </w:t>
      </w:r>
      <w:r w:rsidR="00A54963" w:rsidRPr="000B7739">
        <w:rPr>
          <w:lang w:val="fr-CA"/>
        </w:rPr>
        <w:t xml:space="preserve">sous forme </w:t>
      </w:r>
      <w:r w:rsidR="00436FAE" w:rsidRPr="000B7739">
        <w:rPr>
          <w:lang w:val="fr-CA"/>
        </w:rPr>
        <w:t>[</w:t>
      </w:r>
      <w:r w:rsidR="00AD2ABF" w:rsidRPr="000B7739">
        <w:rPr>
          <w:lang w:val="fr-CA"/>
        </w:rPr>
        <w:t xml:space="preserve">de </w:t>
      </w:r>
      <w:r w:rsidR="00A54963" w:rsidRPr="000B7739">
        <w:rPr>
          <w:lang w:val="fr-CA"/>
        </w:rPr>
        <w:t>P</w:t>
      </w:r>
      <w:r w:rsidRPr="000B7739">
        <w:rPr>
          <w:lang w:val="fr-CA"/>
        </w:rPr>
        <w:t>rêts pour découvert en dollars canadiens</w:t>
      </w:r>
      <w:r w:rsidR="00B85537" w:rsidRPr="000B7739">
        <w:rPr>
          <w:lang w:val="fr-CA"/>
        </w:rPr>
        <w:t>],</w:t>
      </w:r>
      <w:r w:rsidR="002E4180" w:rsidRPr="000B7739">
        <w:rPr>
          <w:lang w:val="fr-CA"/>
        </w:rPr>
        <w:t xml:space="preserve"> </w:t>
      </w:r>
      <w:r w:rsidR="00B85537" w:rsidRPr="000B7739">
        <w:rPr>
          <w:lang w:val="fr-CA"/>
        </w:rPr>
        <w:t>[</w:t>
      </w:r>
      <w:r w:rsidR="006C28F9" w:rsidRPr="000B7739">
        <w:rPr>
          <w:lang w:val="fr-CA"/>
        </w:rPr>
        <w:t xml:space="preserve">de </w:t>
      </w:r>
      <w:r w:rsidR="00A54963" w:rsidRPr="000B7739">
        <w:rPr>
          <w:lang w:val="fr-CA"/>
        </w:rPr>
        <w:t>P</w:t>
      </w:r>
      <w:r w:rsidRPr="000B7739">
        <w:rPr>
          <w:lang w:val="fr-CA"/>
        </w:rPr>
        <w:t>rêts pour découvert en dollars américains</w:t>
      </w:r>
      <w:r w:rsidR="00B85537" w:rsidRPr="000B7739">
        <w:rPr>
          <w:lang w:val="fr-CA"/>
        </w:rPr>
        <w:t>],</w:t>
      </w:r>
      <w:r w:rsidR="00A54963" w:rsidRPr="000B7739">
        <w:rPr>
          <w:lang w:val="fr-CA"/>
        </w:rPr>
        <w:t xml:space="preserve"> </w:t>
      </w:r>
      <w:r w:rsidR="00B85537" w:rsidRPr="000B7739">
        <w:rPr>
          <w:lang w:val="fr-CA"/>
        </w:rPr>
        <w:t>[</w:t>
      </w:r>
      <w:r w:rsidR="00B74EED" w:rsidRPr="000B7739">
        <w:rPr>
          <w:lang w:val="fr-CA"/>
        </w:rPr>
        <w:t>de Prêts au taux SOFR</w:t>
      </w:r>
      <w:r w:rsidR="002E4180" w:rsidRPr="000B7739">
        <w:rPr>
          <w:lang w:val="fr-CA"/>
        </w:rPr>
        <w:t xml:space="preserve"> </w:t>
      </w:r>
      <w:r w:rsidR="000475B1" w:rsidRPr="000B7739">
        <w:rPr>
          <w:lang w:val="fr-CA"/>
        </w:rPr>
        <w:t>à terme</w:t>
      </w:r>
      <w:r w:rsidR="00B85537" w:rsidRPr="000B7739">
        <w:rPr>
          <w:lang w:val="fr-CA"/>
        </w:rPr>
        <w:t>],</w:t>
      </w:r>
      <w:r w:rsidR="000475B1" w:rsidRPr="000B7739">
        <w:rPr>
          <w:lang w:val="fr-CA"/>
        </w:rPr>
        <w:t xml:space="preserve"> </w:t>
      </w:r>
      <w:r w:rsidR="00B85537" w:rsidRPr="000B7739">
        <w:rPr>
          <w:lang w:val="fr-CA"/>
        </w:rPr>
        <w:t>[</w:t>
      </w:r>
      <w:r w:rsidR="000475B1" w:rsidRPr="000B7739">
        <w:rPr>
          <w:lang w:val="fr-CA"/>
        </w:rPr>
        <w:t>de Prêts au taux SOFR simple quotidien</w:t>
      </w:r>
      <w:r w:rsidR="00B85537" w:rsidRPr="000B7739">
        <w:rPr>
          <w:lang w:val="fr-CA"/>
        </w:rPr>
        <w:t>],</w:t>
      </w:r>
      <w:r w:rsidR="000475B1" w:rsidRPr="000B7739">
        <w:rPr>
          <w:lang w:val="fr-CA"/>
        </w:rPr>
        <w:t xml:space="preserve"> </w:t>
      </w:r>
      <w:r w:rsidR="00B85537" w:rsidRPr="000B7739">
        <w:rPr>
          <w:lang w:val="fr-CA"/>
        </w:rPr>
        <w:t>[</w:t>
      </w:r>
      <w:r w:rsidR="000475B1" w:rsidRPr="000B7739">
        <w:rPr>
          <w:lang w:val="fr-CA"/>
        </w:rPr>
        <w:t>de Prêts au</w:t>
      </w:r>
      <w:r w:rsidR="00977B95" w:rsidRPr="000B7739">
        <w:rPr>
          <w:lang w:val="fr-CA"/>
        </w:rPr>
        <w:t> </w:t>
      </w:r>
      <w:r w:rsidR="000475B1" w:rsidRPr="000B7739">
        <w:rPr>
          <w:lang w:val="fr-CA"/>
        </w:rPr>
        <w:t>taux SONIA</w:t>
      </w:r>
      <w:r w:rsidR="00B85537" w:rsidRPr="000B7739">
        <w:rPr>
          <w:lang w:val="fr-CA"/>
        </w:rPr>
        <w:t xml:space="preserve">] </w:t>
      </w:r>
      <w:r w:rsidRPr="000B7739">
        <w:rPr>
          <w:lang w:val="fr-CA"/>
        </w:rPr>
        <w:t xml:space="preserve">et </w:t>
      </w:r>
      <w:r w:rsidR="00B85537" w:rsidRPr="000B7739">
        <w:rPr>
          <w:lang w:val="fr-CA"/>
        </w:rPr>
        <w:t>[</w:t>
      </w:r>
      <w:r w:rsidR="006C28F9" w:rsidRPr="000B7739">
        <w:rPr>
          <w:lang w:val="fr-CA"/>
        </w:rPr>
        <w:t>d</w:t>
      </w:r>
      <w:r w:rsidR="00564B0C" w:rsidRPr="000B7739">
        <w:rPr>
          <w:lang w:val="fr-CA"/>
        </w:rPr>
        <w:t>’</w:t>
      </w:r>
      <w:r w:rsidRPr="000B7739">
        <w:rPr>
          <w:lang w:val="fr-CA"/>
        </w:rPr>
        <w:t xml:space="preserve">Avances sur </w:t>
      </w:r>
      <w:r w:rsidR="00A54963" w:rsidRPr="000B7739">
        <w:rPr>
          <w:lang w:val="fr-CA"/>
        </w:rPr>
        <w:t>l</w:t>
      </w:r>
      <w:r w:rsidR="00564B0C" w:rsidRPr="000B7739">
        <w:rPr>
          <w:lang w:val="fr-CA"/>
        </w:rPr>
        <w:t>’</w:t>
      </w:r>
      <w:r w:rsidRPr="000B7739">
        <w:rPr>
          <w:lang w:val="fr-CA"/>
        </w:rPr>
        <w:t>acceptation bancaire (en ut</w:t>
      </w:r>
      <w:r w:rsidR="006E48B1" w:rsidRPr="000B7739">
        <w:rPr>
          <w:lang w:val="fr-CA"/>
        </w:rPr>
        <w:t>i</w:t>
      </w:r>
      <w:r w:rsidRPr="000B7739">
        <w:rPr>
          <w:lang w:val="fr-CA"/>
        </w:rPr>
        <w:t>lisant la valeur nominale de</w:t>
      </w:r>
      <w:r w:rsidR="00977B95" w:rsidRPr="000B7739">
        <w:rPr>
          <w:lang w:val="fr-CA"/>
        </w:rPr>
        <w:t> </w:t>
      </w:r>
      <w:r w:rsidRPr="000B7739">
        <w:rPr>
          <w:lang w:val="fr-CA"/>
        </w:rPr>
        <w:t xml:space="preserve">toutes les </w:t>
      </w:r>
      <w:r w:rsidR="006E48B1" w:rsidRPr="000B7739">
        <w:rPr>
          <w:lang w:val="fr-CA"/>
        </w:rPr>
        <w:t xml:space="preserve">Acceptations </w:t>
      </w:r>
      <w:r w:rsidRPr="000B7739">
        <w:rPr>
          <w:lang w:val="fr-CA"/>
        </w:rPr>
        <w:t xml:space="preserve">bancaires </w:t>
      </w:r>
      <w:r w:rsidR="00A54963" w:rsidRPr="000B7739">
        <w:rPr>
          <w:lang w:val="fr-CA"/>
        </w:rPr>
        <w:t>impayées</w:t>
      </w:r>
      <w:r w:rsidR="0085444B" w:rsidRPr="000B7739">
        <w:rPr>
          <w:lang w:val="fr-CA"/>
        </w:rPr>
        <w:t>)</w:t>
      </w:r>
      <w:r w:rsidR="00436FAE" w:rsidRPr="000B7739">
        <w:rPr>
          <w:lang w:val="fr-CA"/>
        </w:rPr>
        <w:t>]</w:t>
      </w:r>
      <w:r w:rsidR="009926E7" w:rsidRPr="000B7739">
        <w:rPr>
          <w:lang w:val="fr-CA"/>
        </w:rPr>
        <w:t>;</w:t>
      </w:r>
    </w:p>
    <w:p w14:paraId="0134F1FA" w14:textId="0C09F1E0" w:rsidR="009926E7" w:rsidRPr="00B63BD5" w:rsidRDefault="00D95B76" w:rsidP="000B7739">
      <w:pPr>
        <w:pStyle w:val="04LOLglNew3"/>
        <w:rPr>
          <w:lang w:val="fr-CA"/>
        </w:rPr>
      </w:pPr>
      <w:r w:rsidRPr="00B63BD5">
        <w:rPr>
          <w:lang w:val="fr-CA"/>
        </w:rPr>
        <w:t>[20</w:t>
      </w:r>
      <w:r w:rsidR="00B056F9" w:rsidRPr="00B63BD5">
        <w:rPr>
          <w:lang w:val="fr-CA"/>
        </w:rPr>
        <w:t> </w:t>
      </w:r>
      <w:r w:rsidRPr="00B63BD5">
        <w:rPr>
          <w:lang w:val="fr-CA"/>
        </w:rPr>
        <w:t xml:space="preserve">%] </w:t>
      </w:r>
      <w:r w:rsidR="005E1D64" w:rsidRPr="00B63BD5">
        <w:rPr>
          <w:lang w:val="fr-CA"/>
        </w:rPr>
        <w:t>de la valeur nominal</w:t>
      </w:r>
      <w:r w:rsidR="006E48B1" w:rsidRPr="00B63BD5">
        <w:rPr>
          <w:lang w:val="fr-CA"/>
        </w:rPr>
        <w:t>e</w:t>
      </w:r>
      <w:r w:rsidR="005E1D64" w:rsidRPr="00B63BD5">
        <w:rPr>
          <w:lang w:val="fr-CA"/>
        </w:rPr>
        <w:t xml:space="preserve"> globale des Crédits documentaires émis et</w:t>
      </w:r>
      <w:r w:rsidR="00A54963" w:rsidRPr="00B63BD5">
        <w:rPr>
          <w:lang w:val="fr-CA"/>
        </w:rPr>
        <w:t xml:space="preserve"> impayés</w:t>
      </w:r>
      <w:r w:rsidR="005E1D64" w:rsidRPr="00B63BD5">
        <w:rPr>
          <w:lang w:val="fr-CA"/>
        </w:rPr>
        <w:t xml:space="preserve"> </w:t>
      </w:r>
      <w:r w:rsidR="00574ACC" w:rsidRPr="00B63BD5">
        <w:rPr>
          <w:lang w:val="fr-CA"/>
        </w:rPr>
        <w:t>[</w:t>
      </w:r>
      <w:r w:rsidR="005E1D64" w:rsidRPr="00B63BD5">
        <w:rPr>
          <w:lang w:val="fr-CA"/>
        </w:rPr>
        <w:t>mais</w:t>
      </w:r>
      <w:r w:rsidR="00977B95" w:rsidRPr="00B63BD5">
        <w:rPr>
          <w:lang w:val="fr-CA"/>
        </w:rPr>
        <w:t> </w:t>
      </w:r>
      <w:r w:rsidR="00A54963" w:rsidRPr="00B63BD5">
        <w:rPr>
          <w:lang w:val="fr-CA"/>
        </w:rPr>
        <w:t>qui</w:t>
      </w:r>
      <w:r w:rsidR="00977B95" w:rsidRPr="00B63BD5">
        <w:rPr>
          <w:lang w:val="fr-CA"/>
        </w:rPr>
        <w:t> </w:t>
      </w:r>
      <w:r w:rsidR="00A54963" w:rsidRPr="00B63BD5">
        <w:rPr>
          <w:lang w:val="fr-CA"/>
        </w:rPr>
        <w:t>n</w:t>
      </w:r>
      <w:r w:rsidR="00564B0C" w:rsidRPr="00B63BD5">
        <w:rPr>
          <w:lang w:val="fr-CA"/>
        </w:rPr>
        <w:t>’</w:t>
      </w:r>
      <w:r w:rsidR="00A54963" w:rsidRPr="00B63BD5">
        <w:rPr>
          <w:lang w:val="fr-CA"/>
        </w:rPr>
        <w:t>ont</w:t>
      </w:r>
      <w:r w:rsidR="00977B95" w:rsidRPr="00B63BD5">
        <w:rPr>
          <w:lang w:val="fr-CA"/>
        </w:rPr>
        <w:t> </w:t>
      </w:r>
      <w:r w:rsidR="00A54963" w:rsidRPr="00B63BD5">
        <w:rPr>
          <w:lang w:val="fr-CA"/>
        </w:rPr>
        <w:t>pas</w:t>
      </w:r>
      <w:r w:rsidR="0011404F" w:rsidRPr="00B63BD5">
        <w:rPr>
          <w:lang w:val="fr-CA"/>
        </w:rPr>
        <w:t xml:space="preserve"> été</w:t>
      </w:r>
      <w:r w:rsidR="00A54963" w:rsidRPr="00B63BD5">
        <w:rPr>
          <w:lang w:val="fr-CA"/>
        </w:rPr>
        <w:t xml:space="preserve"> </w:t>
      </w:r>
      <w:r w:rsidR="005E1D64" w:rsidRPr="00B63BD5">
        <w:rPr>
          <w:lang w:val="fr-CA"/>
        </w:rPr>
        <w:t>acceptés]</w:t>
      </w:r>
      <w:r w:rsidR="00574ACC" w:rsidRPr="00B63BD5">
        <w:rPr>
          <w:b/>
          <w:lang w:val="fr-CA"/>
        </w:rPr>
        <w:t xml:space="preserve"> </w:t>
      </w:r>
      <w:r w:rsidR="006E48B1" w:rsidRPr="00B63BD5">
        <w:rPr>
          <w:lang w:val="fr-CA"/>
        </w:rPr>
        <w:t>conse</w:t>
      </w:r>
      <w:r w:rsidR="00B84398" w:rsidRPr="00B63BD5">
        <w:rPr>
          <w:lang w:val="fr-CA"/>
        </w:rPr>
        <w:t xml:space="preserve">ntis </w:t>
      </w:r>
      <w:r w:rsidR="006E48B1" w:rsidRPr="00B63BD5">
        <w:rPr>
          <w:lang w:val="fr-CA"/>
        </w:rPr>
        <w:t xml:space="preserve">aux termes </w:t>
      </w:r>
      <w:r w:rsidR="00F827C2" w:rsidRPr="00B63BD5">
        <w:rPr>
          <w:lang w:val="fr-CA"/>
        </w:rPr>
        <w:t>[</w:t>
      </w:r>
      <w:r w:rsidR="006E48B1" w:rsidRPr="00B63BD5">
        <w:rPr>
          <w:lang w:val="fr-CA"/>
        </w:rPr>
        <w:t>de la Facilité de crédit à l</w:t>
      </w:r>
      <w:r w:rsidR="00564B0C" w:rsidRPr="00B63BD5">
        <w:rPr>
          <w:lang w:val="fr-CA"/>
        </w:rPr>
        <w:t>’</w:t>
      </w:r>
      <w:r w:rsidR="006E48B1" w:rsidRPr="00B63BD5">
        <w:rPr>
          <w:lang w:val="fr-CA"/>
        </w:rPr>
        <w:t>exploitation</w:t>
      </w:r>
      <w:r w:rsidR="00B67E21" w:rsidRPr="00B63BD5">
        <w:rPr>
          <w:lang w:val="fr-CA"/>
        </w:rPr>
        <w:t xml:space="preserve"> </w:t>
      </w:r>
      <w:r w:rsidR="001934B0" w:rsidRPr="00B63BD5">
        <w:rPr>
          <w:b/>
          <w:color w:val="00B0F0"/>
          <w:highlight w:val="yellow"/>
          <w:lang w:val="fr-CA"/>
        </w:rPr>
        <w:t>OU</w:t>
      </w:r>
      <w:r w:rsidR="00977B95" w:rsidRPr="00B63BD5">
        <w:rPr>
          <w:lang w:val="fr-CA"/>
        </w:rPr>
        <w:t> </w:t>
      </w:r>
      <w:r w:rsidR="006E48B1" w:rsidRPr="00B63BD5">
        <w:rPr>
          <w:lang w:val="fr-CA"/>
        </w:rPr>
        <w:t>de la F</w:t>
      </w:r>
      <w:r w:rsidR="00B84398" w:rsidRPr="00B63BD5">
        <w:rPr>
          <w:lang w:val="fr-CA"/>
        </w:rPr>
        <w:t>acilité de crédit à</w:t>
      </w:r>
      <w:r w:rsidR="00363F9D" w:rsidRPr="00B63BD5">
        <w:rPr>
          <w:lang w:val="fr-CA"/>
        </w:rPr>
        <w:t> </w:t>
      </w:r>
      <w:r w:rsidR="00B84398" w:rsidRPr="00B63BD5">
        <w:rPr>
          <w:lang w:val="fr-CA"/>
        </w:rPr>
        <w:t>l</w:t>
      </w:r>
      <w:r w:rsidR="00564B0C" w:rsidRPr="00B63BD5">
        <w:rPr>
          <w:lang w:val="fr-CA"/>
        </w:rPr>
        <w:t>’</w:t>
      </w:r>
      <w:r w:rsidR="00B84398" w:rsidRPr="00B63BD5">
        <w:rPr>
          <w:lang w:val="fr-CA"/>
        </w:rPr>
        <w:t>importation</w:t>
      </w:r>
      <w:r w:rsidR="00F3281D" w:rsidRPr="00B63BD5">
        <w:rPr>
          <w:lang w:val="fr-CA"/>
        </w:rPr>
        <w:t>]</w:t>
      </w:r>
      <w:r w:rsidRPr="00B63BD5">
        <w:rPr>
          <w:lang w:val="fr-CA"/>
        </w:rPr>
        <w:t>;</w:t>
      </w:r>
    </w:p>
    <w:p w14:paraId="6733B233" w14:textId="00ECA2ED" w:rsidR="003A2095" w:rsidRPr="00B63BD5" w:rsidRDefault="00F26A2B" w:rsidP="000B7739">
      <w:pPr>
        <w:pStyle w:val="04LOLglNew3"/>
        <w:rPr>
          <w:lang w:val="fr-CA"/>
        </w:rPr>
      </w:pPr>
      <w:r w:rsidRPr="00B63BD5">
        <w:rPr>
          <w:lang w:val="fr-CA"/>
        </w:rPr>
        <w:t>[</w:t>
      </w:r>
      <w:r w:rsidR="00D95B76" w:rsidRPr="00B63BD5">
        <w:rPr>
          <w:lang w:val="fr-CA"/>
        </w:rPr>
        <w:t>100</w:t>
      </w:r>
      <w:r w:rsidR="00B056F9" w:rsidRPr="00B63BD5">
        <w:rPr>
          <w:lang w:val="fr-CA"/>
        </w:rPr>
        <w:t> </w:t>
      </w:r>
      <w:r w:rsidR="00D95B76" w:rsidRPr="00B63BD5">
        <w:rPr>
          <w:lang w:val="fr-CA"/>
        </w:rPr>
        <w:t>%</w:t>
      </w:r>
      <w:r w:rsidRPr="00B63BD5">
        <w:rPr>
          <w:lang w:val="fr-CA"/>
        </w:rPr>
        <w:t>]</w:t>
      </w:r>
      <w:r w:rsidR="00D95B76" w:rsidRPr="00B63BD5">
        <w:rPr>
          <w:lang w:val="fr-CA"/>
        </w:rPr>
        <w:t xml:space="preserve"> </w:t>
      </w:r>
      <w:r w:rsidR="006E48B1" w:rsidRPr="00B63BD5">
        <w:rPr>
          <w:lang w:val="fr-CA"/>
        </w:rPr>
        <w:t>de la valeur nominale global</w:t>
      </w:r>
      <w:r w:rsidR="00B84398" w:rsidRPr="00B63BD5">
        <w:rPr>
          <w:lang w:val="fr-CA"/>
        </w:rPr>
        <w:t>e</w:t>
      </w:r>
      <w:r w:rsidR="006E48B1" w:rsidRPr="00B63BD5">
        <w:rPr>
          <w:lang w:val="fr-CA"/>
        </w:rPr>
        <w:t xml:space="preserve"> de tous les autres Crédits documentaires émis et </w:t>
      </w:r>
      <w:r w:rsidR="008D77F0" w:rsidRPr="00B63BD5">
        <w:rPr>
          <w:lang w:val="fr-CA"/>
        </w:rPr>
        <w:t>impayés</w:t>
      </w:r>
      <w:r w:rsidR="006E48B1" w:rsidRPr="00B63BD5">
        <w:rPr>
          <w:lang w:val="fr-CA"/>
        </w:rPr>
        <w:t xml:space="preserve"> aux termes </w:t>
      </w:r>
      <w:r w:rsidR="00F827C2" w:rsidRPr="00B63BD5">
        <w:rPr>
          <w:lang w:val="fr-CA"/>
        </w:rPr>
        <w:t>[</w:t>
      </w:r>
      <w:r w:rsidR="006E48B1" w:rsidRPr="00B63BD5">
        <w:rPr>
          <w:lang w:val="fr-CA"/>
        </w:rPr>
        <w:t>de la F</w:t>
      </w:r>
      <w:r w:rsidR="00B84398" w:rsidRPr="00B63BD5">
        <w:rPr>
          <w:lang w:val="fr-CA"/>
        </w:rPr>
        <w:t xml:space="preserve">acilité </w:t>
      </w:r>
      <w:r w:rsidR="006E48B1" w:rsidRPr="00B63BD5">
        <w:rPr>
          <w:lang w:val="fr-CA"/>
        </w:rPr>
        <w:t>de crédit à l</w:t>
      </w:r>
      <w:r w:rsidR="00564B0C" w:rsidRPr="00B63BD5">
        <w:rPr>
          <w:lang w:val="fr-CA"/>
        </w:rPr>
        <w:t>’</w:t>
      </w:r>
      <w:r w:rsidR="006E48B1" w:rsidRPr="00B63BD5">
        <w:rPr>
          <w:lang w:val="fr-CA"/>
        </w:rPr>
        <w:t>exploitation</w:t>
      </w:r>
      <w:r w:rsidR="00B67E21" w:rsidRPr="00B63BD5">
        <w:rPr>
          <w:lang w:val="fr-CA"/>
        </w:rPr>
        <w:t xml:space="preserve"> </w:t>
      </w:r>
      <w:r w:rsidR="001934B0" w:rsidRPr="00B63BD5">
        <w:rPr>
          <w:b/>
          <w:color w:val="00B0F0"/>
          <w:highlight w:val="yellow"/>
          <w:lang w:val="fr-CA"/>
        </w:rPr>
        <w:t>OU</w:t>
      </w:r>
      <w:r w:rsidR="00B67E21" w:rsidRPr="00B63BD5">
        <w:rPr>
          <w:lang w:val="fr-CA"/>
        </w:rPr>
        <w:t xml:space="preserve"> </w:t>
      </w:r>
      <w:r w:rsidR="00B84398" w:rsidRPr="00B63BD5">
        <w:rPr>
          <w:lang w:val="fr-CA"/>
        </w:rPr>
        <w:t>de la Facilité de crédit à l</w:t>
      </w:r>
      <w:r w:rsidR="00564B0C" w:rsidRPr="00B63BD5">
        <w:rPr>
          <w:lang w:val="fr-CA"/>
        </w:rPr>
        <w:t>’</w:t>
      </w:r>
      <w:r w:rsidR="00B84398" w:rsidRPr="00B63BD5">
        <w:rPr>
          <w:lang w:val="fr-CA"/>
        </w:rPr>
        <w:t>importation</w:t>
      </w:r>
      <w:r w:rsidR="00E359AE" w:rsidRPr="00B63BD5">
        <w:rPr>
          <w:lang w:val="fr-CA"/>
        </w:rPr>
        <w:t>] (</w:t>
      </w:r>
      <w:r w:rsidR="006E48B1" w:rsidRPr="00B63BD5">
        <w:rPr>
          <w:lang w:val="fr-CA"/>
        </w:rPr>
        <w:t>y</w:t>
      </w:r>
      <w:r w:rsidR="00977B95" w:rsidRPr="00B63BD5">
        <w:rPr>
          <w:lang w:val="fr-CA"/>
        </w:rPr>
        <w:t> </w:t>
      </w:r>
      <w:r w:rsidR="006E48B1" w:rsidRPr="00B63BD5">
        <w:rPr>
          <w:lang w:val="fr-CA"/>
        </w:rPr>
        <w:t xml:space="preserve">compris les </w:t>
      </w:r>
      <w:r w:rsidR="00491776" w:rsidRPr="00B63BD5">
        <w:rPr>
          <w:lang w:val="fr-CA"/>
        </w:rPr>
        <w:t>c</w:t>
      </w:r>
      <w:r w:rsidR="006E48B1" w:rsidRPr="00B63BD5">
        <w:rPr>
          <w:lang w:val="fr-CA"/>
        </w:rPr>
        <w:t>rédits documentaires acceptés conformément aux modalités relatives à l</w:t>
      </w:r>
      <w:r w:rsidR="0011404F" w:rsidRPr="00B63BD5">
        <w:rPr>
          <w:lang w:val="fr-CA"/>
        </w:rPr>
        <w:t>a durée</w:t>
      </w:r>
      <w:r w:rsidR="00E359AE" w:rsidRPr="00B63BD5">
        <w:rPr>
          <w:lang w:val="fr-CA"/>
        </w:rPr>
        <w:t>)</w:t>
      </w:r>
      <w:r w:rsidR="00D95B76" w:rsidRPr="00B63BD5">
        <w:rPr>
          <w:lang w:val="fr-CA"/>
        </w:rPr>
        <w:t xml:space="preserve">; </w:t>
      </w:r>
    </w:p>
    <w:p w14:paraId="45483914" w14:textId="156F59B0" w:rsidR="00D95B76" w:rsidRPr="00B63BD5" w:rsidRDefault="00F26A2B" w:rsidP="000B7739">
      <w:pPr>
        <w:pStyle w:val="04LOLglNew3"/>
        <w:rPr>
          <w:lang w:val="fr-CA"/>
        </w:rPr>
      </w:pPr>
      <w:r w:rsidRPr="00B63BD5">
        <w:rPr>
          <w:lang w:val="fr-CA"/>
        </w:rPr>
        <w:t>[100</w:t>
      </w:r>
      <w:r w:rsidR="00B056F9" w:rsidRPr="00B63BD5">
        <w:rPr>
          <w:lang w:val="fr-CA"/>
        </w:rPr>
        <w:t> </w:t>
      </w:r>
      <w:r w:rsidRPr="00B63BD5">
        <w:rPr>
          <w:lang w:val="fr-CA"/>
        </w:rPr>
        <w:t xml:space="preserve">%] </w:t>
      </w:r>
      <w:r w:rsidR="006E48B1" w:rsidRPr="00B63BD5">
        <w:rPr>
          <w:lang w:val="fr-CA"/>
        </w:rPr>
        <w:t>de la valeur nominale globale des garanties d</w:t>
      </w:r>
      <w:r w:rsidR="00564B0C" w:rsidRPr="00B63BD5">
        <w:rPr>
          <w:lang w:val="fr-CA"/>
        </w:rPr>
        <w:t>’</w:t>
      </w:r>
      <w:r w:rsidR="006E48B1" w:rsidRPr="00B63BD5">
        <w:rPr>
          <w:lang w:val="fr-CA"/>
        </w:rPr>
        <w:t>expédition</w:t>
      </w:r>
      <w:r w:rsidR="00074777" w:rsidRPr="00B63BD5">
        <w:rPr>
          <w:lang w:val="fr-CA"/>
        </w:rPr>
        <w:t>,</w:t>
      </w:r>
      <w:r w:rsidR="006E48B1" w:rsidRPr="00B63BD5">
        <w:rPr>
          <w:lang w:val="fr-CA"/>
        </w:rPr>
        <w:t xml:space="preserve"> 100</w:t>
      </w:r>
      <w:r w:rsidR="00B056F9" w:rsidRPr="00B63BD5">
        <w:rPr>
          <w:lang w:val="fr-CA"/>
        </w:rPr>
        <w:t> </w:t>
      </w:r>
      <w:r w:rsidR="006E48B1" w:rsidRPr="00B63BD5">
        <w:rPr>
          <w:lang w:val="fr-CA"/>
        </w:rPr>
        <w:t>% de la v</w:t>
      </w:r>
      <w:r w:rsidR="00B84398" w:rsidRPr="00B63BD5">
        <w:rPr>
          <w:lang w:val="fr-CA"/>
        </w:rPr>
        <w:t xml:space="preserve">aleur nominale </w:t>
      </w:r>
      <w:r w:rsidR="006E48B1" w:rsidRPr="00B63BD5">
        <w:rPr>
          <w:lang w:val="fr-CA"/>
        </w:rPr>
        <w:t xml:space="preserve">globale du </w:t>
      </w:r>
      <w:r w:rsidR="00074777" w:rsidRPr="00B63BD5">
        <w:rPr>
          <w:lang w:val="fr-CA"/>
        </w:rPr>
        <w:t xml:space="preserve">cautionnement par </w:t>
      </w:r>
      <w:r w:rsidR="006E48B1" w:rsidRPr="00B63BD5">
        <w:rPr>
          <w:lang w:val="fr-CA"/>
        </w:rPr>
        <w:t>aval ou de</w:t>
      </w:r>
      <w:r w:rsidR="00074777" w:rsidRPr="00B63BD5">
        <w:rPr>
          <w:lang w:val="fr-CA"/>
        </w:rPr>
        <w:t xml:space="preserve"> la</w:t>
      </w:r>
      <w:r w:rsidR="006E48B1" w:rsidRPr="00B63BD5">
        <w:rPr>
          <w:lang w:val="fr-CA"/>
        </w:rPr>
        <w:t xml:space="preserve"> garantie des lettres de change et 100</w:t>
      </w:r>
      <w:r w:rsidR="00B056F9" w:rsidRPr="00B63BD5">
        <w:rPr>
          <w:lang w:val="fr-CA"/>
        </w:rPr>
        <w:t> </w:t>
      </w:r>
      <w:r w:rsidR="006E48B1" w:rsidRPr="00B63BD5">
        <w:rPr>
          <w:lang w:val="fr-CA"/>
        </w:rPr>
        <w:t xml:space="preserve">% de </w:t>
      </w:r>
      <w:r w:rsidR="00074777" w:rsidRPr="00B63BD5">
        <w:rPr>
          <w:lang w:val="fr-CA"/>
        </w:rPr>
        <w:t>la totalité des</w:t>
      </w:r>
      <w:r w:rsidR="006E48B1" w:rsidRPr="00B63BD5">
        <w:rPr>
          <w:lang w:val="fr-CA"/>
        </w:rPr>
        <w:t xml:space="preserve"> autres avances ou crédits consentis sur la Facilité de crédit à l</w:t>
      </w:r>
      <w:r w:rsidR="00564B0C" w:rsidRPr="00B63BD5">
        <w:rPr>
          <w:lang w:val="fr-CA"/>
        </w:rPr>
        <w:t>’</w:t>
      </w:r>
      <w:r w:rsidR="006E48B1" w:rsidRPr="00B63BD5">
        <w:rPr>
          <w:lang w:val="fr-CA"/>
        </w:rPr>
        <w:t>importation</w:t>
      </w:r>
      <w:r w:rsidR="00D95B76" w:rsidRPr="00B63BD5">
        <w:rPr>
          <w:lang w:val="fr-CA"/>
        </w:rPr>
        <w:t>;</w:t>
      </w:r>
    </w:p>
    <w:p w14:paraId="7EC27E71" w14:textId="776FDD65" w:rsidR="00D95B76" w:rsidRPr="00B63BD5" w:rsidRDefault="00F26A2B" w:rsidP="000B7739">
      <w:pPr>
        <w:pStyle w:val="04LOLglNew3"/>
        <w:rPr>
          <w:lang w:val="fr-CA"/>
        </w:rPr>
      </w:pPr>
      <w:r w:rsidRPr="00B63BD5">
        <w:rPr>
          <w:lang w:val="fr-CA"/>
        </w:rPr>
        <w:t>[100</w:t>
      </w:r>
      <w:r w:rsidR="00B056F9" w:rsidRPr="00B63BD5">
        <w:rPr>
          <w:lang w:val="fr-CA"/>
        </w:rPr>
        <w:t> </w:t>
      </w:r>
      <w:r w:rsidRPr="00B63BD5">
        <w:rPr>
          <w:lang w:val="fr-CA"/>
        </w:rPr>
        <w:t xml:space="preserve">%] </w:t>
      </w:r>
      <w:r w:rsidR="006E48B1" w:rsidRPr="00B63BD5">
        <w:rPr>
          <w:lang w:val="fr-CA"/>
        </w:rPr>
        <w:t>de la v</w:t>
      </w:r>
      <w:r w:rsidR="00B84398" w:rsidRPr="00B63BD5">
        <w:rPr>
          <w:lang w:val="fr-CA"/>
        </w:rPr>
        <w:t>aleur</w:t>
      </w:r>
      <w:r w:rsidR="006E48B1" w:rsidRPr="00B63BD5">
        <w:rPr>
          <w:lang w:val="fr-CA"/>
        </w:rPr>
        <w:t xml:space="preserve"> nominale globale de toutes les Lettres de garantie émises aux termes </w:t>
      </w:r>
      <w:r w:rsidR="00F827C2" w:rsidRPr="00B63BD5">
        <w:rPr>
          <w:lang w:val="fr-CA"/>
        </w:rPr>
        <w:t>[</w:t>
      </w:r>
      <w:r w:rsidR="006E48B1" w:rsidRPr="00B63BD5">
        <w:rPr>
          <w:lang w:val="fr-CA"/>
        </w:rPr>
        <w:t>de</w:t>
      </w:r>
      <w:r w:rsidR="00977B95" w:rsidRPr="00B63BD5">
        <w:rPr>
          <w:lang w:val="fr-CA"/>
        </w:rPr>
        <w:t> </w:t>
      </w:r>
      <w:r w:rsidR="006E48B1" w:rsidRPr="00B63BD5">
        <w:rPr>
          <w:lang w:val="fr-CA"/>
        </w:rPr>
        <w:t>la</w:t>
      </w:r>
      <w:r w:rsidR="00977B95" w:rsidRPr="00B63BD5">
        <w:rPr>
          <w:lang w:val="fr-CA"/>
        </w:rPr>
        <w:t> </w:t>
      </w:r>
      <w:r w:rsidR="006E48B1" w:rsidRPr="00B63BD5">
        <w:rPr>
          <w:lang w:val="fr-CA"/>
        </w:rPr>
        <w:t>Facilité de crédit à l</w:t>
      </w:r>
      <w:r w:rsidR="00564B0C" w:rsidRPr="00B63BD5">
        <w:rPr>
          <w:lang w:val="fr-CA"/>
        </w:rPr>
        <w:t>’</w:t>
      </w:r>
      <w:r w:rsidR="006E48B1" w:rsidRPr="00B63BD5">
        <w:rPr>
          <w:lang w:val="fr-CA"/>
        </w:rPr>
        <w:t>exploitation</w:t>
      </w:r>
      <w:r w:rsidR="008639F7" w:rsidRPr="00B63BD5">
        <w:rPr>
          <w:b/>
          <w:lang w:val="fr-CA"/>
        </w:rPr>
        <w:t xml:space="preserve"> </w:t>
      </w:r>
      <w:r w:rsidRPr="00B63BD5">
        <w:rPr>
          <w:b/>
          <w:color w:val="00B0F0"/>
          <w:highlight w:val="yellow"/>
          <w:lang w:val="fr-CA"/>
        </w:rPr>
        <w:t>OU</w:t>
      </w:r>
      <w:r w:rsidRPr="00B63BD5">
        <w:rPr>
          <w:lang w:val="fr-CA"/>
        </w:rPr>
        <w:t xml:space="preserve"> </w:t>
      </w:r>
      <w:r w:rsidR="006E48B1" w:rsidRPr="00B63BD5">
        <w:rPr>
          <w:lang w:val="fr-CA"/>
        </w:rPr>
        <w:t>de la F</w:t>
      </w:r>
      <w:r w:rsidR="00B84398" w:rsidRPr="00B63BD5">
        <w:rPr>
          <w:lang w:val="fr-CA"/>
        </w:rPr>
        <w:t>acilité</w:t>
      </w:r>
      <w:r w:rsidR="006E48B1" w:rsidRPr="00B63BD5">
        <w:rPr>
          <w:lang w:val="fr-CA"/>
        </w:rPr>
        <w:t xml:space="preserve"> sous forme de lettre de garantie</w:t>
      </w:r>
      <w:r w:rsidR="00B36CDA" w:rsidRPr="00B63BD5">
        <w:rPr>
          <w:lang w:val="fr-CA"/>
        </w:rPr>
        <w:t>]</w:t>
      </w:r>
      <w:r w:rsidR="006E48B1" w:rsidRPr="00B63BD5">
        <w:rPr>
          <w:lang w:val="fr-CA"/>
        </w:rPr>
        <w:t xml:space="preserve"> ou tiré</w:t>
      </w:r>
      <w:r w:rsidR="00052DE1" w:rsidRPr="00B63BD5">
        <w:rPr>
          <w:lang w:val="fr-CA"/>
        </w:rPr>
        <w:t>e</w:t>
      </w:r>
      <w:r w:rsidR="00052CB0" w:rsidRPr="00B63BD5">
        <w:rPr>
          <w:lang w:val="fr-CA"/>
        </w:rPr>
        <w:t xml:space="preserve">s </w:t>
      </w:r>
      <w:r w:rsidR="00074777" w:rsidRPr="00B63BD5">
        <w:rPr>
          <w:lang w:val="fr-CA"/>
        </w:rPr>
        <w:t>sur une telle f</w:t>
      </w:r>
      <w:r w:rsidR="00052DE1" w:rsidRPr="00B63BD5">
        <w:rPr>
          <w:lang w:val="fr-CA"/>
        </w:rPr>
        <w:t>acilité</w:t>
      </w:r>
      <w:r w:rsidR="00D95B76" w:rsidRPr="00B63BD5">
        <w:rPr>
          <w:lang w:val="fr-CA"/>
        </w:rPr>
        <w:t>;</w:t>
      </w:r>
    </w:p>
    <w:p w14:paraId="0679AE83" w14:textId="316C6004" w:rsidR="009926E7" w:rsidRPr="00B63BD5" w:rsidRDefault="006E48B1" w:rsidP="00632863">
      <w:pPr>
        <w:keepNext/>
        <w:spacing w:after="240"/>
        <w:jc w:val="both"/>
        <w:rPr>
          <w:lang w:val="fr-CA"/>
        </w:rPr>
      </w:pPr>
      <w:r w:rsidRPr="00B63BD5">
        <w:rPr>
          <w:lang w:val="fr-CA"/>
        </w:rPr>
        <w:lastRenderedPageBreak/>
        <w:t xml:space="preserve">ne </w:t>
      </w:r>
      <w:r w:rsidR="00052CB0" w:rsidRPr="00B63BD5">
        <w:rPr>
          <w:lang w:val="fr-CA"/>
        </w:rPr>
        <w:t xml:space="preserve">dépasse </w:t>
      </w:r>
      <w:r w:rsidRPr="00B63BD5">
        <w:rPr>
          <w:lang w:val="fr-CA"/>
        </w:rPr>
        <w:t xml:space="preserve">à aucun </w:t>
      </w:r>
      <w:r w:rsidR="00052DE1" w:rsidRPr="00B63BD5">
        <w:rPr>
          <w:lang w:val="fr-CA"/>
        </w:rPr>
        <w:t>m</w:t>
      </w:r>
      <w:r w:rsidRPr="00B63BD5">
        <w:rPr>
          <w:lang w:val="fr-CA"/>
        </w:rPr>
        <w:t xml:space="preserve">oment </w:t>
      </w:r>
      <w:r w:rsidR="00052CB0" w:rsidRPr="00B63BD5">
        <w:rPr>
          <w:lang w:val="fr-CA"/>
        </w:rPr>
        <w:t>la somme</w:t>
      </w:r>
      <w:r w:rsidR="00F827C2" w:rsidRPr="00B63BD5">
        <w:rPr>
          <w:lang w:val="fr-CA"/>
        </w:rPr>
        <w:t xml:space="preserve"> (exprimée en Dollars canadiens ou </w:t>
      </w:r>
      <w:r w:rsidR="00063ADA" w:rsidRPr="00B63BD5">
        <w:rPr>
          <w:lang w:val="fr-CA"/>
        </w:rPr>
        <w:t>correspondant à</w:t>
      </w:r>
      <w:r w:rsidR="00977B95" w:rsidRPr="00B63BD5">
        <w:rPr>
          <w:lang w:val="fr-CA"/>
        </w:rPr>
        <w:t> </w:t>
      </w:r>
      <w:r w:rsidR="00F827C2" w:rsidRPr="00B63BD5">
        <w:rPr>
          <w:lang w:val="fr-CA"/>
        </w:rPr>
        <w:t>l</w:t>
      </w:r>
      <w:r w:rsidR="00564B0C" w:rsidRPr="00B63BD5">
        <w:rPr>
          <w:lang w:val="fr-CA"/>
        </w:rPr>
        <w:t>’</w:t>
      </w:r>
      <w:r w:rsidR="00F827C2" w:rsidRPr="00B63BD5">
        <w:rPr>
          <w:lang w:val="fr-CA"/>
        </w:rPr>
        <w:t>Équivalent</w:t>
      </w:r>
      <w:r w:rsidR="00977B95" w:rsidRPr="00B63BD5">
        <w:rPr>
          <w:lang w:val="fr-CA"/>
        </w:rPr>
        <w:t> </w:t>
      </w:r>
      <w:r w:rsidR="00F827C2" w:rsidRPr="00B63BD5">
        <w:rPr>
          <w:lang w:val="fr-CA"/>
        </w:rPr>
        <w:t>en</w:t>
      </w:r>
      <w:r w:rsidR="00977B95" w:rsidRPr="00B63BD5">
        <w:rPr>
          <w:lang w:val="fr-CA"/>
        </w:rPr>
        <w:t> </w:t>
      </w:r>
      <w:r w:rsidR="00F827C2" w:rsidRPr="00B63BD5">
        <w:rPr>
          <w:lang w:val="fr-CA"/>
        </w:rPr>
        <w:t>dollars canadiens de celle</w:t>
      </w:r>
      <w:r w:rsidR="00F827C2" w:rsidRPr="00B63BD5">
        <w:rPr>
          <w:lang w:val="fr-CA"/>
        </w:rPr>
        <w:noBreakHyphen/>
        <w:t>ci, calculé par la Banque)</w:t>
      </w:r>
      <w:r w:rsidR="00052CB0" w:rsidRPr="00B63BD5">
        <w:rPr>
          <w:lang w:val="fr-CA"/>
        </w:rPr>
        <w:t xml:space="preserve"> des </w:t>
      </w:r>
      <w:r w:rsidRPr="00B63BD5">
        <w:rPr>
          <w:lang w:val="fr-CA"/>
        </w:rPr>
        <w:t>éléments suivants</w:t>
      </w:r>
      <w:r w:rsidR="00F827C2" w:rsidRPr="00B63BD5">
        <w:rPr>
          <w:lang w:val="fr-CA"/>
        </w:rPr>
        <w:t xml:space="preserve"> (les</w:t>
      </w:r>
      <w:r w:rsidR="00977B95" w:rsidRPr="00B63BD5">
        <w:rPr>
          <w:lang w:val="fr-CA"/>
        </w:rPr>
        <w:t> </w:t>
      </w:r>
      <w:r w:rsidR="00F827C2" w:rsidRPr="00B63BD5">
        <w:rPr>
          <w:lang w:val="fr-CA"/>
        </w:rPr>
        <w:t>«</w:t>
      </w:r>
      <w:r w:rsidR="0094743F" w:rsidRPr="00B63BD5">
        <w:rPr>
          <w:lang w:val="fr-CA"/>
        </w:rPr>
        <w:t> </w:t>
      </w:r>
      <w:r w:rsidR="00F827C2" w:rsidRPr="00B63BD5">
        <w:rPr>
          <w:b/>
          <w:lang w:val="fr-CA"/>
        </w:rPr>
        <w:t>Exigences relatives à la marge</w:t>
      </w:r>
      <w:r w:rsidR="0094743F" w:rsidRPr="00B63BD5">
        <w:rPr>
          <w:lang w:val="fr-CA"/>
        </w:rPr>
        <w:t> </w:t>
      </w:r>
      <w:r w:rsidR="00F827C2" w:rsidRPr="00B63BD5">
        <w:rPr>
          <w:lang w:val="fr-CA"/>
        </w:rPr>
        <w:t>»</w:t>
      </w:r>
      <w:r w:rsidR="006C28F9" w:rsidRPr="00B63BD5">
        <w:rPr>
          <w:lang w:val="fr-CA"/>
        </w:rPr>
        <w:t>)</w:t>
      </w:r>
      <w:r w:rsidR="00AC4107" w:rsidRPr="00B63BD5">
        <w:rPr>
          <w:lang w:val="fr-CA"/>
        </w:rPr>
        <w:t xml:space="preserve"> </w:t>
      </w:r>
      <w:r w:rsidRPr="00B63BD5">
        <w:rPr>
          <w:lang w:val="fr-CA"/>
        </w:rPr>
        <w:t>:</w:t>
      </w:r>
    </w:p>
    <w:p w14:paraId="05289C01" w14:textId="31B168CE" w:rsidR="00401592" w:rsidRPr="00B63BD5" w:rsidRDefault="00401592" w:rsidP="00440A7E">
      <w:pPr>
        <w:pStyle w:val="04LOLglNew4"/>
        <w:rPr>
          <w:lang w:val="fr-CA"/>
        </w:rPr>
      </w:pPr>
      <w:r w:rsidRPr="00B63BD5">
        <w:rPr>
          <w:lang w:val="fr-CA"/>
        </w:rPr>
        <w:t>[75]</w:t>
      </w:r>
      <w:r w:rsidR="00AC4107" w:rsidRPr="00B63BD5">
        <w:rPr>
          <w:lang w:val="fr-CA"/>
        </w:rPr>
        <w:t xml:space="preserve"> </w:t>
      </w:r>
      <w:r w:rsidRPr="00B63BD5">
        <w:rPr>
          <w:lang w:val="fr-CA"/>
        </w:rPr>
        <w:t xml:space="preserve">% </w:t>
      </w:r>
      <w:r w:rsidR="006E48B1" w:rsidRPr="00B63BD5">
        <w:rPr>
          <w:lang w:val="fr-CA"/>
        </w:rPr>
        <w:t xml:space="preserve">des </w:t>
      </w:r>
      <w:r w:rsidR="00580BA8" w:rsidRPr="00B63BD5">
        <w:rPr>
          <w:lang w:val="fr-CA"/>
        </w:rPr>
        <w:t>Comptes clients</w:t>
      </w:r>
      <w:r w:rsidR="006E48B1" w:rsidRPr="00B63BD5">
        <w:rPr>
          <w:lang w:val="fr-CA"/>
        </w:rPr>
        <w:t xml:space="preserve"> acceptables</w:t>
      </w:r>
      <w:r w:rsidRPr="00B63BD5">
        <w:rPr>
          <w:lang w:val="fr-CA"/>
        </w:rPr>
        <w:t xml:space="preserve">; </w:t>
      </w:r>
    </w:p>
    <w:p w14:paraId="01F57FA0" w14:textId="5872D2E9" w:rsidR="00401592" w:rsidRPr="00B63BD5" w:rsidRDefault="00401592" w:rsidP="00440A7E">
      <w:pPr>
        <w:pStyle w:val="04LOLglNew4"/>
        <w:rPr>
          <w:lang w:val="fr-CA"/>
        </w:rPr>
      </w:pPr>
      <w:r w:rsidRPr="00B63BD5">
        <w:rPr>
          <w:lang w:val="fr-CA"/>
        </w:rPr>
        <w:t>[80]</w:t>
      </w:r>
      <w:r w:rsidR="00AC4107" w:rsidRPr="00B63BD5">
        <w:rPr>
          <w:lang w:val="fr-CA"/>
        </w:rPr>
        <w:t xml:space="preserve"> </w:t>
      </w:r>
      <w:r w:rsidR="00727D56" w:rsidRPr="00B63BD5">
        <w:rPr>
          <w:lang w:val="fr-CA"/>
        </w:rPr>
        <w:t>%</w:t>
      </w:r>
      <w:r w:rsidRPr="00B63BD5">
        <w:rPr>
          <w:lang w:val="fr-CA"/>
        </w:rPr>
        <w:t xml:space="preserve"> </w:t>
      </w:r>
      <w:r w:rsidR="00B84398" w:rsidRPr="00B63BD5">
        <w:rPr>
          <w:lang w:val="fr-CA"/>
        </w:rPr>
        <w:t xml:space="preserve">des </w:t>
      </w:r>
      <w:r w:rsidR="00580BA8" w:rsidRPr="00B63BD5">
        <w:rPr>
          <w:lang w:val="fr-CA"/>
        </w:rPr>
        <w:t>Comptes clients</w:t>
      </w:r>
      <w:r w:rsidR="00B84398" w:rsidRPr="00B63BD5">
        <w:rPr>
          <w:lang w:val="fr-CA"/>
        </w:rPr>
        <w:t xml:space="preserve"> acceptables </w:t>
      </w:r>
      <w:r w:rsidR="00E800CB" w:rsidRPr="00B63BD5">
        <w:rPr>
          <w:lang w:val="fr-CA"/>
        </w:rPr>
        <w:t>inférieurs à</w:t>
      </w:r>
      <w:r w:rsidR="00B84398" w:rsidRPr="00B63BD5">
        <w:rPr>
          <w:lang w:val="fr-CA"/>
        </w:rPr>
        <w:t xml:space="preserve"> 120</w:t>
      </w:r>
      <w:r w:rsidR="00AC4107" w:rsidRPr="00B63BD5">
        <w:rPr>
          <w:lang w:val="fr-CA"/>
        </w:rPr>
        <w:t xml:space="preserve"> </w:t>
      </w:r>
      <w:r w:rsidR="00B84398" w:rsidRPr="00B63BD5">
        <w:rPr>
          <w:lang w:val="fr-CA"/>
        </w:rPr>
        <w:t>jours des clients principaux de</w:t>
      </w:r>
      <w:r w:rsidR="00977B95" w:rsidRPr="00B63BD5">
        <w:rPr>
          <w:lang w:val="fr-CA"/>
        </w:rPr>
        <w:t> </w:t>
      </w:r>
      <w:r w:rsidR="00B84398" w:rsidRPr="00B63BD5">
        <w:rPr>
          <w:lang w:val="fr-CA"/>
        </w:rPr>
        <w:t>l</w:t>
      </w:r>
      <w:r w:rsidR="00564B0C" w:rsidRPr="00B63BD5">
        <w:rPr>
          <w:lang w:val="fr-CA"/>
        </w:rPr>
        <w:t>’</w:t>
      </w:r>
      <w:r w:rsidR="00B84398" w:rsidRPr="00B63BD5">
        <w:rPr>
          <w:lang w:val="fr-CA"/>
        </w:rPr>
        <w:t>Emprunt</w:t>
      </w:r>
      <w:r w:rsidR="00491776" w:rsidRPr="00B63BD5">
        <w:rPr>
          <w:lang w:val="fr-CA"/>
        </w:rPr>
        <w:t>e</w:t>
      </w:r>
      <w:r w:rsidR="00B84398" w:rsidRPr="00B63BD5">
        <w:rPr>
          <w:lang w:val="fr-CA"/>
        </w:rPr>
        <w:t xml:space="preserve">ur que la Banque a </w:t>
      </w:r>
      <w:r w:rsidR="00400C48" w:rsidRPr="00B63BD5">
        <w:rPr>
          <w:lang w:val="fr-CA"/>
        </w:rPr>
        <w:t>approuvés</w:t>
      </w:r>
      <w:r w:rsidR="00052DE1" w:rsidRPr="00B63BD5">
        <w:rPr>
          <w:lang w:val="fr-CA"/>
        </w:rPr>
        <w:t>;</w:t>
      </w:r>
    </w:p>
    <w:p w14:paraId="422DC583" w14:textId="395C9016" w:rsidR="00401592" w:rsidRPr="00B63BD5" w:rsidRDefault="00401592" w:rsidP="00440A7E">
      <w:pPr>
        <w:pStyle w:val="04LOLglNew4"/>
        <w:rPr>
          <w:lang w:val="fr-CA"/>
        </w:rPr>
      </w:pPr>
      <w:r w:rsidRPr="00B63BD5">
        <w:rPr>
          <w:lang w:val="fr-CA"/>
        </w:rPr>
        <w:t>[90]</w:t>
      </w:r>
      <w:r w:rsidR="00AC4107" w:rsidRPr="00B63BD5">
        <w:rPr>
          <w:lang w:val="fr-CA"/>
        </w:rPr>
        <w:t xml:space="preserve"> </w:t>
      </w:r>
      <w:r w:rsidRPr="00B63BD5">
        <w:rPr>
          <w:lang w:val="fr-CA"/>
        </w:rPr>
        <w:t xml:space="preserve">% </w:t>
      </w:r>
      <w:r w:rsidR="00B84398" w:rsidRPr="00B63BD5">
        <w:rPr>
          <w:lang w:val="fr-CA"/>
        </w:rPr>
        <w:t xml:space="preserve">des </w:t>
      </w:r>
      <w:r w:rsidR="00580BA8" w:rsidRPr="00B63BD5">
        <w:rPr>
          <w:lang w:val="fr-CA"/>
        </w:rPr>
        <w:t>Comptes clients</w:t>
      </w:r>
      <w:r w:rsidR="00B84398" w:rsidRPr="00B63BD5">
        <w:rPr>
          <w:lang w:val="fr-CA"/>
        </w:rPr>
        <w:t xml:space="preserve"> assurés, sous réserve des montants maximaux stipulés </w:t>
      </w:r>
      <w:r w:rsidR="006E7175" w:rsidRPr="00B63BD5">
        <w:rPr>
          <w:lang w:val="fr-CA"/>
        </w:rPr>
        <w:t>dans</w:t>
      </w:r>
      <w:r w:rsidR="00977B95" w:rsidRPr="00B63BD5">
        <w:rPr>
          <w:lang w:val="fr-CA"/>
        </w:rPr>
        <w:t> </w:t>
      </w:r>
      <w:r w:rsidR="006E7175" w:rsidRPr="00B63BD5">
        <w:rPr>
          <w:lang w:val="fr-CA"/>
        </w:rPr>
        <w:t>les</w:t>
      </w:r>
      <w:r w:rsidR="00977B95" w:rsidRPr="00B63BD5">
        <w:rPr>
          <w:lang w:val="fr-CA"/>
        </w:rPr>
        <w:t> </w:t>
      </w:r>
      <w:r w:rsidR="00B84398" w:rsidRPr="00B63BD5">
        <w:rPr>
          <w:lang w:val="fr-CA"/>
        </w:rPr>
        <w:t>certificats d</w:t>
      </w:r>
      <w:r w:rsidR="00564B0C" w:rsidRPr="00B63BD5">
        <w:rPr>
          <w:lang w:val="fr-CA"/>
        </w:rPr>
        <w:t>’</w:t>
      </w:r>
      <w:r w:rsidR="00B84398" w:rsidRPr="00B63BD5">
        <w:rPr>
          <w:lang w:val="fr-CA"/>
        </w:rPr>
        <w:t>ass</w:t>
      </w:r>
      <w:r w:rsidR="00052DE1" w:rsidRPr="00B63BD5">
        <w:rPr>
          <w:lang w:val="fr-CA"/>
        </w:rPr>
        <w:t>urance</w:t>
      </w:r>
      <w:r w:rsidR="00B84398" w:rsidRPr="00B63BD5">
        <w:rPr>
          <w:lang w:val="fr-CA"/>
        </w:rPr>
        <w:t>;</w:t>
      </w:r>
    </w:p>
    <w:p w14:paraId="33BF0B08" w14:textId="5D57F8C2" w:rsidR="007B4721" w:rsidRPr="00B63BD5" w:rsidRDefault="00401592" w:rsidP="00440A7E">
      <w:pPr>
        <w:pStyle w:val="04LOLglNew4"/>
        <w:rPr>
          <w:lang w:val="fr-CA"/>
        </w:rPr>
      </w:pPr>
      <w:r w:rsidRPr="00B63BD5">
        <w:rPr>
          <w:lang w:val="fr-CA"/>
        </w:rPr>
        <w:t>[50]</w:t>
      </w:r>
      <w:r w:rsidR="00AC4107" w:rsidRPr="00B63BD5">
        <w:rPr>
          <w:lang w:val="fr-CA"/>
        </w:rPr>
        <w:t xml:space="preserve"> </w:t>
      </w:r>
      <w:r w:rsidRPr="00B63BD5">
        <w:rPr>
          <w:lang w:val="fr-CA"/>
        </w:rPr>
        <w:t xml:space="preserve">% </w:t>
      </w:r>
      <w:r w:rsidR="00B84398" w:rsidRPr="00B63BD5">
        <w:rPr>
          <w:lang w:val="fr-CA"/>
        </w:rPr>
        <w:t>des Stocks acceptables</w:t>
      </w:r>
      <w:r w:rsidR="00F827C2" w:rsidRPr="00B63BD5">
        <w:rPr>
          <w:lang w:val="fr-CA"/>
        </w:rPr>
        <w:t xml:space="preserve"> jusqu</w:t>
      </w:r>
      <w:r w:rsidR="00564B0C" w:rsidRPr="00B63BD5">
        <w:rPr>
          <w:lang w:val="fr-CA"/>
        </w:rPr>
        <w:t>’</w:t>
      </w:r>
      <w:r w:rsidR="00F827C2" w:rsidRPr="00B63BD5">
        <w:rPr>
          <w:lang w:val="fr-CA"/>
        </w:rPr>
        <w:t xml:space="preserve">à concurrence de </w:t>
      </w:r>
      <w:r w:rsidR="00B84398" w:rsidRPr="00B63BD5">
        <w:rPr>
          <w:lang w:val="fr-CA"/>
        </w:rPr>
        <w:t>●</w:t>
      </w:r>
      <w:r w:rsidR="00AC4107" w:rsidRPr="00B63BD5">
        <w:rPr>
          <w:lang w:val="fr-CA"/>
        </w:rPr>
        <w:t xml:space="preserve"> </w:t>
      </w:r>
      <w:r w:rsidR="00052DE1" w:rsidRPr="00B63BD5">
        <w:rPr>
          <w:lang w:val="fr-CA"/>
        </w:rPr>
        <w:t>$</w:t>
      </w:r>
      <w:r w:rsidR="00AC4107" w:rsidRPr="00B63BD5">
        <w:rPr>
          <w:lang w:val="fr-CA"/>
        </w:rPr>
        <w:t xml:space="preserve"> </w:t>
      </w:r>
      <w:r w:rsidR="00B84398" w:rsidRPr="00B63BD5">
        <w:rPr>
          <w:lang w:val="fr-CA"/>
        </w:rPr>
        <w:t>CA</w:t>
      </w:r>
      <w:r w:rsidR="00052DE1" w:rsidRPr="00B63BD5">
        <w:rPr>
          <w:lang w:val="fr-CA"/>
        </w:rPr>
        <w:t>;</w:t>
      </w:r>
      <w:r w:rsidR="007B4721" w:rsidRPr="00B63BD5">
        <w:rPr>
          <w:lang w:val="fr-CA"/>
        </w:rPr>
        <w:t xml:space="preserve"> </w:t>
      </w:r>
    </w:p>
    <w:p w14:paraId="1111E186" w14:textId="2601CEB0" w:rsidR="007B4721" w:rsidRPr="00B63BD5" w:rsidRDefault="00EA17BB" w:rsidP="00440A7E">
      <w:pPr>
        <w:pStyle w:val="04LOLglNew4"/>
        <w:rPr>
          <w:lang w:val="fr-CA"/>
        </w:rPr>
      </w:pPr>
      <w:r w:rsidRPr="00B63BD5">
        <w:rPr>
          <w:lang w:val="fr-CA"/>
        </w:rPr>
        <w:t>[</w:t>
      </w:r>
      <w:r w:rsidR="00401592" w:rsidRPr="00B63BD5">
        <w:rPr>
          <w:lang w:val="fr-CA"/>
        </w:rPr>
        <w:t>100</w:t>
      </w:r>
      <w:r w:rsidR="00B056F9" w:rsidRPr="00B63BD5">
        <w:rPr>
          <w:lang w:val="fr-CA"/>
        </w:rPr>
        <w:t> </w:t>
      </w:r>
      <w:r w:rsidR="00401592" w:rsidRPr="00B63BD5">
        <w:rPr>
          <w:lang w:val="fr-CA"/>
        </w:rPr>
        <w:t>%</w:t>
      </w:r>
      <w:r w:rsidRPr="00B63BD5">
        <w:rPr>
          <w:lang w:val="fr-CA"/>
        </w:rPr>
        <w:t>]</w:t>
      </w:r>
      <w:r w:rsidR="00401592" w:rsidRPr="00B63BD5">
        <w:rPr>
          <w:lang w:val="fr-CA"/>
        </w:rPr>
        <w:t xml:space="preserve"> </w:t>
      </w:r>
      <w:r w:rsidR="00B84398" w:rsidRPr="00B63BD5">
        <w:rPr>
          <w:lang w:val="fr-CA"/>
        </w:rPr>
        <w:t xml:space="preserve">des </w:t>
      </w:r>
      <w:r w:rsidR="0061192C" w:rsidRPr="00B63BD5">
        <w:rPr>
          <w:lang w:val="fr-CA"/>
        </w:rPr>
        <w:t>liquidités</w:t>
      </w:r>
      <w:r w:rsidR="00B84398" w:rsidRPr="00B63BD5">
        <w:rPr>
          <w:lang w:val="fr-CA"/>
        </w:rPr>
        <w:t xml:space="preserve">, des soldes créditeurs et des instruments de dépôt </w:t>
      </w:r>
      <w:r w:rsidR="00052CB0" w:rsidRPr="00B63BD5">
        <w:rPr>
          <w:lang w:val="fr-CA"/>
        </w:rPr>
        <w:t>sur l</w:t>
      </w:r>
      <w:r w:rsidR="00B84398" w:rsidRPr="00B63BD5">
        <w:rPr>
          <w:lang w:val="fr-CA"/>
        </w:rPr>
        <w:t>esquels la</w:t>
      </w:r>
      <w:r w:rsidR="00977B95" w:rsidRPr="00B63BD5">
        <w:rPr>
          <w:lang w:val="fr-CA"/>
        </w:rPr>
        <w:t> </w:t>
      </w:r>
      <w:r w:rsidR="00B84398" w:rsidRPr="00B63BD5">
        <w:rPr>
          <w:lang w:val="fr-CA"/>
        </w:rPr>
        <w:t>Banque</w:t>
      </w:r>
      <w:r w:rsidR="00977B95" w:rsidRPr="00B63BD5">
        <w:rPr>
          <w:lang w:val="fr-CA"/>
        </w:rPr>
        <w:t> </w:t>
      </w:r>
      <w:r w:rsidR="00B84398" w:rsidRPr="00B63BD5">
        <w:rPr>
          <w:lang w:val="fr-CA"/>
        </w:rPr>
        <w:t xml:space="preserve">détient une </w:t>
      </w:r>
      <w:r w:rsidR="00A67839" w:rsidRPr="00B63BD5">
        <w:rPr>
          <w:lang w:val="fr-CA"/>
        </w:rPr>
        <w:t xml:space="preserve">Charge </w:t>
      </w:r>
      <w:r w:rsidR="00B84398" w:rsidRPr="00B63BD5">
        <w:rPr>
          <w:lang w:val="fr-CA"/>
        </w:rPr>
        <w:t xml:space="preserve">de premier rang et qui </w:t>
      </w:r>
      <w:r w:rsidR="00E800CB" w:rsidRPr="00B63BD5">
        <w:rPr>
          <w:lang w:val="fr-CA"/>
        </w:rPr>
        <w:t xml:space="preserve">sont détenus </w:t>
      </w:r>
      <w:r w:rsidR="00B84398" w:rsidRPr="00B63BD5">
        <w:rPr>
          <w:lang w:val="fr-CA"/>
        </w:rPr>
        <w:t xml:space="preserve">dans </w:t>
      </w:r>
      <w:r w:rsidR="006E7175" w:rsidRPr="00B63BD5">
        <w:rPr>
          <w:lang w:val="fr-CA"/>
        </w:rPr>
        <w:t>d</w:t>
      </w:r>
      <w:r w:rsidR="00B84398" w:rsidRPr="00B63BD5">
        <w:rPr>
          <w:lang w:val="fr-CA"/>
        </w:rPr>
        <w:t>es comptes</w:t>
      </w:r>
      <w:r w:rsidR="00E800CB" w:rsidRPr="00B63BD5">
        <w:rPr>
          <w:lang w:val="fr-CA"/>
        </w:rPr>
        <w:t xml:space="preserve"> </w:t>
      </w:r>
      <w:r w:rsidR="000D7C7F" w:rsidRPr="00B63BD5">
        <w:rPr>
          <w:lang w:val="fr-CA"/>
        </w:rPr>
        <w:t xml:space="preserve">auprès </w:t>
      </w:r>
      <w:r w:rsidR="00E800CB" w:rsidRPr="00B63BD5">
        <w:rPr>
          <w:lang w:val="fr-CA"/>
        </w:rPr>
        <w:t>de</w:t>
      </w:r>
      <w:r w:rsidR="00977B95" w:rsidRPr="00B63BD5">
        <w:rPr>
          <w:lang w:val="fr-CA"/>
        </w:rPr>
        <w:t> </w:t>
      </w:r>
      <w:r w:rsidR="00B84398" w:rsidRPr="00B63BD5">
        <w:rPr>
          <w:lang w:val="fr-CA"/>
        </w:rPr>
        <w:t>la</w:t>
      </w:r>
      <w:r w:rsidR="00977B95" w:rsidRPr="00B63BD5">
        <w:rPr>
          <w:lang w:val="fr-CA"/>
        </w:rPr>
        <w:t> </w:t>
      </w:r>
      <w:r w:rsidR="00B84398" w:rsidRPr="00B63BD5">
        <w:rPr>
          <w:lang w:val="fr-CA"/>
        </w:rPr>
        <w:t>Banque</w:t>
      </w:r>
      <w:r w:rsidR="00491776" w:rsidRPr="00B63BD5">
        <w:rPr>
          <w:lang w:val="fr-CA"/>
        </w:rPr>
        <w:t>;</w:t>
      </w:r>
      <w:r w:rsidR="00AC4107" w:rsidRPr="00B63BD5">
        <w:rPr>
          <w:lang w:val="fr-CA"/>
        </w:rPr>
        <w:t xml:space="preserve"> </w:t>
      </w:r>
      <w:r w:rsidR="00052CB0" w:rsidRPr="00B63BD5">
        <w:rPr>
          <w:lang w:val="fr-CA"/>
        </w:rPr>
        <w:t xml:space="preserve">déduction faite des </w:t>
      </w:r>
      <w:r w:rsidR="00074777" w:rsidRPr="00B63BD5">
        <w:rPr>
          <w:lang w:val="fr-CA"/>
        </w:rPr>
        <w:t>éléments suivants</w:t>
      </w:r>
      <w:r w:rsidR="00AC4107" w:rsidRPr="00B63BD5">
        <w:rPr>
          <w:lang w:val="fr-CA"/>
        </w:rPr>
        <w:t xml:space="preserve"> </w:t>
      </w:r>
      <w:r w:rsidR="00074777" w:rsidRPr="00B63BD5">
        <w:rPr>
          <w:lang w:val="fr-CA"/>
        </w:rPr>
        <w:t>:</w:t>
      </w:r>
      <w:r w:rsidR="007B4721" w:rsidRPr="00B63BD5">
        <w:rPr>
          <w:lang w:val="fr-CA"/>
        </w:rPr>
        <w:t xml:space="preserve"> </w:t>
      </w:r>
    </w:p>
    <w:p w14:paraId="505E0C40" w14:textId="1E8A8128" w:rsidR="00F827C2" w:rsidRPr="00B63BD5" w:rsidRDefault="00F827C2" w:rsidP="00440A7E">
      <w:pPr>
        <w:pStyle w:val="04LOLglNew4"/>
        <w:rPr>
          <w:lang w:val="fr-CA"/>
        </w:rPr>
      </w:pPr>
      <w:r w:rsidRPr="00B63BD5">
        <w:rPr>
          <w:lang w:val="fr-CA"/>
        </w:rPr>
        <w:t>[100</w:t>
      </w:r>
      <w:r w:rsidR="00B056F9" w:rsidRPr="00B63BD5">
        <w:rPr>
          <w:lang w:val="fr-CA"/>
        </w:rPr>
        <w:t> </w:t>
      </w:r>
      <w:r w:rsidRPr="00B63BD5">
        <w:rPr>
          <w:lang w:val="fr-CA"/>
        </w:rPr>
        <w:t xml:space="preserve">% de la limite de la Facilité MasterCard </w:t>
      </w:r>
      <w:r w:rsidR="00E800CB" w:rsidRPr="00B63BD5">
        <w:rPr>
          <w:lang w:val="fr-CA"/>
        </w:rPr>
        <w:t>consentie à</w:t>
      </w:r>
      <w:r w:rsidRPr="00B63BD5">
        <w:rPr>
          <w:lang w:val="fr-CA"/>
        </w:rPr>
        <w:t xml:space="preserve"> l</w:t>
      </w:r>
      <w:r w:rsidR="00564B0C" w:rsidRPr="00B63BD5">
        <w:rPr>
          <w:lang w:val="fr-CA"/>
        </w:rPr>
        <w:t>’</w:t>
      </w:r>
      <w:r w:rsidRPr="00B63BD5">
        <w:rPr>
          <w:lang w:val="fr-CA"/>
        </w:rPr>
        <w:t>Emprunteur;]</w:t>
      </w:r>
    </w:p>
    <w:p w14:paraId="4308C2AD" w14:textId="16A4183E" w:rsidR="00401592" w:rsidRPr="00B63BD5" w:rsidRDefault="00B84398" w:rsidP="00440A7E">
      <w:pPr>
        <w:pStyle w:val="04LOLglNew4"/>
        <w:rPr>
          <w:lang w:val="fr-CA"/>
        </w:rPr>
      </w:pPr>
      <w:r w:rsidRPr="00B63BD5">
        <w:rPr>
          <w:lang w:val="fr-CA"/>
        </w:rPr>
        <w:t xml:space="preserve">les Créances </w:t>
      </w:r>
      <w:r w:rsidR="00074777" w:rsidRPr="00B63BD5">
        <w:rPr>
          <w:lang w:val="fr-CA"/>
        </w:rPr>
        <w:t xml:space="preserve">prioritaires </w:t>
      </w:r>
      <w:r w:rsidRPr="00B63BD5">
        <w:rPr>
          <w:lang w:val="fr-CA"/>
        </w:rPr>
        <w:t xml:space="preserve">éventuelles; </w:t>
      </w:r>
    </w:p>
    <w:p w14:paraId="42212F01" w14:textId="73CC0199" w:rsidR="00401592" w:rsidRPr="00B63BD5" w:rsidRDefault="00B84398" w:rsidP="00440A7E">
      <w:pPr>
        <w:pStyle w:val="04LOLglNew4"/>
        <w:rPr>
          <w:lang w:val="fr-CA"/>
        </w:rPr>
      </w:pPr>
      <w:r w:rsidRPr="00B63BD5">
        <w:rPr>
          <w:lang w:val="fr-CA"/>
        </w:rPr>
        <w:t xml:space="preserve">les </w:t>
      </w:r>
      <w:r w:rsidR="00580BA8" w:rsidRPr="00B63BD5">
        <w:rPr>
          <w:lang w:val="fr-CA"/>
        </w:rPr>
        <w:t>Comptes clients</w:t>
      </w:r>
      <w:r w:rsidRPr="00B63BD5">
        <w:rPr>
          <w:lang w:val="fr-CA"/>
        </w:rPr>
        <w:t xml:space="preserve"> de l</w:t>
      </w:r>
      <w:r w:rsidR="00564B0C" w:rsidRPr="00B63BD5">
        <w:rPr>
          <w:lang w:val="fr-CA"/>
        </w:rPr>
        <w:t>’</w:t>
      </w:r>
      <w:r w:rsidRPr="00B63BD5">
        <w:rPr>
          <w:lang w:val="fr-CA"/>
        </w:rPr>
        <w:t>E</w:t>
      </w:r>
      <w:r w:rsidR="00052DE1" w:rsidRPr="00B63BD5">
        <w:rPr>
          <w:lang w:val="fr-CA"/>
        </w:rPr>
        <w:t xml:space="preserve">mprunteur </w:t>
      </w:r>
      <w:r w:rsidRPr="00B63BD5">
        <w:rPr>
          <w:lang w:val="fr-CA"/>
        </w:rPr>
        <w:t xml:space="preserve">qui ont été vendus ou </w:t>
      </w:r>
      <w:r w:rsidR="00074777" w:rsidRPr="00B63BD5">
        <w:rPr>
          <w:lang w:val="fr-CA"/>
        </w:rPr>
        <w:t>af</w:t>
      </w:r>
      <w:r w:rsidRPr="00B63BD5">
        <w:rPr>
          <w:lang w:val="fr-CA"/>
        </w:rPr>
        <w:t>factur</w:t>
      </w:r>
      <w:r w:rsidR="00074777" w:rsidRPr="00B63BD5">
        <w:rPr>
          <w:lang w:val="fr-CA"/>
        </w:rPr>
        <w:t>és</w:t>
      </w:r>
      <w:r w:rsidRPr="00B63BD5">
        <w:rPr>
          <w:lang w:val="fr-CA"/>
        </w:rPr>
        <w:t xml:space="preserve"> à la B</w:t>
      </w:r>
      <w:r w:rsidR="00052DE1" w:rsidRPr="00B63BD5">
        <w:rPr>
          <w:lang w:val="fr-CA"/>
        </w:rPr>
        <w:t>anque</w:t>
      </w:r>
      <w:r w:rsidR="002F145B" w:rsidRPr="00B63BD5">
        <w:rPr>
          <w:lang w:val="fr-CA"/>
        </w:rPr>
        <w:t xml:space="preserve"> ou</w:t>
      </w:r>
      <w:r w:rsidR="00977B95" w:rsidRPr="00B63BD5">
        <w:rPr>
          <w:lang w:val="fr-CA"/>
        </w:rPr>
        <w:t> </w:t>
      </w:r>
      <w:r w:rsidR="002F145B" w:rsidRPr="00B63BD5">
        <w:rPr>
          <w:lang w:val="fr-CA"/>
        </w:rPr>
        <w:t>à</w:t>
      </w:r>
      <w:r w:rsidR="00977B95" w:rsidRPr="00B63BD5">
        <w:rPr>
          <w:lang w:val="fr-CA"/>
        </w:rPr>
        <w:t> </w:t>
      </w:r>
      <w:r w:rsidR="002F145B" w:rsidRPr="00B63BD5">
        <w:rPr>
          <w:lang w:val="fr-CA"/>
        </w:rPr>
        <w:t>un</w:t>
      </w:r>
      <w:r w:rsidR="00977B95" w:rsidRPr="00B63BD5">
        <w:rPr>
          <w:lang w:val="fr-CA"/>
        </w:rPr>
        <w:t> </w:t>
      </w:r>
      <w:r w:rsidR="002F145B" w:rsidRPr="00B63BD5">
        <w:rPr>
          <w:lang w:val="fr-CA"/>
        </w:rPr>
        <w:t>autre</w:t>
      </w:r>
      <w:r w:rsidR="00977B95" w:rsidRPr="00B63BD5">
        <w:rPr>
          <w:lang w:val="fr-CA"/>
        </w:rPr>
        <w:t> </w:t>
      </w:r>
      <w:r w:rsidRPr="00B63BD5">
        <w:rPr>
          <w:lang w:val="fr-CA"/>
        </w:rPr>
        <w:t>tiers</w:t>
      </w:r>
      <w:r w:rsidR="00391D04" w:rsidRPr="00B63BD5">
        <w:rPr>
          <w:lang w:val="fr-CA"/>
        </w:rPr>
        <w:t>.</w:t>
      </w:r>
    </w:p>
    <w:p w14:paraId="37D36AE8" w14:textId="66878EE0" w:rsidR="001543CA" w:rsidRPr="00B63BD5" w:rsidRDefault="00FA78A5" w:rsidP="009027EF">
      <w:pPr>
        <w:pStyle w:val="04LOLglNew1"/>
        <w:rPr>
          <w:lang w:val="fr-CA"/>
        </w:rPr>
      </w:pPr>
      <w:r w:rsidRPr="00B63BD5">
        <w:rPr>
          <w:lang w:val="fr-CA"/>
        </w:rPr>
        <w:t>Documents</w:t>
      </w:r>
      <w:r w:rsidR="00261E44" w:rsidRPr="00B63BD5">
        <w:rPr>
          <w:lang w:val="fr-CA"/>
        </w:rPr>
        <w:t xml:space="preserve"> de prêt</w:t>
      </w:r>
    </w:p>
    <w:p w14:paraId="5918A8DD" w14:textId="6EF506C5" w:rsidR="009926E7" w:rsidRPr="00B63BD5" w:rsidRDefault="009926E7" w:rsidP="00D33630">
      <w:pPr>
        <w:pStyle w:val="04LOLglNew2"/>
      </w:pPr>
      <w:r w:rsidRPr="00B63BD5">
        <w:t>Documents</w:t>
      </w:r>
      <w:r w:rsidR="00261E44" w:rsidRPr="00B63BD5">
        <w:t xml:space="preserve"> de prêt</w:t>
      </w:r>
    </w:p>
    <w:p w14:paraId="521F7F1E" w14:textId="1B1A1F3B" w:rsidR="00977B95" w:rsidRPr="00B63BD5" w:rsidRDefault="00F827C2" w:rsidP="00632863">
      <w:pPr>
        <w:keepNext/>
        <w:spacing w:after="240"/>
        <w:jc w:val="both"/>
        <w:rPr>
          <w:b/>
          <w:color w:val="00B0F0"/>
          <w:lang w:val="fr-CA"/>
        </w:rPr>
      </w:pPr>
      <w:r w:rsidRPr="00B63BD5">
        <w:rPr>
          <w:b/>
          <w:color w:val="00B0F0"/>
          <w:lang w:val="fr-CA"/>
        </w:rPr>
        <w:t xml:space="preserve">[N.B. : Utiliser </w:t>
      </w:r>
      <w:r w:rsidR="006C28F9" w:rsidRPr="00B63BD5">
        <w:rPr>
          <w:b/>
          <w:color w:val="00B0F0"/>
          <w:lang w:val="fr-CA"/>
        </w:rPr>
        <w:t>l</w:t>
      </w:r>
      <w:r w:rsidRPr="00B63BD5">
        <w:rPr>
          <w:b/>
          <w:color w:val="00B0F0"/>
          <w:lang w:val="fr-CA"/>
        </w:rPr>
        <w:t xml:space="preserve">e paragraphe </w:t>
      </w:r>
      <w:r w:rsidR="006C28F9" w:rsidRPr="00B63BD5">
        <w:rPr>
          <w:b/>
          <w:color w:val="00B0F0"/>
          <w:lang w:val="fr-CA"/>
        </w:rPr>
        <w:t xml:space="preserve">suivant </w:t>
      </w:r>
      <w:r w:rsidRPr="00B63BD5">
        <w:rPr>
          <w:b/>
          <w:color w:val="00B0F0"/>
          <w:lang w:val="fr-CA"/>
        </w:rPr>
        <w:t>pour les nouvelles Lettres relatives aux facilités.]</w:t>
      </w:r>
    </w:p>
    <w:p w14:paraId="503A634D" w14:textId="10DD8702" w:rsidR="00E5390A" w:rsidRPr="00B63BD5" w:rsidRDefault="005446DE" w:rsidP="00632863">
      <w:pPr>
        <w:keepNext/>
        <w:spacing w:after="240"/>
        <w:jc w:val="both"/>
        <w:rPr>
          <w:lang w:val="fr-CA"/>
        </w:rPr>
      </w:pPr>
      <w:r w:rsidRPr="00B63BD5">
        <w:rPr>
          <w:lang w:val="fr-CA"/>
        </w:rPr>
        <w:t xml:space="preserve">Les dettes et les obligations </w:t>
      </w:r>
      <w:r w:rsidR="00515DD4" w:rsidRPr="00B63BD5">
        <w:rPr>
          <w:lang w:val="fr-CA"/>
        </w:rPr>
        <w:t xml:space="preserve">que </w:t>
      </w:r>
      <w:r w:rsidR="00F827C2" w:rsidRPr="00B63BD5">
        <w:rPr>
          <w:lang w:val="fr-CA"/>
        </w:rPr>
        <w:t>[</w:t>
      </w:r>
      <w:r w:rsidR="00261E44" w:rsidRPr="00B63BD5">
        <w:rPr>
          <w:lang w:val="fr-CA"/>
        </w:rPr>
        <w:t>l</w:t>
      </w:r>
      <w:r w:rsidR="00564B0C" w:rsidRPr="00B63BD5">
        <w:rPr>
          <w:lang w:val="fr-CA"/>
        </w:rPr>
        <w:t>’</w:t>
      </w:r>
      <w:r w:rsidR="00261E44" w:rsidRPr="00B63BD5">
        <w:rPr>
          <w:lang w:val="fr-CA"/>
        </w:rPr>
        <w:t>Emprunteur</w:t>
      </w:r>
      <w:r w:rsidR="00580BA8" w:rsidRPr="00B63BD5">
        <w:rPr>
          <w:lang w:val="fr-CA"/>
        </w:rPr>
        <w:t xml:space="preserve"> </w:t>
      </w:r>
      <w:r w:rsidR="00F827C2" w:rsidRPr="00B63BD5">
        <w:rPr>
          <w:lang w:val="fr-CA"/>
        </w:rPr>
        <w:t>a</w:t>
      </w:r>
      <w:r w:rsidR="00902AD8" w:rsidRPr="00B63BD5">
        <w:rPr>
          <w:b/>
          <w:color w:val="00B0F0"/>
          <w:highlight w:val="yellow"/>
          <w:lang w:val="fr-CA"/>
        </w:rPr>
        <w:t xml:space="preserve"> OU</w:t>
      </w:r>
      <w:r w:rsidR="00F827C2" w:rsidRPr="00B63BD5">
        <w:rPr>
          <w:lang w:val="fr-CA"/>
        </w:rPr>
        <w:t xml:space="preserve"> les Emprunteurs</w:t>
      </w:r>
      <w:r w:rsidR="00580BA8" w:rsidRPr="00B63BD5">
        <w:rPr>
          <w:lang w:val="fr-CA"/>
        </w:rPr>
        <w:t xml:space="preserve"> </w:t>
      </w:r>
      <w:r w:rsidR="00F827C2" w:rsidRPr="00B63BD5">
        <w:rPr>
          <w:lang w:val="fr-CA"/>
        </w:rPr>
        <w:t>ont]</w:t>
      </w:r>
      <w:r w:rsidR="00515DD4" w:rsidRPr="00B63BD5">
        <w:rPr>
          <w:lang w:val="fr-CA"/>
        </w:rPr>
        <w:t xml:space="preserve"> </w:t>
      </w:r>
      <w:r w:rsidR="00F827C2" w:rsidRPr="00B63BD5">
        <w:rPr>
          <w:lang w:val="fr-CA"/>
        </w:rPr>
        <w:t xml:space="preserve">[et le Garant </w:t>
      </w:r>
      <w:r w:rsidR="00E800CB" w:rsidRPr="00B63BD5">
        <w:rPr>
          <w:lang w:val="fr-CA"/>
        </w:rPr>
        <w:t>a</w:t>
      </w:r>
      <w:r w:rsidR="00902AD8" w:rsidRPr="00B63BD5">
        <w:rPr>
          <w:lang w:val="fr-CA"/>
        </w:rPr>
        <w:t xml:space="preserve"> </w:t>
      </w:r>
      <w:r w:rsidR="00902AD8" w:rsidRPr="00B63BD5">
        <w:rPr>
          <w:b/>
          <w:color w:val="00B0F0"/>
          <w:highlight w:val="yellow"/>
          <w:lang w:val="fr-CA"/>
        </w:rPr>
        <w:t>OU</w:t>
      </w:r>
      <w:r w:rsidR="00F827C2" w:rsidRPr="00B63BD5">
        <w:rPr>
          <w:lang w:val="fr-CA"/>
        </w:rPr>
        <w:t xml:space="preserve"> et les Garants ont] </w:t>
      </w:r>
      <w:r w:rsidR="00DB1381" w:rsidRPr="00B63BD5">
        <w:rPr>
          <w:lang w:val="fr-CA"/>
        </w:rPr>
        <w:t>envers la Banque</w:t>
      </w:r>
      <w:r w:rsidR="00261E44" w:rsidRPr="00B63BD5">
        <w:rPr>
          <w:lang w:val="fr-CA"/>
        </w:rPr>
        <w:t xml:space="preserve"> </w:t>
      </w:r>
      <w:r w:rsidR="006E7175" w:rsidRPr="00B63BD5">
        <w:rPr>
          <w:lang w:val="fr-CA"/>
        </w:rPr>
        <w:t xml:space="preserve">sont régies et </w:t>
      </w:r>
      <w:r w:rsidRPr="00B63BD5">
        <w:rPr>
          <w:lang w:val="fr-CA"/>
        </w:rPr>
        <w:t>doivent être attestées</w:t>
      </w:r>
      <w:r w:rsidR="006E7175" w:rsidRPr="00B63BD5">
        <w:rPr>
          <w:lang w:val="fr-CA"/>
        </w:rPr>
        <w:t xml:space="preserve"> </w:t>
      </w:r>
      <w:r w:rsidRPr="00B63BD5">
        <w:rPr>
          <w:lang w:val="fr-CA"/>
        </w:rPr>
        <w:t xml:space="preserve">et garanties, selon le cas, par les documents suivants </w:t>
      </w:r>
      <w:r w:rsidR="00F827C2" w:rsidRPr="00B63BD5">
        <w:rPr>
          <w:lang w:val="fr-CA"/>
        </w:rPr>
        <w:t xml:space="preserve">et tous les autres </w:t>
      </w:r>
      <w:r w:rsidRPr="00B63BD5">
        <w:rPr>
          <w:lang w:val="fr-CA"/>
        </w:rPr>
        <w:t xml:space="preserve">documents </w:t>
      </w:r>
      <w:r w:rsidR="00240FE9" w:rsidRPr="00B63BD5">
        <w:rPr>
          <w:lang w:val="fr-CA"/>
        </w:rPr>
        <w:t>que</w:t>
      </w:r>
      <w:r w:rsidR="00F827C2" w:rsidRPr="00B63BD5">
        <w:rPr>
          <w:lang w:val="fr-CA"/>
        </w:rPr>
        <w:t xml:space="preserve"> la Banque </w:t>
      </w:r>
      <w:r w:rsidR="00240FE9" w:rsidRPr="00B63BD5">
        <w:rPr>
          <w:lang w:val="fr-CA"/>
        </w:rPr>
        <w:t>pourrait raisonnablement exiger</w:t>
      </w:r>
      <w:r w:rsidR="00EA17BB" w:rsidRPr="00B63BD5">
        <w:rPr>
          <w:lang w:val="fr-CA"/>
        </w:rPr>
        <w:t>, y</w:t>
      </w:r>
      <w:r w:rsidR="00AC4107" w:rsidRPr="00B63BD5">
        <w:rPr>
          <w:lang w:val="fr-CA"/>
        </w:rPr>
        <w:t xml:space="preserve"> </w:t>
      </w:r>
      <w:r w:rsidR="00EA17BB" w:rsidRPr="00B63BD5">
        <w:rPr>
          <w:lang w:val="fr-CA"/>
        </w:rPr>
        <w:t>compris la présente Lettre</w:t>
      </w:r>
      <w:r w:rsidR="00977B95" w:rsidRPr="00B63BD5">
        <w:rPr>
          <w:lang w:val="fr-CA"/>
        </w:rPr>
        <w:t> </w:t>
      </w:r>
      <w:r w:rsidR="00EA17BB" w:rsidRPr="00B63BD5">
        <w:rPr>
          <w:lang w:val="fr-CA"/>
        </w:rPr>
        <w:t>relative aux facilités</w:t>
      </w:r>
      <w:r w:rsidR="00240FE9" w:rsidRPr="00B63BD5">
        <w:rPr>
          <w:lang w:val="fr-CA"/>
        </w:rPr>
        <w:t xml:space="preserve"> </w:t>
      </w:r>
      <w:r w:rsidR="00F827C2" w:rsidRPr="00B63BD5">
        <w:rPr>
          <w:lang w:val="fr-CA"/>
        </w:rPr>
        <w:t>(</w:t>
      </w:r>
      <w:r w:rsidRPr="00B63BD5">
        <w:rPr>
          <w:lang w:val="fr-CA"/>
        </w:rPr>
        <w:t>collectiv</w:t>
      </w:r>
      <w:r w:rsidR="00C35479" w:rsidRPr="00B63BD5">
        <w:rPr>
          <w:lang w:val="fr-CA"/>
        </w:rPr>
        <w:t>e</w:t>
      </w:r>
      <w:r w:rsidRPr="00B63BD5">
        <w:rPr>
          <w:lang w:val="fr-CA"/>
        </w:rPr>
        <w:t>ment</w:t>
      </w:r>
      <w:r w:rsidR="000D7C7F" w:rsidRPr="00B63BD5">
        <w:rPr>
          <w:lang w:val="fr-CA"/>
        </w:rPr>
        <w:t>,</w:t>
      </w:r>
      <w:r w:rsidRPr="00B63BD5">
        <w:rPr>
          <w:lang w:val="fr-CA"/>
        </w:rPr>
        <w:t xml:space="preserve"> les</w:t>
      </w:r>
      <w:r w:rsidR="00AC4107" w:rsidRPr="00B63BD5">
        <w:rPr>
          <w:lang w:val="fr-CA"/>
        </w:rPr>
        <w:t xml:space="preserve"> </w:t>
      </w:r>
      <w:r w:rsidR="00CE43CA" w:rsidRPr="00B63BD5">
        <w:rPr>
          <w:lang w:val="fr-CA"/>
        </w:rPr>
        <w:t>«</w:t>
      </w:r>
      <w:r w:rsidR="0094743F" w:rsidRPr="00B63BD5">
        <w:rPr>
          <w:lang w:val="fr-CA"/>
        </w:rPr>
        <w:t> </w:t>
      </w:r>
      <w:r w:rsidR="00CE43CA" w:rsidRPr="00B63BD5">
        <w:rPr>
          <w:b/>
          <w:lang w:val="fr-CA"/>
        </w:rPr>
        <w:t>Documents de prêt</w:t>
      </w:r>
      <w:r w:rsidR="0094743F" w:rsidRPr="00B63BD5">
        <w:rPr>
          <w:lang w:val="fr-CA"/>
        </w:rPr>
        <w:t> </w:t>
      </w:r>
      <w:r w:rsidR="00CE43CA" w:rsidRPr="00B63BD5">
        <w:rPr>
          <w:lang w:val="fr-CA"/>
        </w:rPr>
        <w:t>»)</w:t>
      </w:r>
      <w:r w:rsidR="006E7175" w:rsidRPr="00B63BD5">
        <w:rPr>
          <w:lang w:val="fr-CA"/>
        </w:rPr>
        <w:t>,</w:t>
      </w:r>
      <w:r w:rsidR="009926E7" w:rsidRPr="00B63BD5">
        <w:rPr>
          <w:lang w:val="fr-CA"/>
        </w:rPr>
        <w:t xml:space="preserve"> </w:t>
      </w:r>
      <w:r w:rsidR="00515DD4" w:rsidRPr="00B63BD5">
        <w:rPr>
          <w:lang w:val="fr-CA"/>
        </w:rPr>
        <w:t xml:space="preserve">remplis </w:t>
      </w:r>
      <w:r w:rsidR="006E7175" w:rsidRPr="00B63BD5">
        <w:rPr>
          <w:lang w:val="fr-CA"/>
        </w:rPr>
        <w:t>à la satisfaction de</w:t>
      </w:r>
      <w:r w:rsidR="00977B95" w:rsidRPr="00B63BD5">
        <w:rPr>
          <w:lang w:val="fr-CA"/>
        </w:rPr>
        <w:t> </w:t>
      </w:r>
      <w:r w:rsidR="006E7175" w:rsidRPr="00B63BD5">
        <w:rPr>
          <w:lang w:val="fr-CA"/>
        </w:rPr>
        <w:t>la</w:t>
      </w:r>
      <w:r w:rsidR="00977B95" w:rsidRPr="00B63BD5">
        <w:rPr>
          <w:lang w:val="fr-CA"/>
        </w:rPr>
        <w:t> </w:t>
      </w:r>
      <w:r w:rsidR="006E7175" w:rsidRPr="00B63BD5">
        <w:rPr>
          <w:lang w:val="fr-CA"/>
        </w:rPr>
        <w:t xml:space="preserve">Banque </w:t>
      </w:r>
      <w:r w:rsidR="00515DD4" w:rsidRPr="00B63BD5">
        <w:rPr>
          <w:lang w:val="fr-CA"/>
        </w:rPr>
        <w:t>quant à la forme et au fond</w:t>
      </w:r>
      <w:r w:rsidR="00AC4107" w:rsidRPr="00B63BD5">
        <w:rPr>
          <w:lang w:val="fr-CA"/>
        </w:rPr>
        <w:t xml:space="preserve"> </w:t>
      </w:r>
      <w:r w:rsidR="00515DD4" w:rsidRPr="00B63BD5">
        <w:rPr>
          <w:lang w:val="fr-CA"/>
        </w:rPr>
        <w:t>:</w:t>
      </w:r>
    </w:p>
    <w:p w14:paraId="13EA086B" w14:textId="6AF0B326" w:rsidR="00977B95" w:rsidRPr="00B63BD5" w:rsidRDefault="00F827C2" w:rsidP="00632863">
      <w:pPr>
        <w:keepNext/>
        <w:spacing w:after="240"/>
        <w:jc w:val="both"/>
        <w:rPr>
          <w:b/>
          <w:color w:val="00B0F0"/>
          <w:lang w:val="fr-CA"/>
        </w:rPr>
      </w:pPr>
      <w:r w:rsidRPr="00B63BD5">
        <w:rPr>
          <w:b/>
          <w:color w:val="00B0F0"/>
          <w:lang w:val="fr-CA"/>
        </w:rPr>
        <w:t xml:space="preserve">[N.B. : Utiliser le paragraphe </w:t>
      </w:r>
      <w:r w:rsidR="006C28F9" w:rsidRPr="00B63BD5">
        <w:rPr>
          <w:b/>
          <w:color w:val="00B0F0"/>
          <w:lang w:val="fr-CA"/>
        </w:rPr>
        <w:t>suivant s</w:t>
      </w:r>
      <w:r w:rsidR="00564B0C" w:rsidRPr="00B63BD5">
        <w:rPr>
          <w:b/>
          <w:color w:val="00B0F0"/>
          <w:lang w:val="fr-CA"/>
        </w:rPr>
        <w:t>’</w:t>
      </w:r>
      <w:r w:rsidR="006C28F9" w:rsidRPr="00B63BD5">
        <w:rPr>
          <w:b/>
          <w:color w:val="00B0F0"/>
          <w:lang w:val="fr-CA"/>
        </w:rPr>
        <w:t>il s</w:t>
      </w:r>
      <w:r w:rsidR="00564B0C" w:rsidRPr="00B63BD5">
        <w:rPr>
          <w:b/>
          <w:color w:val="00B0F0"/>
          <w:lang w:val="fr-CA"/>
        </w:rPr>
        <w:t>’</w:t>
      </w:r>
      <w:r w:rsidR="006C28F9" w:rsidRPr="00B63BD5">
        <w:rPr>
          <w:b/>
          <w:color w:val="00B0F0"/>
          <w:lang w:val="fr-CA"/>
        </w:rPr>
        <w:t xml:space="preserve">agit de </w:t>
      </w:r>
      <w:r w:rsidRPr="00B63BD5">
        <w:rPr>
          <w:b/>
          <w:color w:val="00B0F0"/>
          <w:u w:val="single"/>
          <w:lang w:val="fr-CA"/>
        </w:rPr>
        <w:t>reformul</w:t>
      </w:r>
      <w:r w:rsidR="006C28F9" w:rsidRPr="00B63BD5">
        <w:rPr>
          <w:b/>
          <w:color w:val="00B0F0"/>
          <w:u w:val="single"/>
          <w:lang w:val="fr-CA"/>
        </w:rPr>
        <w:t>er</w:t>
      </w:r>
      <w:r w:rsidR="006C28F9" w:rsidRPr="00B63BD5">
        <w:rPr>
          <w:b/>
          <w:color w:val="00B0F0"/>
          <w:lang w:val="fr-CA"/>
        </w:rPr>
        <w:t xml:space="preserve"> </w:t>
      </w:r>
      <w:r w:rsidRPr="00B63BD5">
        <w:rPr>
          <w:b/>
          <w:color w:val="00B0F0"/>
          <w:lang w:val="fr-CA"/>
        </w:rPr>
        <w:t>une Lettre relative aux facilités existante. Donner ci</w:t>
      </w:r>
      <w:r w:rsidRPr="00B63BD5">
        <w:rPr>
          <w:b/>
          <w:color w:val="00B0F0"/>
          <w:lang w:val="fr-CA"/>
        </w:rPr>
        <w:noBreakHyphen/>
        <w:t xml:space="preserve">après uniquement la liste des </w:t>
      </w:r>
      <w:r w:rsidR="00F93C91" w:rsidRPr="00B63BD5">
        <w:rPr>
          <w:b/>
          <w:color w:val="00B0F0"/>
          <w:lang w:val="fr-CA"/>
        </w:rPr>
        <w:t>nouveaux</w:t>
      </w:r>
      <w:r w:rsidR="00142D9B" w:rsidRPr="00B63BD5">
        <w:rPr>
          <w:b/>
          <w:color w:val="00B0F0"/>
          <w:lang w:val="fr-CA"/>
        </w:rPr>
        <w:t xml:space="preserve"> </w:t>
      </w:r>
      <w:r w:rsidRPr="00B63BD5">
        <w:rPr>
          <w:b/>
          <w:color w:val="00B0F0"/>
          <w:lang w:val="fr-CA"/>
        </w:rPr>
        <w:t>documents de garantie, le cas échéant.</w:t>
      </w:r>
      <w:r w:rsidR="001B4F50" w:rsidRPr="00B63BD5">
        <w:rPr>
          <w:b/>
          <w:color w:val="00B0F0"/>
          <w:lang w:val="fr-CA"/>
        </w:rPr>
        <w:t xml:space="preserve"> S</w:t>
      </w:r>
      <w:r w:rsidR="00564B0C" w:rsidRPr="00B63BD5">
        <w:rPr>
          <w:b/>
          <w:color w:val="00B0F0"/>
          <w:lang w:val="fr-CA"/>
        </w:rPr>
        <w:t>’</w:t>
      </w:r>
      <w:r w:rsidR="001B4F50" w:rsidRPr="00B63BD5">
        <w:rPr>
          <w:b/>
          <w:color w:val="00B0F0"/>
          <w:lang w:val="fr-CA"/>
        </w:rPr>
        <w:t xml:space="preserve">assurer que toutes les </w:t>
      </w:r>
      <w:r w:rsidR="00656C45" w:rsidRPr="00B63BD5">
        <w:rPr>
          <w:b/>
          <w:color w:val="00B0F0"/>
          <w:lang w:val="fr-CA"/>
        </w:rPr>
        <w:t>garanties</w:t>
      </w:r>
      <w:r w:rsidR="001B4F50" w:rsidRPr="00B63BD5">
        <w:rPr>
          <w:b/>
          <w:color w:val="00B0F0"/>
          <w:lang w:val="fr-CA"/>
        </w:rPr>
        <w:t xml:space="preserve"> </w:t>
      </w:r>
      <w:r w:rsidR="00DB1381" w:rsidRPr="00B63BD5">
        <w:rPr>
          <w:b/>
          <w:color w:val="00B0F0"/>
          <w:lang w:val="fr-CA"/>
        </w:rPr>
        <w:t xml:space="preserve">existantes </w:t>
      </w:r>
      <w:r w:rsidR="001B4F50" w:rsidRPr="00B63BD5">
        <w:rPr>
          <w:b/>
          <w:color w:val="00B0F0"/>
          <w:lang w:val="fr-CA"/>
        </w:rPr>
        <w:t>qui ne sont pas indiquées sont déjà mentionnées dans la Lettre</w:t>
      </w:r>
      <w:r w:rsidR="00363F9D" w:rsidRPr="00B63BD5">
        <w:rPr>
          <w:b/>
          <w:color w:val="00B0F0"/>
          <w:lang w:val="fr-CA"/>
        </w:rPr>
        <w:t> </w:t>
      </w:r>
      <w:r w:rsidR="001B4F50" w:rsidRPr="00B63BD5">
        <w:rPr>
          <w:b/>
          <w:color w:val="00B0F0"/>
          <w:lang w:val="fr-CA"/>
        </w:rPr>
        <w:t>relative aux facilités initiale.</w:t>
      </w:r>
      <w:r w:rsidRPr="00B63BD5">
        <w:rPr>
          <w:b/>
          <w:color w:val="00B0F0"/>
          <w:lang w:val="fr-CA"/>
        </w:rPr>
        <w:t>]</w:t>
      </w:r>
    </w:p>
    <w:p w14:paraId="09F034FC" w14:textId="7146767F" w:rsidR="00F827C2" w:rsidRPr="00B63BD5" w:rsidRDefault="00F827C2" w:rsidP="00632863">
      <w:pPr>
        <w:keepNext/>
        <w:spacing w:after="240"/>
        <w:jc w:val="both"/>
        <w:rPr>
          <w:lang w:val="fr-CA"/>
        </w:rPr>
      </w:pPr>
      <w:r w:rsidRPr="00B63BD5">
        <w:rPr>
          <w:lang w:val="fr-CA"/>
        </w:rPr>
        <w:t>Les dettes et les obligations que [l</w:t>
      </w:r>
      <w:r w:rsidR="00564B0C" w:rsidRPr="00B63BD5">
        <w:rPr>
          <w:lang w:val="fr-CA"/>
        </w:rPr>
        <w:t>’</w:t>
      </w:r>
      <w:r w:rsidRPr="00B63BD5">
        <w:rPr>
          <w:lang w:val="fr-CA"/>
        </w:rPr>
        <w:t>Emprunteur</w:t>
      </w:r>
      <w:r w:rsidR="00656C45" w:rsidRPr="00B63BD5">
        <w:rPr>
          <w:lang w:val="fr-CA"/>
        </w:rPr>
        <w:t xml:space="preserve"> a</w:t>
      </w:r>
      <w:r w:rsidRPr="00B63BD5">
        <w:rPr>
          <w:lang w:val="fr-CA"/>
        </w:rPr>
        <w:t xml:space="preserve"> </w:t>
      </w:r>
      <w:r w:rsidR="00656C45" w:rsidRPr="00B63BD5">
        <w:rPr>
          <w:b/>
          <w:color w:val="00B0F0"/>
          <w:highlight w:val="yellow"/>
          <w:lang w:val="fr-CA"/>
        </w:rPr>
        <w:t>OU</w:t>
      </w:r>
      <w:r w:rsidR="00656C45" w:rsidRPr="00B63BD5">
        <w:rPr>
          <w:lang w:val="fr-CA"/>
        </w:rPr>
        <w:t xml:space="preserve"> </w:t>
      </w:r>
      <w:r w:rsidRPr="00B63BD5">
        <w:rPr>
          <w:lang w:val="fr-CA"/>
        </w:rPr>
        <w:t>les Emprunteurs</w:t>
      </w:r>
      <w:r w:rsidR="00656C45" w:rsidRPr="00B63BD5">
        <w:rPr>
          <w:lang w:val="fr-CA"/>
        </w:rPr>
        <w:t xml:space="preserve"> </w:t>
      </w:r>
      <w:r w:rsidRPr="00B63BD5">
        <w:rPr>
          <w:lang w:val="fr-CA"/>
        </w:rPr>
        <w:t>ont</w:t>
      </w:r>
      <w:r w:rsidR="00E800CB" w:rsidRPr="00B63BD5">
        <w:rPr>
          <w:lang w:val="fr-CA"/>
        </w:rPr>
        <w:t>] [</w:t>
      </w:r>
      <w:r w:rsidRPr="00B63BD5">
        <w:rPr>
          <w:lang w:val="fr-CA"/>
        </w:rPr>
        <w:t xml:space="preserve">et le Garant </w:t>
      </w:r>
      <w:r w:rsidR="00656C45" w:rsidRPr="00B63BD5">
        <w:rPr>
          <w:lang w:val="fr-CA"/>
        </w:rPr>
        <w:t xml:space="preserve">a </w:t>
      </w:r>
      <w:r w:rsidR="00656C45" w:rsidRPr="00B63BD5">
        <w:rPr>
          <w:b/>
          <w:color w:val="00B0F0"/>
          <w:highlight w:val="yellow"/>
          <w:lang w:val="fr-CA"/>
        </w:rPr>
        <w:t>OU</w:t>
      </w:r>
      <w:r w:rsidRPr="00B63BD5">
        <w:rPr>
          <w:lang w:val="fr-CA"/>
        </w:rPr>
        <w:t xml:space="preserve"> et les Garants ont] </w:t>
      </w:r>
      <w:r w:rsidR="00DB1381" w:rsidRPr="00B63BD5">
        <w:rPr>
          <w:lang w:val="fr-CA"/>
        </w:rPr>
        <w:t>envers la Banque</w:t>
      </w:r>
      <w:r w:rsidRPr="00B63BD5">
        <w:rPr>
          <w:lang w:val="fr-CA"/>
        </w:rPr>
        <w:t xml:space="preserve"> continuent d</w:t>
      </w:r>
      <w:r w:rsidR="00564B0C" w:rsidRPr="00B63BD5">
        <w:rPr>
          <w:lang w:val="fr-CA"/>
        </w:rPr>
        <w:t>’</w:t>
      </w:r>
      <w:r w:rsidRPr="00B63BD5">
        <w:rPr>
          <w:lang w:val="fr-CA"/>
        </w:rPr>
        <w:t>être attestées, régies et garanties, selon le cas, par les documents remis antérieurement par [l</w:t>
      </w:r>
      <w:r w:rsidR="00564B0C" w:rsidRPr="00B63BD5">
        <w:rPr>
          <w:lang w:val="fr-CA"/>
        </w:rPr>
        <w:t>’</w:t>
      </w:r>
      <w:r w:rsidRPr="00B63BD5">
        <w:rPr>
          <w:lang w:val="fr-CA"/>
        </w:rPr>
        <w:t>Emprunteur</w:t>
      </w:r>
      <w:r w:rsidR="00656C45" w:rsidRPr="00B63BD5">
        <w:rPr>
          <w:lang w:val="fr-CA"/>
        </w:rPr>
        <w:t xml:space="preserve"> </w:t>
      </w:r>
      <w:r w:rsidR="00656C45" w:rsidRPr="00B63BD5">
        <w:rPr>
          <w:b/>
          <w:color w:val="00B0F0"/>
          <w:highlight w:val="yellow"/>
          <w:lang w:val="fr-CA"/>
        </w:rPr>
        <w:t>OU</w:t>
      </w:r>
      <w:r w:rsidRPr="00B63BD5">
        <w:rPr>
          <w:lang w:val="fr-CA"/>
        </w:rPr>
        <w:t xml:space="preserve"> les Emprunteurs</w:t>
      </w:r>
      <w:r w:rsidR="00E800CB" w:rsidRPr="00B63BD5">
        <w:rPr>
          <w:lang w:val="fr-CA"/>
        </w:rPr>
        <w:t>]</w:t>
      </w:r>
      <w:r w:rsidRPr="00B63BD5">
        <w:rPr>
          <w:lang w:val="fr-CA"/>
        </w:rPr>
        <w:t xml:space="preserve"> </w:t>
      </w:r>
      <w:r w:rsidR="00E800CB" w:rsidRPr="00B63BD5">
        <w:rPr>
          <w:lang w:val="fr-CA"/>
        </w:rPr>
        <w:t>[</w:t>
      </w:r>
      <w:r w:rsidRPr="00B63BD5">
        <w:rPr>
          <w:lang w:val="fr-CA"/>
        </w:rPr>
        <w:t>et le Garant</w:t>
      </w:r>
      <w:r w:rsidR="00656C45" w:rsidRPr="00B63BD5">
        <w:rPr>
          <w:lang w:val="fr-CA"/>
        </w:rPr>
        <w:t xml:space="preserve"> </w:t>
      </w:r>
      <w:r w:rsidR="00656C45" w:rsidRPr="00B63BD5">
        <w:rPr>
          <w:b/>
          <w:color w:val="00B0F0"/>
          <w:highlight w:val="yellow"/>
          <w:lang w:val="fr-CA"/>
        </w:rPr>
        <w:t>OU</w:t>
      </w:r>
      <w:r w:rsidRPr="00B63BD5">
        <w:rPr>
          <w:lang w:val="fr-CA"/>
        </w:rPr>
        <w:t xml:space="preserve"> et les Garants], [l</w:t>
      </w:r>
      <w:r w:rsidR="00564B0C" w:rsidRPr="00B63BD5">
        <w:rPr>
          <w:lang w:val="fr-CA"/>
        </w:rPr>
        <w:t>’</w:t>
      </w:r>
      <w:r w:rsidRPr="00B63BD5">
        <w:rPr>
          <w:lang w:val="fr-CA"/>
        </w:rPr>
        <w:t>Emprunteur</w:t>
      </w:r>
      <w:r w:rsidR="00656C45" w:rsidRPr="00B63BD5">
        <w:rPr>
          <w:lang w:val="fr-CA"/>
        </w:rPr>
        <w:t xml:space="preserve"> </w:t>
      </w:r>
      <w:r w:rsidR="00656C45" w:rsidRPr="00B63BD5">
        <w:rPr>
          <w:b/>
          <w:color w:val="00B0F0"/>
          <w:highlight w:val="yellow"/>
          <w:lang w:val="fr-CA"/>
        </w:rPr>
        <w:t>OU</w:t>
      </w:r>
      <w:r w:rsidRPr="00B63BD5">
        <w:rPr>
          <w:lang w:val="fr-CA"/>
        </w:rPr>
        <w:t xml:space="preserve"> les Emprunteurs</w:t>
      </w:r>
      <w:r w:rsidR="00E800CB" w:rsidRPr="00B63BD5">
        <w:rPr>
          <w:lang w:val="fr-CA"/>
        </w:rPr>
        <w:t>]</w:t>
      </w:r>
      <w:r w:rsidRPr="00B63BD5">
        <w:rPr>
          <w:lang w:val="fr-CA"/>
        </w:rPr>
        <w:t xml:space="preserve"> </w:t>
      </w:r>
      <w:r w:rsidR="00E800CB" w:rsidRPr="00B63BD5">
        <w:rPr>
          <w:lang w:val="fr-CA"/>
        </w:rPr>
        <w:t>[</w:t>
      </w:r>
      <w:r w:rsidRPr="00B63BD5">
        <w:rPr>
          <w:lang w:val="fr-CA"/>
        </w:rPr>
        <w:t>et le Garant</w:t>
      </w:r>
      <w:r w:rsidR="00656C45" w:rsidRPr="00B63BD5">
        <w:rPr>
          <w:lang w:val="fr-CA"/>
        </w:rPr>
        <w:t xml:space="preserve"> </w:t>
      </w:r>
      <w:r w:rsidR="00656C45" w:rsidRPr="00B63BD5">
        <w:rPr>
          <w:b/>
          <w:color w:val="00B0F0"/>
          <w:highlight w:val="yellow"/>
          <w:lang w:val="fr-CA"/>
        </w:rPr>
        <w:t>OU</w:t>
      </w:r>
      <w:r w:rsidRPr="00B63BD5">
        <w:rPr>
          <w:lang w:val="fr-CA"/>
        </w:rPr>
        <w:t xml:space="preserve"> et les Garants] reconnaissant par les présentes </w:t>
      </w:r>
      <w:r w:rsidR="00240FE9" w:rsidRPr="00B63BD5">
        <w:rPr>
          <w:lang w:val="fr-CA"/>
        </w:rPr>
        <w:t>que</w:t>
      </w:r>
      <w:r w:rsidR="00977B95" w:rsidRPr="00B63BD5">
        <w:rPr>
          <w:lang w:val="fr-CA"/>
        </w:rPr>
        <w:t> </w:t>
      </w:r>
      <w:r w:rsidR="00240FE9" w:rsidRPr="00B63BD5">
        <w:rPr>
          <w:lang w:val="fr-CA"/>
        </w:rPr>
        <w:t>ceux</w:t>
      </w:r>
      <w:r w:rsidR="00240FE9" w:rsidRPr="00B63BD5">
        <w:rPr>
          <w:lang w:val="fr-CA"/>
        </w:rPr>
        <w:noBreakHyphen/>
        <w:t xml:space="preserve">ci sont toujours valides, </w:t>
      </w:r>
      <w:r w:rsidRPr="00B63BD5">
        <w:rPr>
          <w:lang w:val="fr-CA"/>
        </w:rPr>
        <w:t xml:space="preserve">sauf </w:t>
      </w:r>
      <w:r w:rsidR="0046138F" w:rsidRPr="00B63BD5">
        <w:rPr>
          <w:lang w:val="fr-CA"/>
        </w:rPr>
        <w:t>mainlevée ou renonciation de</w:t>
      </w:r>
      <w:r w:rsidR="006C28F9" w:rsidRPr="00B63BD5">
        <w:rPr>
          <w:lang w:val="fr-CA"/>
        </w:rPr>
        <w:t xml:space="preserve"> la </w:t>
      </w:r>
      <w:r w:rsidRPr="00B63BD5">
        <w:rPr>
          <w:lang w:val="fr-CA"/>
        </w:rPr>
        <w:t>Banque, de même que</w:t>
      </w:r>
      <w:r w:rsidR="00977B95" w:rsidRPr="00B63BD5">
        <w:rPr>
          <w:lang w:val="fr-CA"/>
        </w:rPr>
        <w:t> </w:t>
      </w:r>
      <w:r w:rsidRPr="00B63BD5">
        <w:rPr>
          <w:lang w:val="fr-CA"/>
        </w:rPr>
        <w:t>par</w:t>
      </w:r>
      <w:r w:rsidR="00977B95" w:rsidRPr="00B63BD5">
        <w:rPr>
          <w:lang w:val="fr-CA"/>
        </w:rPr>
        <w:t> </w:t>
      </w:r>
      <w:r w:rsidRPr="00B63BD5">
        <w:rPr>
          <w:lang w:val="fr-CA"/>
        </w:rPr>
        <w:t>[les</w:t>
      </w:r>
      <w:r w:rsidR="00977B95" w:rsidRPr="00B63BD5">
        <w:rPr>
          <w:lang w:val="fr-CA"/>
        </w:rPr>
        <w:t> </w:t>
      </w:r>
      <w:r w:rsidRPr="00B63BD5">
        <w:rPr>
          <w:lang w:val="fr-CA"/>
        </w:rPr>
        <w:t xml:space="preserve">documents supplémentaires suivants et] tous les autres documents de prêt ou de garantie </w:t>
      </w:r>
      <w:r w:rsidR="0046138F" w:rsidRPr="00B63BD5">
        <w:rPr>
          <w:lang w:val="fr-CA"/>
        </w:rPr>
        <w:t>requis</w:t>
      </w:r>
      <w:r w:rsidR="001B4F50" w:rsidRPr="00B63BD5">
        <w:rPr>
          <w:lang w:val="fr-CA"/>
        </w:rPr>
        <w:t>, y</w:t>
      </w:r>
      <w:r w:rsidR="00AC4107" w:rsidRPr="00B63BD5">
        <w:rPr>
          <w:lang w:val="fr-CA"/>
        </w:rPr>
        <w:t xml:space="preserve"> </w:t>
      </w:r>
      <w:r w:rsidR="001B4F50" w:rsidRPr="00B63BD5">
        <w:rPr>
          <w:lang w:val="fr-CA"/>
        </w:rPr>
        <w:t>compris la présente Lettre relative aux facilités,</w:t>
      </w:r>
      <w:r w:rsidR="0046138F" w:rsidRPr="00B63BD5">
        <w:rPr>
          <w:lang w:val="fr-CA"/>
        </w:rPr>
        <w:t xml:space="preserve"> </w:t>
      </w:r>
      <w:r w:rsidRPr="00B63BD5">
        <w:rPr>
          <w:lang w:val="fr-CA"/>
        </w:rPr>
        <w:t>remplis et signés à la satisfaction de la Banque quant à la forme et au fond (collectivement, les</w:t>
      </w:r>
      <w:r w:rsidR="00AC4107" w:rsidRPr="00B63BD5">
        <w:rPr>
          <w:lang w:val="fr-CA"/>
        </w:rPr>
        <w:t xml:space="preserve"> </w:t>
      </w:r>
      <w:r w:rsidRPr="00B63BD5">
        <w:rPr>
          <w:lang w:val="fr-CA"/>
        </w:rPr>
        <w:t>«</w:t>
      </w:r>
      <w:r w:rsidR="0094743F" w:rsidRPr="00B63BD5">
        <w:rPr>
          <w:lang w:val="fr-CA"/>
        </w:rPr>
        <w:t> </w:t>
      </w:r>
      <w:r w:rsidRPr="00B63BD5">
        <w:rPr>
          <w:b/>
          <w:lang w:val="fr-CA"/>
        </w:rPr>
        <w:t>Documents de prêt</w:t>
      </w:r>
      <w:r w:rsidR="0094743F" w:rsidRPr="00B63BD5">
        <w:rPr>
          <w:lang w:val="fr-CA"/>
        </w:rPr>
        <w:t> </w:t>
      </w:r>
      <w:r w:rsidRPr="00B63BD5">
        <w:rPr>
          <w:lang w:val="fr-CA"/>
        </w:rPr>
        <w:t>»)</w:t>
      </w:r>
      <w:r w:rsidR="006C28F9" w:rsidRPr="00B63BD5">
        <w:rPr>
          <w:lang w:val="fr-CA"/>
        </w:rPr>
        <w:t>[</w:t>
      </w:r>
      <w:r w:rsidR="00AC4107" w:rsidRPr="00B63BD5">
        <w:rPr>
          <w:lang w:val="fr-CA"/>
        </w:rPr>
        <w:t xml:space="preserve"> </w:t>
      </w:r>
      <w:r w:rsidRPr="00B63BD5">
        <w:rPr>
          <w:lang w:val="fr-CA"/>
        </w:rPr>
        <w:t>:]</w:t>
      </w:r>
      <w:r w:rsidR="006C28F9" w:rsidRPr="00B63BD5">
        <w:rPr>
          <w:lang w:val="fr-CA"/>
        </w:rPr>
        <w:t>[.]</w:t>
      </w:r>
    </w:p>
    <w:p w14:paraId="5F2D6210" w14:textId="36070698" w:rsidR="00404D49" w:rsidRPr="00B63BD5" w:rsidRDefault="00404D49" w:rsidP="00632863">
      <w:pPr>
        <w:keepNext/>
        <w:spacing w:after="240"/>
        <w:jc w:val="both"/>
        <w:rPr>
          <w:b/>
          <w:color w:val="00B0F0"/>
          <w:lang w:val="fr-CA"/>
        </w:rPr>
      </w:pPr>
      <w:r w:rsidRPr="00B63BD5">
        <w:rPr>
          <w:b/>
          <w:color w:val="00B0F0"/>
          <w:lang w:val="fr-CA"/>
        </w:rPr>
        <w:t>[</w:t>
      </w:r>
      <w:r w:rsidR="00EC3CB5" w:rsidRPr="00B63BD5">
        <w:rPr>
          <w:b/>
          <w:color w:val="00B0F0"/>
          <w:lang w:val="fr-CA"/>
        </w:rPr>
        <w:t>N.B. :</w:t>
      </w:r>
      <w:r w:rsidRPr="00B63BD5">
        <w:rPr>
          <w:b/>
          <w:color w:val="00B0F0"/>
          <w:lang w:val="fr-CA"/>
        </w:rPr>
        <w:t xml:space="preserve"> </w:t>
      </w:r>
      <w:r w:rsidR="00261E44" w:rsidRPr="00B63BD5">
        <w:rPr>
          <w:b/>
          <w:color w:val="00B0F0"/>
          <w:lang w:val="fr-CA"/>
        </w:rPr>
        <w:t xml:space="preserve">Supprimer les conventions </w:t>
      </w:r>
      <w:r w:rsidR="005446DE" w:rsidRPr="00B63BD5">
        <w:rPr>
          <w:b/>
          <w:color w:val="00B0F0"/>
          <w:lang w:val="fr-CA"/>
        </w:rPr>
        <w:t xml:space="preserve">qui ne sont pas pertinentes. </w:t>
      </w:r>
      <w:r w:rsidR="006E7175" w:rsidRPr="00B63BD5">
        <w:rPr>
          <w:b/>
          <w:color w:val="00B0F0"/>
          <w:lang w:val="fr-CA"/>
        </w:rPr>
        <w:t>A</w:t>
      </w:r>
      <w:r w:rsidR="005446DE" w:rsidRPr="00B63BD5">
        <w:rPr>
          <w:b/>
          <w:color w:val="00B0F0"/>
          <w:lang w:val="fr-CA"/>
        </w:rPr>
        <w:t xml:space="preserve">jouter </w:t>
      </w:r>
      <w:r w:rsidR="006E7175" w:rsidRPr="00B63BD5">
        <w:rPr>
          <w:b/>
          <w:color w:val="00B0F0"/>
          <w:lang w:val="fr-CA"/>
        </w:rPr>
        <w:t xml:space="preserve">celles </w:t>
      </w:r>
      <w:r w:rsidR="005446DE" w:rsidRPr="00B63BD5">
        <w:rPr>
          <w:b/>
          <w:color w:val="00B0F0"/>
          <w:lang w:val="fr-CA"/>
        </w:rPr>
        <w:t>qui sont pertinente</w:t>
      </w:r>
      <w:r w:rsidR="00C35479" w:rsidRPr="00B63BD5">
        <w:rPr>
          <w:b/>
          <w:color w:val="00B0F0"/>
          <w:lang w:val="fr-CA"/>
        </w:rPr>
        <w:t>s.</w:t>
      </w:r>
      <w:r w:rsidR="00F827C2" w:rsidRPr="00B63BD5">
        <w:rPr>
          <w:b/>
          <w:color w:val="00B0F0"/>
          <w:lang w:val="fr-CA"/>
        </w:rPr>
        <w:t xml:space="preserve"> Modifier dans la mesure nécessaire</w:t>
      </w:r>
      <w:r w:rsidR="006C28F9" w:rsidRPr="00B63BD5">
        <w:rPr>
          <w:b/>
          <w:color w:val="00B0F0"/>
          <w:lang w:val="fr-CA"/>
        </w:rPr>
        <w:t>.</w:t>
      </w:r>
      <w:r w:rsidR="00B948FE" w:rsidRPr="00B63BD5">
        <w:rPr>
          <w:b/>
          <w:color w:val="00B0F0"/>
          <w:lang w:val="fr-CA"/>
        </w:rPr>
        <w:t xml:space="preserve"> </w:t>
      </w:r>
      <w:r w:rsidR="003D15B5" w:rsidRPr="00B63BD5">
        <w:rPr>
          <w:b/>
          <w:color w:val="00B0F0"/>
          <w:lang w:val="fr-CA"/>
        </w:rPr>
        <w:t>N.B.</w:t>
      </w:r>
      <w:r w:rsidR="00AC4107" w:rsidRPr="00B63BD5">
        <w:rPr>
          <w:b/>
          <w:color w:val="00B0F0"/>
          <w:lang w:val="fr-CA"/>
        </w:rPr>
        <w:t xml:space="preserve"> </w:t>
      </w:r>
      <w:r w:rsidR="003D15B5" w:rsidRPr="00B63BD5">
        <w:rPr>
          <w:b/>
          <w:color w:val="00B0F0"/>
          <w:lang w:val="fr-CA"/>
        </w:rPr>
        <w:t>: Si vous le souhaitez, dans le cas d</w:t>
      </w:r>
      <w:r w:rsidR="00564B0C" w:rsidRPr="00B63BD5">
        <w:rPr>
          <w:b/>
          <w:color w:val="00B0F0"/>
          <w:lang w:val="fr-CA"/>
        </w:rPr>
        <w:t>’</w:t>
      </w:r>
      <w:r w:rsidR="003D15B5" w:rsidRPr="00B63BD5">
        <w:rPr>
          <w:b/>
          <w:color w:val="00B0F0"/>
          <w:lang w:val="fr-CA"/>
        </w:rPr>
        <w:t>une reformulation seulement, vous pouvez indiquer au haut de la liste ou pour chaque élément ci-dessous si</w:t>
      </w:r>
      <w:r w:rsidR="007F3BF2" w:rsidRPr="00B63BD5">
        <w:rPr>
          <w:b/>
          <w:color w:val="00B0F0"/>
          <w:lang w:val="fr-CA"/>
        </w:rPr>
        <w:t> </w:t>
      </w:r>
      <w:r w:rsidR="003D15B5" w:rsidRPr="00B63BD5">
        <w:rPr>
          <w:b/>
          <w:color w:val="00B0F0"/>
          <w:lang w:val="fr-CA"/>
        </w:rPr>
        <w:t>le</w:t>
      </w:r>
      <w:r w:rsidR="007F3BF2" w:rsidRPr="00B63BD5">
        <w:rPr>
          <w:b/>
          <w:color w:val="00B0F0"/>
          <w:lang w:val="fr-CA"/>
        </w:rPr>
        <w:t> </w:t>
      </w:r>
      <w:r w:rsidR="003D15B5" w:rsidRPr="00B63BD5">
        <w:rPr>
          <w:b/>
          <w:color w:val="00B0F0"/>
          <w:lang w:val="fr-CA"/>
        </w:rPr>
        <w:t>Document de prêt est «</w:t>
      </w:r>
      <w:r w:rsidR="0094743F" w:rsidRPr="00B63BD5">
        <w:rPr>
          <w:b/>
          <w:color w:val="00B0F0"/>
          <w:lang w:val="fr-CA"/>
        </w:rPr>
        <w:t> </w:t>
      </w:r>
      <w:r w:rsidR="003D15B5" w:rsidRPr="00B63BD5">
        <w:rPr>
          <w:b/>
          <w:color w:val="00B0F0"/>
          <w:lang w:val="fr-CA"/>
        </w:rPr>
        <w:t>obtenu</w:t>
      </w:r>
      <w:r w:rsidR="0094743F" w:rsidRPr="00B63BD5">
        <w:rPr>
          <w:b/>
          <w:color w:val="00B0F0"/>
          <w:lang w:val="fr-CA"/>
        </w:rPr>
        <w:t> </w:t>
      </w:r>
      <w:r w:rsidR="003D15B5" w:rsidRPr="00B63BD5">
        <w:rPr>
          <w:b/>
          <w:color w:val="00B0F0"/>
          <w:lang w:val="fr-CA"/>
        </w:rPr>
        <w:t>», «</w:t>
      </w:r>
      <w:r w:rsidR="0094743F" w:rsidRPr="00B63BD5">
        <w:rPr>
          <w:b/>
          <w:color w:val="00B0F0"/>
          <w:lang w:val="fr-CA"/>
        </w:rPr>
        <w:t> </w:t>
      </w:r>
      <w:r w:rsidR="003D15B5" w:rsidRPr="00B63BD5">
        <w:rPr>
          <w:b/>
          <w:color w:val="00B0F0"/>
          <w:lang w:val="fr-CA"/>
        </w:rPr>
        <w:t>à modifier/à obtenir</w:t>
      </w:r>
      <w:r w:rsidR="0094743F" w:rsidRPr="00B63BD5">
        <w:rPr>
          <w:b/>
          <w:color w:val="00B0F0"/>
          <w:lang w:val="fr-CA"/>
        </w:rPr>
        <w:t> </w:t>
      </w:r>
      <w:r w:rsidR="003D15B5" w:rsidRPr="00B63BD5">
        <w:rPr>
          <w:b/>
          <w:color w:val="00B0F0"/>
          <w:lang w:val="fr-CA"/>
        </w:rPr>
        <w:t>» ou «</w:t>
      </w:r>
      <w:r w:rsidR="0094743F" w:rsidRPr="00B63BD5">
        <w:rPr>
          <w:b/>
          <w:color w:val="00B0F0"/>
          <w:lang w:val="fr-CA"/>
        </w:rPr>
        <w:t> </w:t>
      </w:r>
      <w:r w:rsidR="003D15B5" w:rsidRPr="00B63BD5">
        <w:rPr>
          <w:b/>
          <w:color w:val="00B0F0"/>
          <w:lang w:val="fr-CA"/>
        </w:rPr>
        <w:t>à modifier</w:t>
      </w:r>
      <w:r w:rsidR="0094743F" w:rsidRPr="00B63BD5">
        <w:rPr>
          <w:b/>
          <w:color w:val="00B0F0"/>
          <w:lang w:val="fr-CA"/>
        </w:rPr>
        <w:t> </w:t>
      </w:r>
      <w:r w:rsidR="003D15B5" w:rsidRPr="00B63BD5">
        <w:rPr>
          <w:b/>
          <w:color w:val="00B0F0"/>
          <w:lang w:val="fr-CA"/>
        </w:rPr>
        <w:t>». Les documents à</w:t>
      </w:r>
      <w:r w:rsidR="007F3BF2" w:rsidRPr="00B63BD5">
        <w:rPr>
          <w:b/>
          <w:color w:val="00B0F0"/>
          <w:lang w:val="fr-CA"/>
        </w:rPr>
        <w:t> </w:t>
      </w:r>
      <w:r w:rsidR="003D15B5" w:rsidRPr="00B63BD5">
        <w:rPr>
          <w:b/>
          <w:color w:val="00B0F0"/>
          <w:lang w:val="fr-CA"/>
        </w:rPr>
        <w:t>libérer sont énumérés au paragraphe suivant.</w:t>
      </w:r>
      <w:r w:rsidR="00D95B76" w:rsidRPr="00B63BD5">
        <w:rPr>
          <w:b/>
          <w:color w:val="00B0F0"/>
          <w:lang w:val="fr-CA"/>
        </w:rPr>
        <w:t>]</w:t>
      </w:r>
    </w:p>
    <w:p w14:paraId="6B17FAB1" w14:textId="2A2C03DE" w:rsidR="009926E7" w:rsidRPr="000B7739" w:rsidRDefault="0029019F" w:rsidP="000B7739">
      <w:pPr>
        <w:pStyle w:val="04LOLglNew3"/>
        <w:numPr>
          <w:ilvl w:val="2"/>
          <w:numId w:val="34"/>
        </w:numPr>
        <w:rPr>
          <w:lang w:val="fr-CA"/>
        </w:rPr>
      </w:pPr>
      <w:r w:rsidRPr="000B7739">
        <w:rPr>
          <w:lang w:val="fr-CA"/>
        </w:rPr>
        <w:t xml:space="preserve">une </w:t>
      </w:r>
      <w:r w:rsidR="005F2B09" w:rsidRPr="000B7739">
        <w:rPr>
          <w:lang w:val="fr-CA"/>
        </w:rPr>
        <w:t>C</w:t>
      </w:r>
      <w:r w:rsidR="00261E44" w:rsidRPr="000B7739">
        <w:rPr>
          <w:lang w:val="fr-CA"/>
        </w:rPr>
        <w:t xml:space="preserve">onvention </w:t>
      </w:r>
      <w:r w:rsidR="005F2B09" w:rsidRPr="000B7739">
        <w:rPr>
          <w:lang w:val="fr-CA"/>
        </w:rPr>
        <w:t>r</w:t>
      </w:r>
      <w:r w:rsidR="00C35479" w:rsidRPr="000B7739">
        <w:rPr>
          <w:lang w:val="fr-CA"/>
        </w:rPr>
        <w:t>e</w:t>
      </w:r>
      <w:r w:rsidR="005F2B09" w:rsidRPr="000B7739">
        <w:rPr>
          <w:lang w:val="fr-CA"/>
        </w:rPr>
        <w:t xml:space="preserve">lative </w:t>
      </w:r>
      <w:r w:rsidR="00635958" w:rsidRPr="000B7739">
        <w:rPr>
          <w:lang w:val="fr-CA"/>
        </w:rPr>
        <w:t xml:space="preserve">aux </w:t>
      </w:r>
      <w:r w:rsidR="005F2B09" w:rsidRPr="000B7739">
        <w:rPr>
          <w:lang w:val="fr-CA"/>
        </w:rPr>
        <w:t>a</w:t>
      </w:r>
      <w:r w:rsidR="00261E44" w:rsidRPr="000B7739">
        <w:rPr>
          <w:lang w:val="fr-CA"/>
        </w:rPr>
        <w:t>cceptation</w:t>
      </w:r>
      <w:r w:rsidR="00635958" w:rsidRPr="000B7739">
        <w:rPr>
          <w:lang w:val="fr-CA"/>
        </w:rPr>
        <w:t>s</w:t>
      </w:r>
      <w:r w:rsidR="00261E44" w:rsidRPr="000B7739">
        <w:rPr>
          <w:lang w:val="fr-CA"/>
        </w:rPr>
        <w:t xml:space="preserve"> bancaire</w:t>
      </w:r>
      <w:r w:rsidR="00635958" w:rsidRPr="000B7739">
        <w:rPr>
          <w:lang w:val="fr-CA"/>
        </w:rPr>
        <w:t>s</w:t>
      </w:r>
      <w:r w:rsidR="009926E7" w:rsidRPr="000B7739">
        <w:rPr>
          <w:lang w:val="fr-CA"/>
        </w:rPr>
        <w:t>;</w:t>
      </w:r>
    </w:p>
    <w:p w14:paraId="11F9544F" w14:textId="3F54F546" w:rsidR="00B925AA" w:rsidRPr="000B7739" w:rsidRDefault="00C50F3D" w:rsidP="000B7739">
      <w:pPr>
        <w:pStyle w:val="04LOLglNew3"/>
        <w:numPr>
          <w:ilvl w:val="2"/>
          <w:numId w:val="34"/>
        </w:numPr>
        <w:rPr>
          <w:lang w:val="fr-CA"/>
        </w:rPr>
      </w:pPr>
      <w:r w:rsidRPr="000B7739">
        <w:rPr>
          <w:lang w:val="fr-CA"/>
        </w:rPr>
        <w:lastRenderedPageBreak/>
        <w:t>un</w:t>
      </w:r>
      <w:r w:rsidR="00F0703A" w:rsidRPr="000B7739">
        <w:rPr>
          <w:lang w:val="fr-CA"/>
        </w:rPr>
        <w:t xml:space="preserve"> document de</w:t>
      </w:r>
      <w:r w:rsidR="000D0E47" w:rsidRPr="000B7739">
        <w:rPr>
          <w:lang w:val="fr-CA"/>
        </w:rPr>
        <w:t xml:space="preserve"> </w:t>
      </w:r>
      <w:r w:rsidR="00F0703A" w:rsidRPr="000B7739">
        <w:rPr>
          <w:lang w:val="fr-CA"/>
        </w:rPr>
        <w:t>cautionnement</w:t>
      </w:r>
      <w:r w:rsidR="00F827C2" w:rsidRPr="000B7739">
        <w:rPr>
          <w:lang w:val="fr-CA"/>
        </w:rPr>
        <w:t xml:space="preserve"> </w:t>
      </w:r>
      <w:r w:rsidR="00052CB0" w:rsidRPr="000B7739">
        <w:rPr>
          <w:lang w:val="fr-CA"/>
        </w:rPr>
        <w:t xml:space="preserve">de la part </w:t>
      </w:r>
      <w:r w:rsidR="00B925AA" w:rsidRPr="000B7739">
        <w:rPr>
          <w:lang w:val="fr-CA"/>
        </w:rPr>
        <w:t>[</w:t>
      </w:r>
      <w:r w:rsidR="00F827C2" w:rsidRPr="000B7739">
        <w:rPr>
          <w:lang w:val="fr-CA"/>
        </w:rPr>
        <w:t xml:space="preserve">du </w:t>
      </w:r>
      <w:r w:rsidR="00B925AA" w:rsidRPr="000B7739">
        <w:rPr>
          <w:lang w:val="fr-CA"/>
        </w:rPr>
        <w:t>Garant</w:t>
      </w:r>
      <w:r w:rsidR="001B4F50" w:rsidRPr="000B7739">
        <w:rPr>
          <w:lang w:val="fr-CA"/>
        </w:rPr>
        <w:t xml:space="preserve"> </w:t>
      </w:r>
      <w:r w:rsidR="001B4F50" w:rsidRPr="000B7739">
        <w:rPr>
          <w:b/>
          <w:color w:val="00B0F0"/>
          <w:highlight w:val="yellow"/>
          <w:lang w:val="fr-CA"/>
        </w:rPr>
        <w:t>OU</w:t>
      </w:r>
      <w:r w:rsidR="005F2B09" w:rsidRPr="000B7739">
        <w:rPr>
          <w:lang w:val="fr-CA"/>
        </w:rPr>
        <w:t xml:space="preserve"> </w:t>
      </w:r>
      <w:r w:rsidR="00F827C2" w:rsidRPr="000B7739">
        <w:rPr>
          <w:lang w:val="fr-CA"/>
        </w:rPr>
        <w:t xml:space="preserve">des Garants] </w:t>
      </w:r>
      <w:r w:rsidR="00635958" w:rsidRPr="000B7739">
        <w:rPr>
          <w:lang w:val="fr-CA"/>
        </w:rPr>
        <w:t xml:space="preserve">en ce qui a trait </w:t>
      </w:r>
      <w:r w:rsidR="005F2B09" w:rsidRPr="000B7739">
        <w:rPr>
          <w:lang w:val="fr-CA"/>
        </w:rPr>
        <w:t xml:space="preserve">à la dette </w:t>
      </w:r>
      <w:r w:rsidR="001B4F50" w:rsidRPr="000B7739">
        <w:rPr>
          <w:lang w:val="fr-CA"/>
        </w:rPr>
        <w:t>[</w:t>
      </w:r>
      <w:r w:rsidR="005F2B09" w:rsidRPr="000B7739">
        <w:rPr>
          <w:lang w:val="fr-CA"/>
        </w:rPr>
        <w:t>de</w:t>
      </w:r>
      <w:r w:rsidR="00363F9D" w:rsidRPr="000B7739">
        <w:rPr>
          <w:lang w:val="fr-CA"/>
        </w:rPr>
        <w:t> </w:t>
      </w:r>
      <w:r w:rsidR="00261E44" w:rsidRPr="000B7739">
        <w:rPr>
          <w:lang w:val="fr-CA"/>
        </w:rPr>
        <w:t>l</w:t>
      </w:r>
      <w:r w:rsidR="00564B0C" w:rsidRPr="000B7739">
        <w:rPr>
          <w:lang w:val="fr-CA"/>
        </w:rPr>
        <w:t>’</w:t>
      </w:r>
      <w:r w:rsidR="00261E44" w:rsidRPr="000B7739">
        <w:rPr>
          <w:lang w:val="fr-CA"/>
        </w:rPr>
        <w:t xml:space="preserve">Emprunteur </w:t>
      </w:r>
      <w:r w:rsidR="001B4F50" w:rsidRPr="000B7739">
        <w:rPr>
          <w:b/>
          <w:color w:val="00B0F0"/>
          <w:highlight w:val="yellow"/>
          <w:lang w:val="fr-CA"/>
        </w:rPr>
        <w:t>OU</w:t>
      </w:r>
      <w:r w:rsidR="001B4F50" w:rsidRPr="000B7739">
        <w:rPr>
          <w:lang w:val="fr-CA"/>
        </w:rPr>
        <w:t xml:space="preserve"> des Emprunteurs] </w:t>
      </w:r>
      <w:r w:rsidR="005F2B09" w:rsidRPr="000B7739">
        <w:rPr>
          <w:lang w:val="fr-CA"/>
        </w:rPr>
        <w:t xml:space="preserve">envers </w:t>
      </w:r>
      <w:r w:rsidR="00261E44" w:rsidRPr="000B7739">
        <w:rPr>
          <w:lang w:val="fr-CA"/>
        </w:rPr>
        <w:t>la Banque</w:t>
      </w:r>
      <w:r w:rsidR="00F827C2" w:rsidRPr="000B7739">
        <w:rPr>
          <w:lang w:val="fr-CA"/>
        </w:rPr>
        <w:t xml:space="preserve"> [limitée à ●</w:t>
      </w:r>
      <w:r w:rsidR="00AC4107" w:rsidRPr="000B7739">
        <w:rPr>
          <w:lang w:val="fr-CA"/>
        </w:rPr>
        <w:t xml:space="preserve"> </w:t>
      </w:r>
      <w:r w:rsidR="00F827C2" w:rsidRPr="000B7739">
        <w:rPr>
          <w:lang w:val="fr-CA"/>
        </w:rPr>
        <w:t>$</w:t>
      </w:r>
      <w:r w:rsidR="00AC4107" w:rsidRPr="000B7739">
        <w:rPr>
          <w:lang w:val="fr-CA"/>
        </w:rPr>
        <w:t xml:space="preserve"> </w:t>
      </w:r>
      <w:r w:rsidR="00F827C2" w:rsidRPr="000B7739">
        <w:rPr>
          <w:lang w:val="fr-CA"/>
        </w:rPr>
        <w:t>CA</w:t>
      </w:r>
      <w:r w:rsidR="006C28F9" w:rsidRPr="000B7739">
        <w:rPr>
          <w:lang w:val="fr-CA"/>
        </w:rPr>
        <w:t xml:space="preserve">, majoré de </w:t>
      </w:r>
      <w:r w:rsidR="00F827C2" w:rsidRPr="000B7739">
        <w:rPr>
          <w:lang w:val="fr-CA"/>
        </w:rPr>
        <w:t>l</w:t>
      </w:r>
      <w:r w:rsidR="00564B0C" w:rsidRPr="000B7739">
        <w:rPr>
          <w:lang w:val="fr-CA"/>
        </w:rPr>
        <w:t>’</w:t>
      </w:r>
      <w:r w:rsidR="00F827C2" w:rsidRPr="000B7739">
        <w:rPr>
          <w:lang w:val="fr-CA"/>
        </w:rPr>
        <w:t>intérêt et</w:t>
      </w:r>
      <w:r w:rsidR="007F3BF2" w:rsidRPr="000B7739">
        <w:rPr>
          <w:lang w:val="fr-CA"/>
        </w:rPr>
        <w:t> </w:t>
      </w:r>
      <w:r w:rsidR="006C28F9" w:rsidRPr="000B7739">
        <w:rPr>
          <w:lang w:val="fr-CA"/>
        </w:rPr>
        <w:t>d</w:t>
      </w:r>
      <w:r w:rsidR="00F827C2" w:rsidRPr="000B7739">
        <w:rPr>
          <w:lang w:val="fr-CA"/>
        </w:rPr>
        <w:t>es frais</w:t>
      </w:r>
      <w:r w:rsidR="006C28F9" w:rsidRPr="000B7739">
        <w:rPr>
          <w:lang w:val="fr-CA"/>
        </w:rPr>
        <w:t>,</w:t>
      </w:r>
      <w:r w:rsidR="00F827C2" w:rsidRPr="000B7739">
        <w:rPr>
          <w:lang w:val="fr-CA"/>
        </w:rPr>
        <w:t>]</w:t>
      </w:r>
      <w:r w:rsidR="00261E44" w:rsidRPr="000B7739">
        <w:rPr>
          <w:lang w:val="fr-CA"/>
        </w:rPr>
        <w:t xml:space="preserve"> </w:t>
      </w:r>
      <w:r w:rsidR="00B925AA" w:rsidRPr="000B7739">
        <w:rPr>
          <w:lang w:val="fr-CA"/>
        </w:rPr>
        <w:t>[</w:t>
      </w:r>
      <w:r w:rsidR="00261E44" w:rsidRPr="000B7739">
        <w:rPr>
          <w:lang w:val="fr-CA"/>
        </w:rPr>
        <w:t xml:space="preserve">et </w:t>
      </w:r>
      <w:r w:rsidR="005F2B09" w:rsidRPr="000B7739">
        <w:rPr>
          <w:lang w:val="fr-CA"/>
        </w:rPr>
        <w:t xml:space="preserve">garantie par </w:t>
      </w:r>
      <w:r w:rsidR="00B67E21" w:rsidRPr="000B7739">
        <w:rPr>
          <w:lang w:val="fr-CA"/>
        </w:rPr>
        <w:t>●</w:t>
      </w:r>
      <w:r w:rsidR="00E800CB" w:rsidRPr="000B7739">
        <w:rPr>
          <w:lang w:val="fr-CA"/>
        </w:rPr>
        <w:t>]</w:t>
      </w:r>
      <w:r w:rsidR="00F827C2" w:rsidRPr="000B7739">
        <w:rPr>
          <w:lang w:val="fr-CA"/>
        </w:rPr>
        <w:t xml:space="preserve">, </w:t>
      </w:r>
      <w:r w:rsidR="00E800CB" w:rsidRPr="000B7739">
        <w:rPr>
          <w:lang w:val="fr-CA"/>
        </w:rPr>
        <w:t>[</w:t>
      </w:r>
      <w:r w:rsidR="00F827C2" w:rsidRPr="000B7739">
        <w:rPr>
          <w:lang w:val="fr-CA"/>
        </w:rPr>
        <w:t>ainsi qu</w:t>
      </w:r>
      <w:r w:rsidR="00564B0C" w:rsidRPr="000B7739">
        <w:rPr>
          <w:lang w:val="fr-CA"/>
        </w:rPr>
        <w:t>’</w:t>
      </w:r>
      <w:r w:rsidR="00F827C2" w:rsidRPr="000B7739">
        <w:rPr>
          <w:lang w:val="fr-CA"/>
        </w:rPr>
        <w:t>une attestation de</w:t>
      </w:r>
      <w:r w:rsidR="0046138F" w:rsidRPr="000B7739">
        <w:rPr>
          <w:lang w:val="fr-CA"/>
        </w:rPr>
        <w:t>s</w:t>
      </w:r>
      <w:r w:rsidR="00F827C2" w:rsidRPr="000B7739">
        <w:rPr>
          <w:lang w:val="fr-CA"/>
        </w:rPr>
        <w:t xml:space="preserve"> </w:t>
      </w:r>
      <w:r w:rsidR="0046138F" w:rsidRPr="000B7739">
        <w:rPr>
          <w:lang w:val="fr-CA"/>
        </w:rPr>
        <w:t xml:space="preserve">conseillers </w:t>
      </w:r>
      <w:r w:rsidR="00F827C2" w:rsidRPr="000B7739">
        <w:rPr>
          <w:lang w:val="fr-CA"/>
        </w:rPr>
        <w:t>juridique</w:t>
      </w:r>
      <w:r w:rsidR="0046138F" w:rsidRPr="000B7739">
        <w:rPr>
          <w:lang w:val="fr-CA"/>
        </w:rPr>
        <w:t>s</w:t>
      </w:r>
      <w:r w:rsidR="00F827C2" w:rsidRPr="000B7739">
        <w:rPr>
          <w:lang w:val="fr-CA"/>
        </w:rPr>
        <w:t xml:space="preserve"> indépendant</w:t>
      </w:r>
      <w:r w:rsidR="0046138F" w:rsidRPr="000B7739">
        <w:rPr>
          <w:lang w:val="fr-CA"/>
        </w:rPr>
        <w:t>s</w:t>
      </w:r>
      <w:r w:rsidR="00F827C2" w:rsidRPr="000B7739">
        <w:rPr>
          <w:lang w:val="fr-CA"/>
        </w:rPr>
        <w:t xml:space="preserve"> dûment signée</w:t>
      </w:r>
      <w:r w:rsidR="001B4F50" w:rsidRPr="000B7739">
        <w:rPr>
          <w:lang w:val="fr-CA"/>
        </w:rPr>
        <w:t xml:space="preserve"> (</w:t>
      </w:r>
      <w:r w:rsidR="00B9736E" w:rsidRPr="000B7739">
        <w:rPr>
          <w:lang w:val="fr-CA"/>
        </w:rPr>
        <w:t>si cela est requis</w:t>
      </w:r>
      <w:r w:rsidR="001B4F50" w:rsidRPr="000B7739">
        <w:rPr>
          <w:lang w:val="fr-CA"/>
        </w:rPr>
        <w:t>)</w:t>
      </w:r>
      <w:r w:rsidR="007D43A7" w:rsidRPr="000B7739">
        <w:rPr>
          <w:lang w:val="fr-CA"/>
        </w:rPr>
        <w:t>];</w:t>
      </w:r>
    </w:p>
    <w:p w14:paraId="252425DB" w14:textId="0FFF9FC5" w:rsidR="00574ACC" w:rsidRPr="00B63BD5" w:rsidRDefault="007D43A7" w:rsidP="00632863">
      <w:pPr>
        <w:spacing w:after="240"/>
        <w:jc w:val="both"/>
        <w:rPr>
          <w:b/>
          <w:color w:val="00B0F0"/>
          <w:lang w:val="fr-CA"/>
        </w:rPr>
      </w:pPr>
      <w:r w:rsidRPr="00B63BD5">
        <w:rPr>
          <w:b/>
          <w:color w:val="00B0F0"/>
          <w:lang w:val="fr-CA"/>
        </w:rPr>
        <w:t>[</w:t>
      </w:r>
      <w:r w:rsidR="00EC3CB5" w:rsidRPr="00B63BD5">
        <w:rPr>
          <w:b/>
          <w:color w:val="00B0F0"/>
          <w:lang w:val="fr-CA"/>
        </w:rPr>
        <w:t>N.B. :</w:t>
      </w:r>
      <w:r w:rsidR="009B61B1" w:rsidRPr="00B63BD5">
        <w:rPr>
          <w:b/>
          <w:color w:val="00B0F0"/>
          <w:lang w:val="fr-CA"/>
        </w:rPr>
        <w:t xml:space="preserve"> </w:t>
      </w:r>
      <w:r w:rsidR="005F2B09" w:rsidRPr="00B63BD5">
        <w:rPr>
          <w:b/>
          <w:color w:val="00B0F0"/>
          <w:lang w:val="fr-CA"/>
        </w:rPr>
        <w:t>Dans le cas d</w:t>
      </w:r>
      <w:r w:rsidR="00564B0C" w:rsidRPr="00B63BD5">
        <w:rPr>
          <w:b/>
          <w:color w:val="00B0F0"/>
          <w:lang w:val="fr-CA"/>
        </w:rPr>
        <w:t>’</w:t>
      </w:r>
      <w:r w:rsidR="005F2B09" w:rsidRPr="00B63BD5">
        <w:rPr>
          <w:b/>
          <w:color w:val="00B0F0"/>
          <w:lang w:val="fr-CA"/>
        </w:rPr>
        <w:t xml:space="preserve">un cautionnement </w:t>
      </w:r>
      <w:r w:rsidR="0011404F" w:rsidRPr="00B63BD5">
        <w:rPr>
          <w:b/>
          <w:color w:val="00B0F0"/>
          <w:lang w:val="fr-CA"/>
        </w:rPr>
        <w:t>assorti d</w:t>
      </w:r>
      <w:r w:rsidR="00564B0C" w:rsidRPr="00B63BD5">
        <w:rPr>
          <w:b/>
          <w:color w:val="00B0F0"/>
          <w:lang w:val="fr-CA"/>
        </w:rPr>
        <w:t>’</w:t>
      </w:r>
      <w:r w:rsidR="0011404F" w:rsidRPr="00B63BD5">
        <w:rPr>
          <w:b/>
          <w:color w:val="00B0F0"/>
          <w:lang w:val="fr-CA"/>
        </w:rPr>
        <w:t>une sûreté</w:t>
      </w:r>
      <w:r w:rsidR="005F2B09" w:rsidRPr="00B63BD5">
        <w:rPr>
          <w:b/>
          <w:color w:val="00B0F0"/>
          <w:lang w:val="fr-CA"/>
        </w:rPr>
        <w:t>, énumérer les ga</w:t>
      </w:r>
      <w:r w:rsidR="00635958" w:rsidRPr="00B63BD5">
        <w:rPr>
          <w:b/>
          <w:color w:val="00B0F0"/>
          <w:lang w:val="fr-CA"/>
        </w:rPr>
        <w:t xml:space="preserve">ranties </w:t>
      </w:r>
      <w:r w:rsidR="00E4549F" w:rsidRPr="00B63BD5">
        <w:rPr>
          <w:b/>
          <w:color w:val="00B0F0"/>
          <w:lang w:val="fr-CA"/>
        </w:rPr>
        <w:t xml:space="preserve">qui seront </w:t>
      </w:r>
      <w:r w:rsidR="00635958" w:rsidRPr="00B63BD5">
        <w:rPr>
          <w:b/>
          <w:color w:val="00B0F0"/>
          <w:lang w:val="fr-CA"/>
        </w:rPr>
        <w:t>demandées du</w:t>
      </w:r>
      <w:r w:rsidR="005F2B09" w:rsidRPr="00B63BD5">
        <w:rPr>
          <w:b/>
          <w:color w:val="00B0F0"/>
          <w:lang w:val="fr-CA"/>
        </w:rPr>
        <w:t xml:space="preserve"> </w:t>
      </w:r>
      <w:r w:rsidR="00F827C2" w:rsidRPr="00B63BD5">
        <w:rPr>
          <w:b/>
          <w:color w:val="00B0F0"/>
          <w:lang w:val="fr-CA"/>
        </w:rPr>
        <w:t xml:space="preserve">ou des </w:t>
      </w:r>
      <w:r w:rsidR="005F2B09" w:rsidRPr="00B63BD5">
        <w:rPr>
          <w:b/>
          <w:color w:val="00B0F0"/>
          <w:lang w:val="fr-CA"/>
        </w:rPr>
        <w:t>Garant</w:t>
      </w:r>
      <w:r w:rsidR="00F827C2" w:rsidRPr="00B63BD5">
        <w:rPr>
          <w:b/>
          <w:color w:val="00B0F0"/>
          <w:lang w:val="fr-CA"/>
        </w:rPr>
        <w:t>s</w:t>
      </w:r>
      <w:r w:rsidR="00A5105E" w:rsidRPr="00B63BD5">
        <w:rPr>
          <w:b/>
          <w:color w:val="00B0F0"/>
          <w:lang w:val="fr-CA"/>
        </w:rPr>
        <w:t xml:space="preserve"> avec la garantie indiquée </w:t>
      </w:r>
      <w:r w:rsidR="00656C45" w:rsidRPr="00B63BD5">
        <w:rPr>
          <w:b/>
          <w:color w:val="00B0F0"/>
          <w:lang w:val="fr-CA"/>
        </w:rPr>
        <w:t>à l</w:t>
      </w:r>
      <w:r w:rsidR="00564B0C" w:rsidRPr="00B63BD5">
        <w:rPr>
          <w:b/>
          <w:color w:val="00B0F0"/>
          <w:lang w:val="fr-CA"/>
        </w:rPr>
        <w:t>’</w:t>
      </w:r>
      <w:r w:rsidR="00656C45" w:rsidRPr="00B63BD5">
        <w:rPr>
          <w:b/>
          <w:color w:val="00B0F0"/>
          <w:lang w:val="fr-CA"/>
        </w:rPr>
        <w:t>alinéa</w:t>
      </w:r>
      <w:r w:rsidR="00AC4107" w:rsidRPr="00B63BD5">
        <w:rPr>
          <w:b/>
          <w:color w:val="00B0F0"/>
          <w:lang w:val="fr-CA"/>
        </w:rPr>
        <w:t xml:space="preserve"> </w:t>
      </w:r>
      <w:r w:rsidR="00A5105E" w:rsidRPr="00B63BD5">
        <w:rPr>
          <w:b/>
          <w:color w:val="00B0F0"/>
          <w:lang w:val="fr-CA"/>
        </w:rPr>
        <w:t>b) ci</w:t>
      </w:r>
      <w:r w:rsidR="00A5105E" w:rsidRPr="00B63BD5">
        <w:rPr>
          <w:b/>
          <w:color w:val="00B0F0"/>
          <w:lang w:val="fr-CA"/>
        </w:rPr>
        <w:noBreakHyphen/>
        <w:t>dessus, plutôt qu</w:t>
      </w:r>
      <w:r w:rsidR="00564B0C" w:rsidRPr="00B63BD5">
        <w:rPr>
          <w:b/>
          <w:color w:val="00B0F0"/>
          <w:lang w:val="fr-CA"/>
        </w:rPr>
        <w:t>’</w:t>
      </w:r>
      <w:r w:rsidR="00A5105E" w:rsidRPr="00B63BD5">
        <w:rPr>
          <w:b/>
          <w:color w:val="00B0F0"/>
          <w:lang w:val="fr-CA"/>
        </w:rPr>
        <w:t>en tant qu</w:t>
      </w:r>
      <w:r w:rsidR="00564B0C" w:rsidRPr="00B63BD5">
        <w:rPr>
          <w:b/>
          <w:color w:val="00B0F0"/>
          <w:lang w:val="fr-CA"/>
        </w:rPr>
        <w:t>’</w:t>
      </w:r>
      <w:r w:rsidR="00A5105E" w:rsidRPr="00B63BD5">
        <w:rPr>
          <w:b/>
          <w:color w:val="00B0F0"/>
          <w:lang w:val="fr-CA"/>
        </w:rPr>
        <w:t>élément distinct. Si</w:t>
      </w:r>
      <w:r w:rsidR="005F2B09" w:rsidRPr="00B63BD5">
        <w:rPr>
          <w:b/>
          <w:color w:val="00B0F0"/>
          <w:lang w:val="fr-CA"/>
        </w:rPr>
        <w:t xml:space="preserve"> la garantie est donnée par un particulier, prévoir </w:t>
      </w:r>
      <w:r w:rsidR="00F827C2" w:rsidRPr="00B63BD5">
        <w:rPr>
          <w:b/>
          <w:color w:val="00B0F0"/>
          <w:lang w:val="fr-CA"/>
        </w:rPr>
        <w:t xml:space="preserve">également </w:t>
      </w:r>
      <w:r w:rsidR="005F2B09" w:rsidRPr="00B63BD5">
        <w:rPr>
          <w:b/>
          <w:color w:val="00B0F0"/>
          <w:lang w:val="fr-CA"/>
        </w:rPr>
        <w:t>l</w:t>
      </w:r>
      <w:r w:rsidR="00564B0C" w:rsidRPr="00B63BD5">
        <w:rPr>
          <w:b/>
          <w:color w:val="00B0F0"/>
          <w:lang w:val="fr-CA"/>
        </w:rPr>
        <w:t>’</w:t>
      </w:r>
      <w:r w:rsidR="005F2B09" w:rsidRPr="00B63BD5">
        <w:rPr>
          <w:b/>
          <w:color w:val="00B0F0"/>
          <w:lang w:val="fr-CA"/>
        </w:rPr>
        <w:t>obligation de</w:t>
      </w:r>
      <w:r w:rsidR="007F3BF2" w:rsidRPr="00B63BD5">
        <w:rPr>
          <w:b/>
          <w:color w:val="00B0F0"/>
          <w:lang w:val="fr-CA"/>
        </w:rPr>
        <w:t> </w:t>
      </w:r>
      <w:r w:rsidR="005F2B09" w:rsidRPr="00B63BD5">
        <w:rPr>
          <w:b/>
          <w:color w:val="00B0F0"/>
          <w:lang w:val="fr-CA"/>
        </w:rPr>
        <w:t xml:space="preserve">fournir </w:t>
      </w:r>
      <w:r w:rsidR="006E7175" w:rsidRPr="00B63BD5">
        <w:rPr>
          <w:b/>
          <w:color w:val="00B0F0"/>
          <w:lang w:val="fr-CA"/>
        </w:rPr>
        <w:t xml:space="preserve">une attestation </w:t>
      </w:r>
      <w:r w:rsidR="005F2B09" w:rsidRPr="00B63BD5">
        <w:rPr>
          <w:b/>
          <w:color w:val="00B0F0"/>
          <w:lang w:val="fr-CA"/>
        </w:rPr>
        <w:t>d</w:t>
      </w:r>
      <w:r w:rsidR="00635958" w:rsidRPr="00B63BD5">
        <w:rPr>
          <w:b/>
          <w:color w:val="00B0F0"/>
          <w:lang w:val="fr-CA"/>
        </w:rPr>
        <w:t>es</w:t>
      </w:r>
      <w:r w:rsidR="005F2B09" w:rsidRPr="00B63BD5">
        <w:rPr>
          <w:b/>
          <w:color w:val="00B0F0"/>
          <w:lang w:val="fr-CA"/>
        </w:rPr>
        <w:t xml:space="preserve"> conseiller</w:t>
      </w:r>
      <w:r w:rsidR="00635958" w:rsidRPr="00B63BD5">
        <w:rPr>
          <w:b/>
          <w:color w:val="00B0F0"/>
          <w:lang w:val="fr-CA"/>
        </w:rPr>
        <w:t>s</w:t>
      </w:r>
      <w:r w:rsidR="005F2B09" w:rsidRPr="00B63BD5">
        <w:rPr>
          <w:b/>
          <w:color w:val="00B0F0"/>
          <w:lang w:val="fr-CA"/>
        </w:rPr>
        <w:t xml:space="preserve"> juridique</w:t>
      </w:r>
      <w:r w:rsidR="00635958" w:rsidRPr="00B63BD5">
        <w:rPr>
          <w:b/>
          <w:color w:val="00B0F0"/>
          <w:lang w:val="fr-CA"/>
        </w:rPr>
        <w:t>s</w:t>
      </w:r>
      <w:r w:rsidR="005F2B09" w:rsidRPr="00B63BD5">
        <w:rPr>
          <w:b/>
          <w:color w:val="00B0F0"/>
          <w:lang w:val="fr-CA"/>
        </w:rPr>
        <w:t xml:space="preserve"> indépendant</w:t>
      </w:r>
      <w:r w:rsidR="00635958" w:rsidRPr="00B63BD5">
        <w:rPr>
          <w:b/>
          <w:color w:val="00B0F0"/>
          <w:lang w:val="fr-CA"/>
        </w:rPr>
        <w:t>s</w:t>
      </w:r>
      <w:r w:rsidR="00574ACC" w:rsidRPr="00B63BD5">
        <w:rPr>
          <w:b/>
          <w:color w:val="00B0F0"/>
          <w:lang w:val="fr-CA"/>
        </w:rPr>
        <w:t>.</w:t>
      </w:r>
      <w:r w:rsidR="00FF58A0" w:rsidRPr="00B63BD5">
        <w:rPr>
          <w:b/>
          <w:color w:val="00B0F0"/>
          <w:lang w:val="fr-CA"/>
        </w:rPr>
        <w:t xml:space="preserve"> Si la garantie est solidaire, ajouter le mot «</w:t>
      </w:r>
      <w:r w:rsidR="0094743F" w:rsidRPr="00B63BD5">
        <w:rPr>
          <w:b/>
          <w:color w:val="00B0F0"/>
          <w:lang w:val="fr-CA"/>
        </w:rPr>
        <w:t> </w:t>
      </w:r>
      <w:r w:rsidR="00FF58A0" w:rsidRPr="00B63BD5">
        <w:rPr>
          <w:b/>
          <w:color w:val="00B0F0"/>
          <w:lang w:val="fr-CA"/>
        </w:rPr>
        <w:t>solidaire</w:t>
      </w:r>
      <w:r w:rsidR="0094743F" w:rsidRPr="00B63BD5">
        <w:rPr>
          <w:b/>
          <w:color w:val="00B0F0"/>
          <w:lang w:val="fr-CA"/>
        </w:rPr>
        <w:t> </w:t>
      </w:r>
      <w:r w:rsidR="00FF58A0" w:rsidRPr="00B63BD5">
        <w:rPr>
          <w:b/>
          <w:color w:val="00B0F0"/>
          <w:lang w:val="fr-CA"/>
        </w:rPr>
        <w:t>» dans la phrase.</w:t>
      </w:r>
      <w:r w:rsidR="00574ACC" w:rsidRPr="00B63BD5">
        <w:rPr>
          <w:b/>
          <w:color w:val="00B0F0"/>
          <w:lang w:val="fr-CA"/>
        </w:rPr>
        <w:t>]</w:t>
      </w:r>
    </w:p>
    <w:p w14:paraId="76CCFD26" w14:textId="7FF07333" w:rsidR="009926E7" w:rsidRPr="00B63BD5" w:rsidRDefault="00C50F3D" w:rsidP="000B7739">
      <w:pPr>
        <w:pStyle w:val="04LOLglNew3"/>
        <w:rPr>
          <w:lang w:val="fr-CA"/>
        </w:rPr>
      </w:pPr>
      <w:r w:rsidRPr="00B63BD5">
        <w:rPr>
          <w:lang w:val="fr-CA"/>
        </w:rPr>
        <w:t xml:space="preserve">une </w:t>
      </w:r>
      <w:r w:rsidR="005F2B09" w:rsidRPr="00B63BD5">
        <w:rPr>
          <w:lang w:val="fr-CA"/>
        </w:rPr>
        <w:t xml:space="preserve">Convention </w:t>
      </w:r>
      <w:r w:rsidR="009926E7" w:rsidRPr="00B63BD5">
        <w:rPr>
          <w:lang w:val="fr-CA"/>
        </w:rPr>
        <w:t>ISDA;</w:t>
      </w:r>
    </w:p>
    <w:p w14:paraId="31189CA8" w14:textId="4182955C" w:rsidR="001A452E" w:rsidRPr="00B63BD5" w:rsidRDefault="00063ADA" w:rsidP="000B7739">
      <w:pPr>
        <w:pStyle w:val="04LOLglNew3"/>
        <w:rPr>
          <w:lang w:val="fr-CA"/>
        </w:rPr>
      </w:pPr>
      <w:r w:rsidRPr="00B63BD5">
        <w:rPr>
          <w:lang w:val="fr-CA"/>
        </w:rPr>
        <w:t>un</w:t>
      </w:r>
      <w:r w:rsidR="00E800CB" w:rsidRPr="00B63BD5">
        <w:rPr>
          <w:lang w:val="fr-CA"/>
        </w:rPr>
        <w:t>e convention</w:t>
      </w:r>
      <w:r w:rsidR="005F2B09" w:rsidRPr="00B63BD5">
        <w:rPr>
          <w:lang w:val="fr-CA"/>
        </w:rPr>
        <w:t xml:space="preserve"> de s</w:t>
      </w:r>
      <w:r w:rsidR="00C35479" w:rsidRPr="00B63BD5">
        <w:rPr>
          <w:lang w:val="fr-CA"/>
        </w:rPr>
        <w:t>û</w:t>
      </w:r>
      <w:r w:rsidR="005F2B09" w:rsidRPr="00B63BD5">
        <w:rPr>
          <w:lang w:val="fr-CA"/>
        </w:rPr>
        <w:t xml:space="preserve">reté générale </w:t>
      </w:r>
      <w:r w:rsidR="00FF58A0" w:rsidRPr="00B63BD5">
        <w:rPr>
          <w:lang w:val="fr-CA"/>
        </w:rPr>
        <w:t>[de l</w:t>
      </w:r>
      <w:r w:rsidR="00564B0C" w:rsidRPr="00B63BD5">
        <w:rPr>
          <w:lang w:val="fr-CA"/>
        </w:rPr>
        <w:t>’</w:t>
      </w:r>
      <w:r w:rsidR="00FF58A0" w:rsidRPr="00B63BD5">
        <w:rPr>
          <w:lang w:val="fr-CA"/>
        </w:rPr>
        <w:t xml:space="preserve">Emprunteur] </w:t>
      </w:r>
      <w:r w:rsidR="005F2B09" w:rsidRPr="00B63BD5">
        <w:rPr>
          <w:lang w:val="fr-CA"/>
        </w:rPr>
        <w:t>créant u</w:t>
      </w:r>
      <w:r w:rsidR="00C35479" w:rsidRPr="00B63BD5">
        <w:rPr>
          <w:lang w:val="fr-CA"/>
        </w:rPr>
        <w:t>n</w:t>
      </w:r>
      <w:r w:rsidR="005F2B09" w:rsidRPr="00B63BD5">
        <w:rPr>
          <w:lang w:val="fr-CA"/>
        </w:rPr>
        <w:t xml:space="preserve">e </w:t>
      </w:r>
      <w:r w:rsidR="00A67839" w:rsidRPr="00B63BD5">
        <w:rPr>
          <w:lang w:val="fr-CA"/>
        </w:rPr>
        <w:t xml:space="preserve">Charge </w:t>
      </w:r>
      <w:r w:rsidR="005F2B09" w:rsidRPr="00B63BD5">
        <w:rPr>
          <w:lang w:val="fr-CA"/>
        </w:rPr>
        <w:t xml:space="preserve">de premier rang </w:t>
      </w:r>
      <w:r w:rsidR="00052CB0" w:rsidRPr="00B63BD5">
        <w:rPr>
          <w:lang w:val="fr-CA"/>
        </w:rPr>
        <w:t xml:space="preserve">grevant </w:t>
      </w:r>
      <w:r w:rsidR="005F2B09" w:rsidRPr="00B63BD5">
        <w:rPr>
          <w:lang w:val="fr-CA"/>
        </w:rPr>
        <w:t xml:space="preserve">tous les </w:t>
      </w:r>
      <w:r w:rsidR="00B32AE4" w:rsidRPr="00B63BD5">
        <w:rPr>
          <w:lang w:val="fr-CA"/>
        </w:rPr>
        <w:t>B</w:t>
      </w:r>
      <w:r w:rsidR="005F2B09" w:rsidRPr="00B63BD5">
        <w:rPr>
          <w:lang w:val="fr-CA"/>
        </w:rPr>
        <w:t xml:space="preserve">iens </w:t>
      </w:r>
      <w:r w:rsidR="00B32AE4" w:rsidRPr="00B63BD5">
        <w:rPr>
          <w:lang w:val="fr-CA"/>
        </w:rPr>
        <w:t xml:space="preserve">donnés en garantie </w:t>
      </w:r>
      <w:r w:rsidR="00C91192" w:rsidRPr="00B63BD5">
        <w:rPr>
          <w:lang w:val="fr-CA"/>
        </w:rPr>
        <w:t>actuels et futurs ou</w:t>
      </w:r>
      <w:r w:rsidR="00052CB0" w:rsidRPr="00B63BD5">
        <w:rPr>
          <w:lang w:val="fr-CA"/>
        </w:rPr>
        <w:t xml:space="preserve"> acqu</w:t>
      </w:r>
      <w:r w:rsidR="00F827C2" w:rsidRPr="00B63BD5">
        <w:rPr>
          <w:lang w:val="fr-CA"/>
        </w:rPr>
        <w:t xml:space="preserve">is </w:t>
      </w:r>
      <w:r w:rsidR="005F2B09" w:rsidRPr="00B63BD5">
        <w:rPr>
          <w:lang w:val="fr-CA"/>
        </w:rPr>
        <w:t xml:space="preserve">ultérieurement </w:t>
      </w:r>
      <w:r w:rsidR="00B32AE4" w:rsidRPr="00B63BD5">
        <w:rPr>
          <w:lang w:val="fr-CA"/>
        </w:rPr>
        <w:t>[par l</w:t>
      </w:r>
      <w:r w:rsidR="00564B0C" w:rsidRPr="00B63BD5">
        <w:rPr>
          <w:lang w:val="fr-CA"/>
        </w:rPr>
        <w:t>’</w:t>
      </w:r>
      <w:r w:rsidR="00B32AE4" w:rsidRPr="00B63BD5">
        <w:rPr>
          <w:lang w:val="fr-CA"/>
        </w:rPr>
        <w:t xml:space="preserve">Emprunteur] </w:t>
      </w:r>
      <w:r w:rsidR="00890D61" w:rsidRPr="00B63BD5">
        <w:rPr>
          <w:lang w:val="fr-CA"/>
        </w:rPr>
        <w:t>(</w:t>
      </w:r>
      <w:r w:rsidR="00261E44" w:rsidRPr="00B63BD5">
        <w:rPr>
          <w:lang w:val="fr-CA"/>
        </w:rPr>
        <w:t>y</w:t>
      </w:r>
      <w:r w:rsidR="00363F9D" w:rsidRPr="00B63BD5">
        <w:rPr>
          <w:lang w:val="fr-CA"/>
        </w:rPr>
        <w:t> </w:t>
      </w:r>
      <w:r w:rsidR="00261E44" w:rsidRPr="00B63BD5">
        <w:rPr>
          <w:lang w:val="fr-CA"/>
        </w:rPr>
        <w:t xml:space="preserve">compris </w:t>
      </w:r>
      <w:r w:rsidR="00B32AE4" w:rsidRPr="00B63BD5">
        <w:rPr>
          <w:lang w:val="fr-CA"/>
        </w:rPr>
        <w:t>s</w:t>
      </w:r>
      <w:r w:rsidR="00261E44" w:rsidRPr="00B63BD5">
        <w:rPr>
          <w:lang w:val="fr-CA"/>
        </w:rPr>
        <w:t>a p</w:t>
      </w:r>
      <w:r w:rsidR="00C35479" w:rsidRPr="00B63BD5">
        <w:rPr>
          <w:lang w:val="fr-CA"/>
        </w:rPr>
        <w:t>ro</w:t>
      </w:r>
      <w:r w:rsidR="00261E44" w:rsidRPr="00B63BD5">
        <w:rPr>
          <w:lang w:val="fr-CA"/>
        </w:rPr>
        <w:t xml:space="preserve">priété intellectuelle, </w:t>
      </w:r>
      <w:r w:rsidR="00C50F3D" w:rsidRPr="00B63BD5">
        <w:rPr>
          <w:lang w:val="fr-CA"/>
        </w:rPr>
        <w:t>le cas échéant</w:t>
      </w:r>
      <w:r w:rsidR="00890D61" w:rsidRPr="00B63BD5">
        <w:rPr>
          <w:lang w:val="fr-CA"/>
        </w:rPr>
        <w:t>)</w:t>
      </w:r>
      <w:r w:rsidR="009926E7" w:rsidRPr="00B63BD5">
        <w:rPr>
          <w:lang w:val="fr-CA"/>
        </w:rPr>
        <w:t>;</w:t>
      </w:r>
    </w:p>
    <w:p w14:paraId="183EAAA2" w14:textId="599E235F" w:rsidR="00FF58A0" w:rsidRPr="00B63BD5" w:rsidRDefault="00FF58A0" w:rsidP="00632863">
      <w:pPr>
        <w:keepNext/>
        <w:spacing w:after="240"/>
        <w:jc w:val="both"/>
        <w:rPr>
          <w:b/>
          <w:color w:val="00B0F0"/>
          <w:lang w:val="fr-CA"/>
        </w:rPr>
      </w:pPr>
      <w:r w:rsidRPr="00B63BD5">
        <w:rPr>
          <w:b/>
          <w:color w:val="00B0F0"/>
          <w:lang w:val="fr-CA"/>
        </w:rPr>
        <w:t>[N.B. : La clause</w:t>
      </w:r>
      <w:r w:rsidR="00AC4107" w:rsidRPr="00B63BD5">
        <w:rPr>
          <w:b/>
          <w:color w:val="00B0F0"/>
          <w:lang w:val="fr-CA"/>
        </w:rPr>
        <w:t xml:space="preserve"> </w:t>
      </w:r>
      <w:r w:rsidRPr="00B63BD5">
        <w:rPr>
          <w:b/>
          <w:color w:val="00B0F0"/>
          <w:lang w:val="fr-CA"/>
        </w:rPr>
        <w:t>e) s</w:t>
      </w:r>
      <w:r w:rsidR="00564B0C" w:rsidRPr="00B63BD5">
        <w:rPr>
          <w:b/>
          <w:color w:val="00B0F0"/>
          <w:lang w:val="fr-CA"/>
        </w:rPr>
        <w:t>’</w:t>
      </w:r>
      <w:r w:rsidRPr="00B63BD5">
        <w:rPr>
          <w:b/>
          <w:color w:val="00B0F0"/>
          <w:lang w:val="fr-CA"/>
        </w:rPr>
        <w:t xml:space="preserve">applique </w:t>
      </w:r>
      <w:r w:rsidR="000D7C7F" w:rsidRPr="00B63BD5">
        <w:rPr>
          <w:b/>
          <w:color w:val="00B0F0"/>
          <w:lang w:val="fr-CA"/>
        </w:rPr>
        <w:t xml:space="preserve">uniquement </w:t>
      </w:r>
      <w:r w:rsidRPr="00B63BD5">
        <w:rPr>
          <w:b/>
          <w:color w:val="00B0F0"/>
          <w:lang w:val="fr-CA"/>
        </w:rPr>
        <w:t>à une hypothèque consentie au Québec.]</w:t>
      </w:r>
    </w:p>
    <w:p w14:paraId="3724B4E9" w14:textId="6341BAB6" w:rsidR="009E226D" w:rsidRPr="00B63BD5" w:rsidRDefault="005F2B09" w:rsidP="000B7739">
      <w:pPr>
        <w:pStyle w:val="04LOLglNew3"/>
        <w:rPr>
          <w:lang w:val="fr-CA"/>
        </w:rPr>
      </w:pPr>
      <w:r w:rsidRPr="00B63BD5">
        <w:rPr>
          <w:lang w:val="fr-CA"/>
        </w:rPr>
        <w:t>une hypothèque</w:t>
      </w:r>
      <w:r w:rsidR="00343C4D" w:rsidRPr="00B63BD5">
        <w:rPr>
          <w:lang w:val="fr-CA"/>
        </w:rPr>
        <w:t xml:space="preserve"> </w:t>
      </w:r>
      <w:r w:rsidR="0029019F" w:rsidRPr="00B63BD5">
        <w:rPr>
          <w:lang w:val="fr-CA"/>
        </w:rPr>
        <w:t xml:space="preserve">mobilière </w:t>
      </w:r>
      <w:r w:rsidR="009E226D" w:rsidRPr="00B63BD5">
        <w:rPr>
          <w:lang w:val="fr-CA"/>
        </w:rPr>
        <w:t>[de l</w:t>
      </w:r>
      <w:r w:rsidR="00564B0C" w:rsidRPr="00B63BD5">
        <w:rPr>
          <w:lang w:val="fr-CA"/>
        </w:rPr>
        <w:t>’</w:t>
      </w:r>
      <w:r w:rsidR="009E226D" w:rsidRPr="00B63BD5">
        <w:rPr>
          <w:lang w:val="fr-CA"/>
        </w:rPr>
        <w:t>Emprunteur]</w:t>
      </w:r>
      <w:r w:rsidR="00812768" w:rsidRPr="00B63BD5">
        <w:rPr>
          <w:lang w:val="fr-CA"/>
        </w:rPr>
        <w:t xml:space="preserve"> </w:t>
      </w:r>
      <w:r w:rsidR="009E226D" w:rsidRPr="00B63BD5">
        <w:rPr>
          <w:lang w:val="fr-CA"/>
        </w:rPr>
        <w:t xml:space="preserve">créant une </w:t>
      </w:r>
      <w:r w:rsidR="00A67839" w:rsidRPr="00B63BD5">
        <w:rPr>
          <w:lang w:val="fr-CA"/>
        </w:rPr>
        <w:t xml:space="preserve">Charge </w:t>
      </w:r>
      <w:r w:rsidR="009E226D" w:rsidRPr="00B63BD5">
        <w:rPr>
          <w:lang w:val="fr-CA"/>
        </w:rPr>
        <w:t xml:space="preserve">de premier rang grevant </w:t>
      </w:r>
      <w:r w:rsidR="00A5345A" w:rsidRPr="00B63BD5">
        <w:rPr>
          <w:lang w:val="fr-CA"/>
        </w:rPr>
        <w:t>l</w:t>
      </w:r>
      <w:r w:rsidR="00564B0C" w:rsidRPr="00B63BD5">
        <w:rPr>
          <w:lang w:val="fr-CA"/>
        </w:rPr>
        <w:t>’</w:t>
      </w:r>
      <w:r w:rsidR="00A5345A" w:rsidRPr="00B63BD5">
        <w:rPr>
          <w:lang w:val="fr-CA"/>
        </w:rPr>
        <w:t xml:space="preserve">universalité de </w:t>
      </w:r>
      <w:r w:rsidR="009E226D" w:rsidRPr="00B63BD5">
        <w:rPr>
          <w:lang w:val="fr-CA"/>
        </w:rPr>
        <w:t xml:space="preserve">tous </w:t>
      </w:r>
      <w:r w:rsidR="00A5345A" w:rsidRPr="00B63BD5">
        <w:rPr>
          <w:lang w:val="fr-CA"/>
        </w:rPr>
        <w:t>s</w:t>
      </w:r>
      <w:r w:rsidR="009E226D" w:rsidRPr="00B63BD5">
        <w:rPr>
          <w:lang w:val="fr-CA"/>
        </w:rPr>
        <w:t>es biens meubles (y</w:t>
      </w:r>
      <w:r w:rsidR="00AC4107" w:rsidRPr="00B63BD5">
        <w:rPr>
          <w:lang w:val="fr-CA"/>
        </w:rPr>
        <w:t xml:space="preserve"> </w:t>
      </w:r>
      <w:r w:rsidR="009E226D" w:rsidRPr="00B63BD5">
        <w:rPr>
          <w:lang w:val="fr-CA"/>
        </w:rPr>
        <w:t xml:space="preserve">compris </w:t>
      </w:r>
      <w:r w:rsidR="00A5345A" w:rsidRPr="00B63BD5">
        <w:rPr>
          <w:lang w:val="fr-CA"/>
        </w:rPr>
        <w:t>s</w:t>
      </w:r>
      <w:r w:rsidR="009E226D" w:rsidRPr="00B63BD5">
        <w:rPr>
          <w:lang w:val="fr-CA"/>
        </w:rPr>
        <w:t>es biens incorporels,</w:t>
      </w:r>
      <w:r w:rsidR="00A53696" w:rsidRPr="00B63BD5">
        <w:rPr>
          <w:lang w:val="fr-CA"/>
        </w:rPr>
        <w:t xml:space="preserve"> le cas échéant</w:t>
      </w:r>
      <w:r w:rsidR="000D0E47" w:rsidRPr="00B63BD5">
        <w:rPr>
          <w:lang w:val="fr-CA"/>
        </w:rPr>
        <w:t>)</w:t>
      </w:r>
      <w:r w:rsidR="009E226D" w:rsidRPr="00B63BD5">
        <w:rPr>
          <w:lang w:val="fr-CA"/>
        </w:rPr>
        <w:t>;</w:t>
      </w:r>
    </w:p>
    <w:p w14:paraId="163D20FE" w14:textId="69B3F064" w:rsidR="009926E7" w:rsidRPr="00B63BD5" w:rsidRDefault="00343C4D" w:rsidP="000B7739">
      <w:pPr>
        <w:pStyle w:val="04LOLglNew3"/>
        <w:rPr>
          <w:lang w:val="fr-CA"/>
        </w:rPr>
      </w:pPr>
      <w:r w:rsidRPr="00B63BD5">
        <w:rPr>
          <w:lang w:val="fr-CA"/>
        </w:rPr>
        <w:t xml:space="preserve">une hypothèque collatérale </w:t>
      </w:r>
      <w:r w:rsidR="00A5345A" w:rsidRPr="00B63BD5">
        <w:rPr>
          <w:lang w:val="fr-CA"/>
        </w:rPr>
        <w:t>ou un acte d</w:t>
      </w:r>
      <w:r w:rsidR="00564B0C" w:rsidRPr="00B63BD5">
        <w:rPr>
          <w:lang w:val="fr-CA"/>
        </w:rPr>
        <w:t>’</w:t>
      </w:r>
      <w:r w:rsidR="00A5345A" w:rsidRPr="00B63BD5">
        <w:rPr>
          <w:lang w:val="fr-CA"/>
        </w:rPr>
        <w:t xml:space="preserve">hypothèque </w:t>
      </w:r>
      <w:r w:rsidR="005F2B09" w:rsidRPr="00B63BD5">
        <w:rPr>
          <w:lang w:val="fr-CA"/>
        </w:rPr>
        <w:t>d</w:t>
      </w:r>
      <w:r w:rsidR="00564B0C" w:rsidRPr="00B63BD5">
        <w:rPr>
          <w:lang w:val="fr-CA"/>
        </w:rPr>
        <w:t>’</w:t>
      </w:r>
      <w:r w:rsidR="005F2B09" w:rsidRPr="00B63BD5">
        <w:rPr>
          <w:lang w:val="fr-CA"/>
        </w:rPr>
        <w:t xml:space="preserve">un montant de </w:t>
      </w:r>
      <w:r w:rsidR="00261E44" w:rsidRPr="00B63BD5">
        <w:rPr>
          <w:lang w:val="fr-CA"/>
        </w:rPr>
        <w:t>●</w:t>
      </w:r>
      <w:r w:rsidR="00AC4107" w:rsidRPr="00B63BD5">
        <w:rPr>
          <w:lang w:val="fr-CA"/>
        </w:rPr>
        <w:t xml:space="preserve"> </w:t>
      </w:r>
      <w:r w:rsidR="00261E44" w:rsidRPr="00B63BD5">
        <w:rPr>
          <w:lang w:val="fr-CA"/>
        </w:rPr>
        <w:t>$</w:t>
      </w:r>
      <w:r w:rsidR="00AC4107" w:rsidRPr="00B63BD5">
        <w:rPr>
          <w:lang w:val="fr-CA"/>
        </w:rPr>
        <w:t xml:space="preserve"> </w:t>
      </w:r>
      <w:r w:rsidR="00261E44" w:rsidRPr="00B63BD5">
        <w:rPr>
          <w:lang w:val="fr-CA"/>
        </w:rPr>
        <w:t xml:space="preserve">CA </w:t>
      </w:r>
      <w:r w:rsidR="0069228D" w:rsidRPr="00B63BD5">
        <w:rPr>
          <w:lang w:val="fr-CA"/>
        </w:rPr>
        <w:t>(</w:t>
      </w:r>
      <w:r w:rsidR="00261E44" w:rsidRPr="00B63BD5">
        <w:rPr>
          <w:lang w:val="fr-CA"/>
        </w:rPr>
        <w:t>l</w:t>
      </w:r>
      <w:r w:rsidR="00564B0C" w:rsidRPr="00B63BD5">
        <w:rPr>
          <w:lang w:val="fr-CA"/>
        </w:rPr>
        <w:t>’</w:t>
      </w:r>
      <w:r w:rsidR="00261E44" w:rsidRPr="00B63BD5">
        <w:rPr>
          <w:lang w:val="fr-CA"/>
        </w:rPr>
        <w:t>«</w:t>
      </w:r>
      <w:r w:rsidR="0094743F" w:rsidRPr="00B63BD5">
        <w:rPr>
          <w:lang w:val="fr-CA"/>
        </w:rPr>
        <w:t> </w:t>
      </w:r>
      <w:r w:rsidR="00F00C60" w:rsidRPr="00B63BD5">
        <w:rPr>
          <w:b/>
          <w:lang w:val="fr-CA"/>
        </w:rPr>
        <w:t>Hypothèque</w:t>
      </w:r>
      <w:r w:rsidR="0094743F" w:rsidRPr="00B63BD5">
        <w:rPr>
          <w:lang w:val="fr-CA"/>
        </w:rPr>
        <w:t> </w:t>
      </w:r>
      <w:r w:rsidR="00F00C60" w:rsidRPr="00B63BD5">
        <w:rPr>
          <w:lang w:val="fr-CA"/>
        </w:rPr>
        <w:t>»</w:t>
      </w:r>
      <w:r w:rsidR="0069228D" w:rsidRPr="00B63BD5">
        <w:rPr>
          <w:lang w:val="fr-CA"/>
        </w:rPr>
        <w:t xml:space="preserve">) </w:t>
      </w:r>
      <w:r w:rsidR="009E226D" w:rsidRPr="00B63BD5">
        <w:rPr>
          <w:lang w:val="fr-CA"/>
        </w:rPr>
        <w:t>[de</w:t>
      </w:r>
      <w:r w:rsidR="00363F9D" w:rsidRPr="00B63BD5">
        <w:rPr>
          <w:lang w:val="fr-CA"/>
        </w:rPr>
        <w:t> </w:t>
      </w:r>
      <w:r w:rsidR="009E226D" w:rsidRPr="00B63BD5">
        <w:rPr>
          <w:lang w:val="fr-CA"/>
        </w:rPr>
        <w:t>l</w:t>
      </w:r>
      <w:r w:rsidR="00564B0C" w:rsidRPr="00B63BD5">
        <w:rPr>
          <w:lang w:val="fr-CA"/>
        </w:rPr>
        <w:t>’</w:t>
      </w:r>
      <w:r w:rsidR="009E226D" w:rsidRPr="00B63BD5">
        <w:rPr>
          <w:lang w:val="fr-CA"/>
        </w:rPr>
        <w:t xml:space="preserve">Emprunteur] </w:t>
      </w:r>
      <w:r w:rsidR="005F2B09" w:rsidRPr="00B63BD5">
        <w:rPr>
          <w:lang w:val="fr-CA"/>
        </w:rPr>
        <w:t>créant un</w:t>
      </w:r>
      <w:r w:rsidR="00B12969" w:rsidRPr="00B63BD5">
        <w:rPr>
          <w:lang w:val="fr-CA"/>
        </w:rPr>
        <w:t>e</w:t>
      </w:r>
      <w:r w:rsidRPr="00B63BD5">
        <w:rPr>
          <w:lang w:val="fr-CA"/>
        </w:rPr>
        <w:t xml:space="preserve"> </w:t>
      </w:r>
      <w:r w:rsidR="00161AB6" w:rsidRPr="00B63BD5">
        <w:rPr>
          <w:lang w:val="fr-CA"/>
        </w:rPr>
        <w:t>C</w:t>
      </w:r>
      <w:r w:rsidR="00A5345A" w:rsidRPr="00B63BD5">
        <w:rPr>
          <w:lang w:val="fr-CA"/>
        </w:rPr>
        <w:t>harge</w:t>
      </w:r>
      <w:r w:rsidR="00CA41C7" w:rsidRPr="00B63BD5">
        <w:rPr>
          <w:lang w:val="fr-CA"/>
        </w:rPr>
        <w:t xml:space="preserve"> [de premier rang] grevant tous les terrains et bâtiments </w:t>
      </w:r>
      <w:r w:rsidR="00DB46BE" w:rsidRPr="00B63BD5">
        <w:rPr>
          <w:lang w:val="fr-CA"/>
        </w:rPr>
        <w:t>portant l</w:t>
      </w:r>
      <w:r w:rsidR="00564B0C" w:rsidRPr="00B63BD5">
        <w:rPr>
          <w:lang w:val="fr-CA"/>
        </w:rPr>
        <w:t>’</w:t>
      </w:r>
      <w:r w:rsidR="00DB46BE" w:rsidRPr="00B63BD5">
        <w:rPr>
          <w:lang w:val="fr-CA"/>
        </w:rPr>
        <w:t>adresse civique</w:t>
      </w:r>
      <w:r w:rsidR="00CA41C7" w:rsidRPr="00B63BD5">
        <w:rPr>
          <w:lang w:val="fr-CA"/>
        </w:rPr>
        <w:t xml:space="preserve"> ● (la</w:t>
      </w:r>
      <w:r w:rsidR="00AC4107" w:rsidRPr="00B63BD5">
        <w:rPr>
          <w:lang w:val="fr-CA"/>
        </w:rPr>
        <w:t xml:space="preserve"> </w:t>
      </w:r>
      <w:r w:rsidR="00CA41C7" w:rsidRPr="00B63BD5">
        <w:rPr>
          <w:lang w:val="fr-CA"/>
        </w:rPr>
        <w:t>«</w:t>
      </w:r>
      <w:r w:rsidR="0094743F" w:rsidRPr="00B63BD5">
        <w:rPr>
          <w:lang w:val="fr-CA"/>
        </w:rPr>
        <w:t> </w:t>
      </w:r>
      <w:r w:rsidR="00CA41C7" w:rsidRPr="00B63BD5">
        <w:rPr>
          <w:b/>
          <w:lang w:val="fr-CA"/>
        </w:rPr>
        <w:t>Propriété</w:t>
      </w:r>
      <w:r w:rsidR="0094743F" w:rsidRPr="00B63BD5">
        <w:rPr>
          <w:lang w:val="fr-CA"/>
        </w:rPr>
        <w:t> </w:t>
      </w:r>
      <w:r w:rsidR="00CA41C7" w:rsidRPr="00B63BD5">
        <w:rPr>
          <w:lang w:val="fr-CA"/>
        </w:rPr>
        <w:t>»)</w:t>
      </w:r>
      <w:r w:rsidR="009926E7" w:rsidRPr="00B63BD5">
        <w:rPr>
          <w:lang w:val="fr-CA"/>
        </w:rPr>
        <w:t>;</w:t>
      </w:r>
    </w:p>
    <w:p w14:paraId="42277BA7" w14:textId="0F9FAA1C" w:rsidR="009E226D" w:rsidRPr="00B63BD5" w:rsidRDefault="009E226D" w:rsidP="00632863">
      <w:pPr>
        <w:spacing w:after="240"/>
        <w:jc w:val="both"/>
        <w:rPr>
          <w:b/>
          <w:color w:val="00B0F0"/>
          <w:lang w:val="fr-CA"/>
        </w:rPr>
      </w:pPr>
      <w:r w:rsidRPr="00B63BD5">
        <w:rPr>
          <w:b/>
          <w:color w:val="00B0F0"/>
          <w:lang w:val="fr-CA"/>
        </w:rPr>
        <w:t>[N.B. : Si plusieurs hypothèques ou biens sont visés, mentionn</w:t>
      </w:r>
      <w:r w:rsidR="00A453A8" w:rsidRPr="00B63BD5">
        <w:rPr>
          <w:b/>
          <w:color w:val="00B0F0"/>
          <w:lang w:val="fr-CA"/>
        </w:rPr>
        <w:t>er</w:t>
      </w:r>
      <w:r w:rsidRPr="00B63BD5">
        <w:rPr>
          <w:b/>
          <w:color w:val="00B0F0"/>
          <w:lang w:val="fr-CA"/>
        </w:rPr>
        <w:t xml:space="preserve"> «</w:t>
      </w:r>
      <w:r w:rsidR="0094743F" w:rsidRPr="00B63BD5">
        <w:rPr>
          <w:b/>
          <w:color w:val="00B0F0"/>
          <w:lang w:val="fr-CA"/>
        </w:rPr>
        <w:t> </w:t>
      </w:r>
      <w:r w:rsidR="00CF1206" w:rsidRPr="00B63BD5">
        <w:rPr>
          <w:b/>
          <w:color w:val="00B0F0"/>
          <w:lang w:val="fr-CA"/>
        </w:rPr>
        <w:t>H</w:t>
      </w:r>
      <w:r w:rsidRPr="00B63BD5">
        <w:rPr>
          <w:b/>
          <w:color w:val="00B0F0"/>
          <w:lang w:val="fr-CA"/>
        </w:rPr>
        <w:t>ypothèque</w:t>
      </w:r>
      <w:r w:rsidR="00B056F9" w:rsidRPr="00B63BD5">
        <w:rPr>
          <w:b/>
          <w:color w:val="00B0F0"/>
          <w:lang w:val="fr-CA"/>
        </w:rPr>
        <w:t> </w:t>
      </w:r>
      <w:r w:rsidR="00CF1206" w:rsidRPr="00B63BD5">
        <w:rPr>
          <w:b/>
          <w:color w:val="00B0F0"/>
          <w:lang w:val="fr-CA"/>
        </w:rPr>
        <w:t>1</w:t>
      </w:r>
      <w:r w:rsidR="0094743F" w:rsidRPr="00B63BD5">
        <w:rPr>
          <w:b/>
          <w:color w:val="00B0F0"/>
          <w:lang w:val="fr-CA"/>
        </w:rPr>
        <w:t> </w:t>
      </w:r>
      <w:r w:rsidR="00CF1206" w:rsidRPr="00B63BD5">
        <w:rPr>
          <w:b/>
          <w:color w:val="00B0F0"/>
          <w:lang w:val="fr-CA"/>
        </w:rPr>
        <w:t>» et «</w:t>
      </w:r>
      <w:r w:rsidR="0094743F" w:rsidRPr="00B63BD5">
        <w:rPr>
          <w:b/>
          <w:color w:val="00B0F0"/>
          <w:lang w:val="fr-CA"/>
        </w:rPr>
        <w:t> </w:t>
      </w:r>
      <w:r w:rsidR="00343C4D" w:rsidRPr="00B63BD5">
        <w:rPr>
          <w:b/>
          <w:color w:val="00B0F0"/>
          <w:lang w:val="fr-CA"/>
        </w:rPr>
        <w:t>Propriété</w:t>
      </w:r>
      <w:r w:rsidR="00B056F9" w:rsidRPr="00B63BD5">
        <w:rPr>
          <w:b/>
          <w:color w:val="00B0F0"/>
          <w:lang w:val="fr-CA"/>
        </w:rPr>
        <w:t> </w:t>
      </w:r>
      <w:r w:rsidRPr="00B63BD5">
        <w:rPr>
          <w:b/>
          <w:color w:val="00B0F0"/>
          <w:lang w:val="fr-CA"/>
        </w:rPr>
        <w:t>1</w:t>
      </w:r>
      <w:r w:rsidR="0094743F" w:rsidRPr="00B63BD5">
        <w:rPr>
          <w:b/>
          <w:color w:val="00B0F0"/>
          <w:lang w:val="fr-CA"/>
        </w:rPr>
        <w:t> </w:t>
      </w:r>
      <w:r w:rsidR="00122508" w:rsidRPr="00B63BD5">
        <w:rPr>
          <w:b/>
          <w:color w:val="00B0F0"/>
          <w:lang w:val="fr-CA"/>
        </w:rPr>
        <w:t>» /</w:t>
      </w:r>
      <w:r w:rsidR="00CF1206" w:rsidRPr="00B63BD5">
        <w:rPr>
          <w:b/>
          <w:color w:val="00B0F0"/>
          <w:lang w:val="fr-CA"/>
        </w:rPr>
        <w:t xml:space="preserve"> «</w:t>
      </w:r>
      <w:r w:rsidR="0094743F" w:rsidRPr="00B63BD5">
        <w:rPr>
          <w:b/>
          <w:color w:val="00B0F0"/>
          <w:lang w:val="fr-CA"/>
        </w:rPr>
        <w:t> </w:t>
      </w:r>
      <w:r w:rsidR="00CF1206" w:rsidRPr="00B63BD5">
        <w:rPr>
          <w:b/>
          <w:color w:val="00B0F0"/>
          <w:lang w:val="fr-CA"/>
        </w:rPr>
        <w:t>Hypothèque</w:t>
      </w:r>
      <w:r w:rsidR="00B056F9" w:rsidRPr="00B63BD5">
        <w:rPr>
          <w:b/>
          <w:color w:val="00B0F0"/>
          <w:lang w:val="fr-CA"/>
        </w:rPr>
        <w:t> </w:t>
      </w:r>
      <w:r w:rsidR="00CF1206" w:rsidRPr="00B63BD5">
        <w:rPr>
          <w:b/>
          <w:color w:val="00B0F0"/>
          <w:lang w:val="fr-CA"/>
        </w:rPr>
        <w:t>2</w:t>
      </w:r>
      <w:r w:rsidR="0094743F" w:rsidRPr="00B63BD5">
        <w:rPr>
          <w:b/>
          <w:color w:val="00B0F0"/>
          <w:lang w:val="fr-CA"/>
        </w:rPr>
        <w:t> </w:t>
      </w:r>
      <w:r w:rsidR="00CF1206" w:rsidRPr="00B63BD5">
        <w:rPr>
          <w:b/>
          <w:color w:val="00B0F0"/>
          <w:lang w:val="fr-CA"/>
        </w:rPr>
        <w:t>» et «</w:t>
      </w:r>
      <w:r w:rsidR="0094743F" w:rsidRPr="00B63BD5">
        <w:rPr>
          <w:b/>
          <w:color w:val="00B0F0"/>
          <w:lang w:val="fr-CA"/>
        </w:rPr>
        <w:t> </w:t>
      </w:r>
      <w:r w:rsidR="00343C4D" w:rsidRPr="00B63BD5">
        <w:rPr>
          <w:b/>
          <w:color w:val="00B0F0"/>
          <w:lang w:val="fr-CA"/>
        </w:rPr>
        <w:t>Propriété</w:t>
      </w:r>
      <w:r w:rsidR="00B056F9" w:rsidRPr="00B63BD5">
        <w:rPr>
          <w:b/>
          <w:color w:val="00B0F0"/>
          <w:lang w:val="fr-CA"/>
        </w:rPr>
        <w:t> </w:t>
      </w:r>
      <w:r w:rsidR="00CF1206" w:rsidRPr="00B63BD5">
        <w:rPr>
          <w:b/>
          <w:color w:val="00B0F0"/>
          <w:lang w:val="fr-CA"/>
        </w:rPr>
        <w:t>2</w:t>
      </w:r>
      <w:r w:rsidR="0094743F" w:rsidRPr="00B63BD5">
        <w:rPr>
          <w:b/>
          <w:color w:val="00B0F0"/>
          <w:lang w:val="fr-CA"/>
        </w:rPr>
        <w:t> </w:t>
      </w:r>
      <w:r w:rsidR="00CF1206" w:rsidRPr="00B63BD5">
        <w:rPr>
          <w:b/>
          <w:color w:val="00B0F0"/>
          <w:lang w:val="fr-CA"/>
        </w:rPr>
        <w:t>»</w:t>
      </w:r>
      <w:r w:rsidR="00AC4107" w:rsidRPr="00B63BD5">
        <w:rPr>
          <w:b/>
          <w:color w:val="00B0F0"/>
          <w:lang w:val="fr-CA"/>
        </w:rPr>
        <w:t xml:space="preserve"> </w:t>
      </w:r>
      <w:r w:rsidR="00CF1206" w:rsidRPr="00B63BD5">
        <w:rPr>
          <w:b/>
          <w:color w:val="00B0F0"/>
          <w:lang w:val="fr-CA"/>
        </w:rPr>
        <w:t>/</w:t>
      </w:r>
      <w:r w:rsidR="00AC4107" w:rsidRPr="00B63BD5">
        <w:rPr>
          <w:b/>
          <w:color w:val="00B0F0"/>
          <w:lang w:val="fr-CA"/>
        </w:rPr>
        <w:t xml:space="preserve"> </w:t>
      </w:r>
      <w:r w:rsidR="00CF1206" w:rsidRPr="00B63BD5">
        <w:rPr>
          <w:b/>
          <w:color w:val="00B0F0"/>
          <w:lang w:val="fr-CA"/>
        </w:rPr>
        <w:t>etc</w:t>
      </w:r>
      <w:r w:rsidRPr="00B63BD5">
        <w:rPr>
          <w:b/>
          <w:color w:val="00B0F0"/>
          <w:lang w:val="fr-CA"/>
        </w:rPr>
        <w:t>.</w:t>
      </w:r>
      <w:r w:rsidR="00CF1206" w:rsidRPr="00B63BD5">
        <w:rPr>
          <w:b/>
          <w:color w:val="00B0F0"/>
          <w:lang w:val="fr-CA"/>
        </w:rPr>
        <w:t xml:space="preserve"> S</w:t>
      </w:r>
      <w:r w:rsidR="00564B0C" w:rsidRPr="00B63BD5">
        <w:rPr>
          <w:b/>
          <w:color w:val="00B0F0"/>
          <w:lang w:val="fr-CA"/>
        </w:rPr>
        <w:t>’</w:t>
      </w:r>
      <w:r w:rsidR="00CF1206" w:rsidRPr="00B63BD5">
        <w:rPr>
          <w:b/>
          <w:color w:val="00B0F0"/>
          <w:lang w:val="fr-CA"/>
        </w:rPr>
        <w:t xml:space="preserve">assurer </w:t>
      </w:r>
      <w:r w:rsidR="00E4549F" w:rsidRPr="00B63BD5">
        <w:rPr>
          <w:b/>
          <w:color w:val="00B0F0"/>
          <w:lang w:val="fr-CA"/>
        </w:rPr>
        <w:t>d</w:t>
      </w:r>
      <w:r w:rsidR="00564B0C" w:rsidRPr="00B63BD5">
        <w:rPr>
          <w:b/>
          <w:color w:val="00B0F0"/>
          <w:lang w:val="fr-CA"/>
        </w:rPr>
        <w:t>’</w:t>
      </w:r>
      <w:r w:rsidR="00E4549F" w:rsidRPr="00B63BD5">
        <w:rPr>
          <w:b/>
          <w:color w:val="00B0F0"/>
          <w:lang w:val="fr-CA"/>
        </w:rPr>
        <w:t xml:space="preserve">utiliser la bonne </w:t>
      </w:r>
      <w:r w:rsidR="00CF1206" w:rsidRPr="00B63BD5">
        <w:rPr>
          <w:b/>
          <w:color w:val="00B0F0"/>
          <w:lang w:val="fr-CA"/>
        </w:rPr>
        <w:t xml:space="preserve">définition </w:t>
      </w:r>
      <w:r w:rsidR="00E4549F" w:rsidRPr="00B63BD5">
        <w:rPr>
          <w:b/>
          <w:color w:val="00B0F0"/>
          <w:lang w:val="fr-CA"/>
        </w:rPr>
        <w:t>dans</w:t>
      </w:r>
      <w:r w:rsidR="007F3BF2" w:rsidRPr="00B63BD5">
        <w:rPr>
          <w:b/>
          <w:color w:val="00B0F0"/>
          <w:lang w:val="fr-CA"/>
        </w:rPr>
        <w:t> </w:t>
      </w:r>
      <w:r w:rsidR="00E4549F" w:rsidRPr="00B63BD5">
        <w:rPr>
          <w:b/>
          <w:color w:val="00B0F0"/>
          <w:lang w:val="fr-CA"/>
        </w:rPr>
        <w:t>la</w:t>
      </w:r>
      <w:r w:rsidR="007F3BF2" w:rsidRPr="00B63BD5">
        <w:rPr>
          <w:b/>
          <w:color w:val="00B0F0"/>
          <w:lang w:val="fr-CA"/>
        </w:rPr>
        <w:t> </w:t>
      </w:r>
      <w:r w:rsidR="00E4549F" w:rsidRPr="00B63BD5">
        <w:rPr>
          <w:b/>
          <w:color w:val="00B0F0"/>
          <w:lang w:val="fr-CA"/>
        </w:rPr>
        <w:t xml:space="preserve">description </w:t>
      </w:r>
      <w:r w:rsidR="00CF1206" w:rsidRPr="00B63BD5">
        <w:rPr>
          <w:b/>
          <w:color w:val="00B0F0"/>
          <w:lang w:val="fr-CA"/>
        </w:rPr>
        <w:t>d</w:t>
      </w:r>
      <w:r w:rsidR="00564B0C" w:rsidRPr="00B63BD5">
        <w:rPr>
          <w:b/>
          <w:color w:val="00B0F0"/>
          <w:lang w:val="fr-CA"/>
        </w:rPr>
        <w:t>’</w:t>
      </w:r>
      <w:r w:rsidR="00CF1206" w:rsidRPr="00B63BD5">
        <w:rPr>
          <w:b/>
          <w:color w:val="00B0F0"/>
          <w:lang w:val="fr-CA"/>
        </w:rPr>
        <w:t>autres documents de sûreté et dans les conditions préalables. Le terme «</w:t>
      </w:r>
      <w:r w:rsidR="0094743F" w:rsidRPr="00B63BD5">
        <w:rPr>
          <w:b/>
          <w:color w:val="00B0F0"/>
          <w:lang w:val="fr-CA"/>
        </w:rPr>
        <w:t> </w:t>
      </w:r>
      <w:r w:rsidR="00343C4D" w:rsidRPr="00B63BD5">
        <w:rPr>
          <w:b/>
          <w:color w:val="00B0F0"/>
          <w:lang w:val="fr-CA"/>
        </w:rPr>
        <w:t>Propriété</w:t>
      </w:r>
      <w:r w:rsidR="0094743F" w:rsidRPr="00B63BD5">
        <w:rPr>
          <w:b/>
          <w:color w:val="00B0F0"/>
          <w:lang w:val="fr-CA"/>
        </w:rPr>
        <w:t> </w:t>
      </w:r>
      <w:r w:rsidR="00CF1206" w:rsidRPr="00B63BD5">
        <w:rPr>
          <w:b/>
          <w:color w:val="00B0F0"/>
          <w:lang w:val="fr-CA"/>
        </w:rPr>
        <w:t>» n</w:t>
      </w:r>
      <w:r w:rsidR="00564B0C" w:rsidRPr="00B63BD5">
        <w:rPr>
          <w:b/>
          <w:color w:val="00B0F0"/>
          <w:lang w:val="fr-CA"/>
        </w:rPr>
        <w:t>’</w:t>
      </w:r>
      <w:r w:rsidR="00CF1206" w:rsidRPr="00B63BD5">
        <w:rPr>
          <w:b/>
          <w:color w:val="00B0F0"/>
          <w:lang w:val="fr-CA"/>
        </w:rPr>
        <w:t>est pas utilisé dans l</w:t>
      </w:r>
      <w:r w:rsidR="00564B0C" w:rsidRPr="00B63BD5">
        <w:rPr>
          <w:b/>
          <w:color w:val="00B0F0"/>
          <w:lang w:val="fr-CA"/>
        </w:rPr>
        <w:t>’</w:t>
      </w:r>
      <w:r w:rsidR="00CF1206" w:rsidRPr="00B63BD5">
        <w:rPr>
          <w:b/>
          <w:color w:val="00B0F0"/>
          <w:lang w:val="fr-CA"/>
        </w:rPr>
        <w:t>Annexe</w:t>
      </w:r>
      <w:r w:rsidR="00AC4107" w:rsidRPr="00B63BD5">
        <w:rPr>
          <w:b/>
          <w:color w:val="00B0F0"/>
          <w:lang w:val="fr-CA"/>
        </w:rPr>
        <w:t xml:space="preserve"> </w:t>
      </w:r>
      <w:r w:rsidR="00CF1206" w:rsidRPr="00B63BD5">
        <w:rPr>
          <w:b/>
          <w:color w:val="00B0F0"/>
          <w:lang w:val="fr-CA"/>
        </w:rPr>
        <w:t>A</w:t>
      </w:r>
      <w:r w:rsidR="00A453A8" w:rsidRPr="00B63BD5">
        <w:rPr>
          <w:b/>
          <w:color w:val="00B0F0"/>
          <w:lang w:val="fr-CA"/>
        </w:rPr>
        <w:t>.</w:t>
      </w:r>
      <w:r w:rsidRPr="00B63BD5">
        <w:rPr>
          <w:b/>
          <w:color w:val="00B0F0"/>
          <w:lang w:val="fr-CA"/>
        </w:rPr>
        <w:t>]</w:t>
      </w:r>
    </w:p>
    <w:p w14:paraId="1CC930C5" w14:textId="78D3263A" w:rsidR="0035061C" w:rsidRPr="00B63BD5" w:rsidRDefault="0035061C" w:rsidP="00632863">
      <w:pPr>
        <w:spacing w:after="240"/>
        <w:jc w:val="both"/>
        <w:rPr>
          <w:b/>
          <w:color w:val="00B0F0"/>
          <w:lang w:val="fr-CA"/>
        </w:rPr>
      </w:pPr>
      <w:r w:rsidRPr="00B63BD5">
        <w:rPr>
          <w:b/>
          <w:color w:val="00B0F0"/>
          <w:lang w:val="fr-CA"/>
        </w:rPr>
        <w:t>[N.B. : La clause</w:t>
      </w:r>
      <w:r w:rsidR="00AC4107" w:rsidRPr="00B63BD5">
        <w:rPr>
          <w:b/>
          <w:color w:val="00B0F0"/>
          <w:lang w:val="fr-CA"/>
        </w:rPr>
        <w:t xml:space="preserve"> </w:t>
      </w:r>
      <w:r w:rsidR="009B2CEC" w:rsidRPr="00B63BD5">
        <w:rPr>
          <w:b/>
          <w:color w:val="00B0F0"/>
          <w:lang w:val="fr-CA"/>
        </w:rPr>
        <w:t>g</w:t>
      </w:r>
      <w:r w:rsidRPr="00B63BD5">
        <w:rPr>
          <w:b/>
          <w:color w:val="00B0F0"/>
          <w:lang w:val="fr-CA"/>
        </w:rPr>
        <w:t>) s</w:t>
      </w:r>
      <w:r w:rsidR="00564B0C" w:rsidRPr="00B63BD5">
        <w:rPr>
          <w:b/>
          <w:color w:val="00B0F0"/>
          <w:lang w:val="fr-CA"/>
        </w:rPr>
        <w:t>’</w:t>
      </w:r>
      <w:r w:rsidRPr="00B63BD5">
        <w:rPr>
          <w:b/>
          <w:color w:val="00B0F0"/>
          <w:lang w:val="fr-CA"/>
        </w:rPr>
        <w:t xml:space="preserve">applique uniquement </w:t>
      </w:r>
      <w:r w:rsidR="009B2CEC" w:rsidRPr="00B63BD5">
        <w:rPr>
          <w:b/>
          <w:color w:val="00B0F0"/>
          <w:lang w:val="fr-CA"/>
        </w:rPr>
        <w:t>aux biens situés à l</w:t>
      </w:r>
      <w:r w:rsidR="00564B0C" w:rsidRPr="00B63BD5">
        <w:rPr>
          <w:b/>
          <w:color w:val="00B0F0"/>
          <w:lang w:val="fr-CA"/>
        </w:rPr>
        <w:t>’</w:t>
      </w:r>
      <w:r w:rsidR="009B2CEC" w:rsidRPr="00B63BD5">
        <w:rPr>
          <w:b/>
          <w:color w:val="00B0F0"/>
          <w:lang w:val="fr-CA"/>
        </w:rPr>
        <w:t>extérieur du</w:t>
      </w:r>
      <w:r w:rsidRPr="00B63BD5">
        <w:rPr>
          <w:b/>
          <w:color w:val="00B0F0"/>
          <w:lang w:val="fr-CA"/>
        </w:rPr>
        <w:t xml:space="preserve"> Québec.]</w:t>
      </w:r>
    </w:p>
    <w:p w14:paraId="7FBF852A" w14:textId="69F75AEC" w:rsidR="00702632" w:rsidRPr="00B63BD5" w:rsidRDefault="005F2B09" w:rsidP="000B7739">
      <w:pPr>
        <w:pStyle w:val="04LOLglNew3"/>
        <w:rPr>
          <w:lang w:val="fr-CA"/>
        </w:rPr>
      </w:pPr>
      <w:r w:rsidRPr="00B63BD5">
        <w:rPr>
          <w:lang w:val="fr-CA"/>
        </w:rPr>
        <w:t>une cession générale des loyers relati</w:t>
      </w:r>
      <w:r w:rsidR="0046138F" w:rsidRPr="00B63BD5">
        <w:rPr>
          <w:lang w:val="fr-CA"/>
        </w:rPr>
        <w:t>fs</w:t>
      </w:r>
      <w:r w:rsidR="00343C4D" w:rsidRPr="00B63BD5">
        <w:rPr>
          <w:lang w:val="fr-CA"/>
        </w:rPr>
        <w:t xml:space="preserve"> à la Propriété</w:t>
      </w:r>
      <w:r w:rsidR="00702632" w:rsidRPr="00B63BD5">
        <w:rPr>
          <w:lang w:val="fr-CA"/>
        </w:rPr>
        <w:t>;</w:t>
      </w:r>
      <w:r w:rsidR="00BA6E48" w:rsidRPr="00B63BD5">
        <w:rPr>
          <w:lang w:val="fr-CA"/>
        </w:rPr>
        <w:t xml:space="preserve"> </w:t>
      </w:r>
    </w:p>
    <w:p w14:paraId="716491BE" w14:textId="33B09F0E" w:rsidR="001121F0" w:rsidRPr="00B63BD5" w:rsidRDefault="001121F0" w:rsidP="000B7739">
      <w:pPr>
        <w:pStyle w:val="04LOLglNew3"/>
        <w:rPr>
          <w:lang w:val="fr-CA"/>
        </w:rPr>
      </w:pPr>
      <w:r w:rsidRPr="00B63BD5">
        <w:rPr>
          <w:lang w:val="fr-CA"/>
        </w:rPr>
        <w:t xml:space="preserve">une </w:t>
      </w:r>
      <w:r w:rsidR="00A453A8" w:rsidRPr="00B63BD5">
        <w:rPr>
          <w:lang w:val="fr-CA"/>
        </w:rPr>
        <w:t>c</w:t>
      </w:r>
      <w:r w:rsidRPr="00B63BD5">
        <w:rPr>
          <w:lang w:val="fr-CA"/>
        </w:rPr>
        <w:t xml:space="preserve">onvention </w:t>
      </w:r>
      <w:r w:rsidR="00EC0B7D" w:rsidRPr="00B63BD5">
        <w:rPr>
          <w:lang w:val="fr-CA"/>
        </w:rPr>
        <w:t>et indemnité</w:t>
      </w:r>
      <w:r w:rsidRPr="00B63BD5">
        <w:rPr>
          <w:lang w:val="fr-CA"/>
        </w:rPr>
        <w:t xml:space="preserve"> environnementale</w:t>
      </w:r>
      <w:r w:rsidR="00EC0B7D" w:rsidRPr="00B63BD5">
        <w:rPr>
          <w:lang w:val="fr-CA"/>
        </w:rPr>
        <w:t>s</w:t>
      </w:r>
      <w:r w:rsidRPr="00B63BD5">
        <w:rPr>
          <w:lang w:val="fr-CA"/>
        </w:rPr>
        <w:t xml:space="preserve"> [de l</w:t>
      </w:r>
      <w:r w:rsidR="00564B0C" w:rsidRPr="00B63BD5">
        <w:rPr>
          <w:lang w:val="fr-CA"/>
        </w:rPr>
        <w:t>’</w:t>
      </w:r>
      <w:r w:rsidRPr="00B63BD5">
        <w:rPr>
          <w:lang w:val="fr-CA"/>
        </w:rPr>
        <w:t xml:space="preserve">Emprunteur </w:t>
      </w:r>
      <w:r w:rsidRPr="00B63BD5">
        <w:rPr>
          <w:b/>
          <w:color w:val="00B0F0"/>
          <w:highlight w:val="yellow"/>
          <w:lang w:val="fr-CA"/>
        </w:rPr>
        <w:t>OU</w:t>
      </w:r>
      <w:r w:rsidRPr="00B63BD5">
        <w:rPr>
          <w:lang w:val="fr-CA"/>
        </w:rPr>
        <w:t xml:space="preserve"> des Emprunteurs] [et de ●] relative</w:t>
      </w:r>
      <w:r w:rsidR="00343C4D" w:rsidRPr="00B63BD5">
        <w:rPr>
          <w:lang w:val="fr-CA"/>
        </w:rPr>
        <w:t xml:space="preserve"> à la Propriété</w:t>
      </w:r>
      <w:r w:rsidRPr="00B63BD5">
        <w:rPr>
          <w:lang w:val="fr-CA"/>
        </w:rPr>
        <w:t>;</w:t>
      </w:r>
    </w:p>
    <w:p w14:paraId="3A381F09" w14:textId="301E29A0" w:rsidR="00BE3F5C" w:rsidRPr="00B63BD5" w:rsidRDefault="006C05E4" w:rsidP="000B7739">
      <w:pPr>
        <w:pStyle w:val="04LOLglNew3"/>
        <w:rPr>
          <w:lang w:val="fr-CA"/>
        </w:rPr>
      </w:pPr>
      <w:r w:rsidRPr="00B63BD5">
        <w:rPr>
          <w:lang w:val="fr-CA"/>
        </w:rPr>
        <w:t>une cession de l</w:t>
      </w:r>
      <w:r w:rsidR="00564B0C" w:rsidRPr="00B63BD5">
        <w:rPr>
          <w:lang w:val="fr-CA"/>
        </w:rPr>
        <w:t>’</w:t>
      </w:r>
      <w:r w:rsidRPr="00B63BD5">
        <w:rPr>
          <w:lang w:val="fr-CA"/>
        </w:rPr>
        <w:t>assurance tous risques</w:t>
      </w:r>
      <w:r w:rsidR="00AB6B4E" w:rsidRPr="00B63BD5">
        <w:rPr>
          <w:lang w:val="fr-CA"/>
        </w:rPr>
        <w:t>,</w:t>
      </w:r>
      <w:r w:rsidRPr="00B63BD5">
        <w:rPr>
          <w:lang w:val="fr-CA"/>
        </w:rPr>
        <w:t xml:space="preserve"> y</w:t>
      </w:r>
      <w:r w:rsidR="00AC4107" w:rsidRPr="00B63BD5">
        <w:rPr>
          <w:lang w:val="fr-CA"/>
        </w:rPr>
        <w:t xml:space="preserve"> </w:t>
      </w:r>
      <w:r w:rsidRPr="00B63BD5">
        <w:rPr>
          <w:lang w:val="fr-CA"/>
        </w:rPr>
        <w:t xml:space="preserve">compris des garanties annexes, </w:t>
      </w:r>
      <w:r w:rsidR="00052CB0" w:rsidRPr="00B63BD5">
        <w:rPr>
          <w:lang w:val="fr-CA"/>
        </w:rPr>
        <w:t xml:space="preserve">une </w:t>
      </w:r>
      <w:r w:rsidRPr="00B63BD5">
        <w:rPr>
          <w:lang w:val="fr-CA"/>
        </w:rPr>
        <w:t>ass</w:t>
      </w:r>
      <w:r w:rsidR="002A1390" w:rsidRPr="00B63BD5">
        <w:rPr>
          <w:lang w:val="fr-CA"/>
        </w:rPr>
        <w:t>urance d</w:t>
      </w:r>
      <w:r w:rsidRPr="00B63BD5">
        <w:rPr>
          <w:lang w:val="fr-CA"/>
        </w:rPr>
        <w:t>e</w:t>
      </w:r>
      <w:r w:rsidR="007F3BF2" w:rsidRPr="00B63BD5">
        <w:rPr>
          <w:lang w:val="fr-CA"/>
        </w:rPr>
        <w:t> </w:t>
      </w:r>
      <w:r w:rsidRPr="00B63BD5">
        <w:rPr>
          <w:lang w:val="fr-CA"/>
        </w:rPr>
        <w:t>responsabilité civile</w:t>
      </w:r>
      <w:r w:rsidR="00E10DB5" w:rsidRPr="00B63BD5">
        <w:rPr>
          <w:lang w:val="fr-CA"/>
        </w:rPr>
        <w:t>,</w:t>
      </w:r>
      <w:r w:rsidRPr="00B63BD5">
        <w:rPr>
          <w:lang w:val="fr-CA"/>
        </w:rPr>
        <w:t xml:space="preserve"> </w:t>
      </w:r>
      <w:r w:rsidR="00052CB0" w:rsidRPr="00B63BD5">
        <w:rPr>
          <w:lang w:val="fr-CA"/>
        </w:rPr>
        <w:t xml:space="preserve">une </w:t>
      </w:r>
      <w:r w:rsidRPr="00B63BD5">
        <w:rPr>
          <w:lang w:val="fr-CA"/>
        </w:rPr>
        <w:t>ass</w:t>
      </w:r>
      <w:r w:rsidR="002A1390" w:rsidRPr="00B63BD5">
        <w:rPr>
          <w:lang w:val="fr-CA"/>
        </w:rPr>
        <w:t>urance</w:t>
      </w:r>
      <w:r w:rsidRPr="00B63BD5">
        <w:rPr>
          <w:lang w:val="fr-CA"/>
        </w:rPr>
        <w:t xml:space="preserve"> des pertes d</w:t>
      </w:r>
      <w:r w:rsidR="00564B0C" w:rsidRPr="00B63BD5">
        <w:rPr>
          <w:lang w:val="fr-CA"/>
        </w:rPr>
        <w:t>’</w:t>
      </w:r>
      <w:r w:rsidRPr="00B63BD5">
        <w:rPr>
          <w:lang w:val="fr-CA"/>
        </w:rPr>
        <w:t>exploitation</w:t>
      </w:r>
      <w:r w:rsidR="00E10DB5" w:rsidRPr="00B63BD5">
        <w:rPr>
          <w:lang w:val="fr-CA"/>
        </w:rPr>
        <w:t xml:space="preserve"> et</w:t>
      </w:r>
      <w:r w:rsidR="001121F0" w:rsidRPr="00B63BD5">
        <w:rPr>
          <w:lang w:val="fr-CA"/>
        </w:rPr>
        <w:t xml:space="preserve"> une assurance contre l</w:t>
      </w:r>
      <w:r w:rsidR="00564B0C" w:rsidRPr="00B63BD5">
        <w:rPr>
          <w:lang w:val="fr-CA"/>
        </w:rPr>
        <w:t>’</w:t>
      </w:r>
      <w:r w:rsidR="001121F0" w:rsidRPr="00B63BD5">
        <w:rPr>
          <w:lang w:val="fr-CA"/>
        </w:rPr>
        <w:t xml:space="preserve">incendie, </w:t>
      </w:r>
      <w:r w:rsidR="00E4549F" w:rsidRPr="00B63BD5">
        <w:rPr>
          <w:lang w:val="fr-CA"/>
        </w:rPr>
        <w:t>si cela est requis</w:t>
      </w:r>
      <w:r w:rsidR="00E10DB5" w:rsidRPr="00B63BD5">
        <w:rPr>
          <w:lang w:val="fr-CA"/>
        </w:rPr>
        <w:t xml:space="preserve"> par la Banque</w:t>
      </w:r>
      <w:r w:rsidR="002F145B" w:rsidRPr="00B63BD5">
        <w:rPr>
          <w:lang w:val="fr-CA"/>
        </w:rPr>
        <w:t>,</w:t>
      </w:r>
      <w:r w:rsidR="00E4549F" w:rsidRPr="00B63BD5">
        <w:rPr>
          <w:lang w:val="fr-CA"/>
        </w:rPr>
        <w:t xml:space="preserve"> qui</w:t>
      </w:r>
      <w:r w:rsidR="001121F0" w:rsidRPr="00B63BD5">
        <w:rPr>
          <w:lang w:val="fr-CA"/>
        </w:rPr>
        <w:t xml:space="preserve"> </w:t>
      </w:r>
      <w:r w:rsidRPr="00B63BD5">
        <w:rPr>
          <w:lang w:val="fr-CA"/>
        </w:rPr>
        <w:t>prévo</w:t>
      </w:r>
      <w:r w:rsidR="00AF7DE7" w:rsidRPr="00B63BD5">
        <w:rPr>
          <w:lang w:val="fr-CA"/>
        </w:rPr>
        <w:t xml:space="preserve">it </w:t>
      </w:r>
      <w:r w:rsidRPr="00B63BD5">
        <w:rPr>
          <w:lang w:val="fr-CA"/>
        </w:rPr>
        <w:t>des montants et</w:t>
      </w:r>
      <w:r w:rsidR="00AF7DE7" w:rsidRPr="00B63BD5">
        <w:rPr>
          <w:lang w:val="fr-CA"/>
        </w:rPr>
        <w:t xml:space="preserve"> a été </w:t>
      </w:r>
      <w:r w:rsidRPr="00B63BD5">
        <w:rPr>
          <w:lang w:val="fr-CA"/>
        </w:rPr>
        <w:t>souscrite auprès d</w:t>
      </w:r>
      <w:r w:rsidR="00564B0C" w:rsidRPr="00B63BD5">
        <w:rPr>
          <w:lang w:val="fr-CA"/>
        </w:rPr>
        <w:t>’</w:t>
      </w:r>
      <w:r w:rsidRPr="00B63BD5">
        <w:rPr>
          <w:lang w:val="fr-CA"/>
        </w:rPr>
        <w:t>un</w:t>
      </w:r>
      <w:r w:rsidR="007F3BF2" w:rsidRPr="00B63BD5">
        <w:rPr>
          <w:lang w:val="fr-CA"/>
        </w:rPr>
        <w:t> </w:t>
      </w:r>
      <w:r w:rsidRPr="00B63BD5">
        <w:rPr>
          <w:lang w:val="fr-CA"/>
        </w:rPr>
        <w:t>assureur que la B</w:t>
      </w:r>
      <w:r w:rsidR="002A1390" w:rsidRPr="00B63BD5">
        <w:rPr>
          <w:lang w:val="fr-CA"/>
        </w:rPr>
        <w:t>anque</w:t>
      </w:r>
      <w:r w:rsidRPr="00B63BD5">
        <w:rPr>
          <w:lang w:val="fr-CA"/>
        </w:rPr>
        <w:t xml:space="preserve"> juge, dans chaque cas, acceptable</w:t>
      </w:r>
      <w:r w:rsidR="00AF7DE7" w:rsidRPr="00B63BD5">
        <w:rPr>
          <w:lang w:val="fr-CA"/>
        </w:rPr>
        <w:t>s</w:t>
      </w:r>
      <w:r w:rsidRPr="00B63BD5">
        <w:rPr>
          <w:lang w:val="fr-CA"/>
        </w:rPr>
        <w:t xml:space="preserve">, </w:t>
      </w:r>
      <w:r w:rsidR="006E7175" w:rsidRPr="00B63BD5">
        <w:rPr>
          <w:lang w:val="fr-CA"/>
        </w:rPr>
        <w:t xml:space="preserve">visant </w:t>
      </w:r>
      <w:r w:rsidRPr="00B63BD5">
        <w:rPr>
          <w:lang w:val="fr-CA"/>
        </w:rPr>
        <w:t xml:space="preserve">la totalité des </w:t>
      </w:r>
      <w:r w:rsidR="00E10DB5" w:rsidRPr="00B63BD5">
        <w:rPr>
          <w:lang w:val="fr-CA"/>
        </w:rPr>
        <w:t>B</w:t>
      </w:r>
      <w:r w:rsidRPr="00B63BD5">
        <w:rPr>
          <w:lang w:val="fr-CA"/>
        </w:rPr>
        <w:t>iens</w:t>
      </w:r>
      <w:r w:rsidR="00BA6E48" w:rsidRPr="00B63BD5">
        <w:rPr>
          <w:lang w:val="fr-CA"/>
        </w:rPr>
        <w:t xml:space="preserve"> </w:t>
      </w:r>
      <w:r w:rsidR="00E10DB5" w:rsidRPr="00B63BD5">
        <w:rPr>
          <w:lang w:val="fr-CA"/>
        </w:rPr>
        <w:t>donnés en garantie</w:t>
      </w:r>
      <w:r w:rsidRPr="00B63BD5">
        <w:rPr>
          <w:lang w:val="fr-CA"/>
        </w:rPr>
        <w:t xml:space="preserve"> de l</w:t>
      </w:r>
      <w:r w:rsidR="00564B0C" w:rsidRPr="00B63BD5">
        <w:rPr>
          <w:lang w:val="fr-CA"/>
        </w:rPr>
        <w:t>’</w:t>
      </w:r>
      <w:r w:rsidRPr="00B63BD5">
        <w:rPr>
          <w:lang w:val="fr-CA"/>
        </w:rPr>
        <w:t>E</w:t>
      </w:r>
      <w:r w:rsidR="002A1390" w:rsidRPr="00B63BD5">
        <w:rPr>
          <w:lang w:val="fr-CA"/>
        </w:rPr>
        <w:t>mprunteur</w:t>
      </w:r>
      <w:r w:rsidRPr="00B63BD5">
        <w:rPr>
          <w:lang w:val="fr-CA"/>
        </w:rPr>
        <w:t xml:space="preserve">, nommant la Banque à titre de </w:t>
      </w:r>
      <w:r w:rsidR="0011404F" w:rsidRPr="00B63BD5">
        <w:rPr>
          <w:lang w:val="fr-CA"/>
        </w:rPr>
        <w:t xml:space="preserve">premier </w:t>
      </w:r>
      <w:r w:rsidR="006E7175" w:rsidRPr="00B63BD5">
        <w:rPr>
          <w:lang w:val="fr-CA"/>
        </w:rPr>
        <w:t>bénéficiaire</w:t>
      </w:r>
      <w:r w:rsidRPr="00B63BD5">
        <w:rPr>
          <w:lang w:val="fr-CA"/>
        </w:rPr>
        <w:t xml:space="preserve"> </w:t>
      </w:r>
      <w:r w:rsidR="00AF7DE7" w:rsidRPr="00B63BD5">
        <w:rPr>
          <w:lang w:val="fr-CA"/>
        </w:rPr>
        <w:t>avec un</w:t>
      </w:r>
      <w:r w:rsidR="007F3BF2" w:rsidRPr="00B63BD5">
        <w:rPr>
          <w:lang w:val="fr-CA"/>
        </w:rPr>
        <w:t> </w:t>
      </w:r>
      <w:r w:rsidRPr="00B63BD5">
        <w:rPr>
          <w:lang w:val="fr-CA"/>
        </w:rPr>
        <w:t xml:space="preserve">avenant hypothécaire standard </w:t>
      </w:r>
      <w:r w:rsidR="000F11F9" w:rsidRPr="00B63BD5">
        <w:rPr>
          <w:lang w:val="fr-CA"/>
        </w:rPr>
        <w:t xml:space="preserve">aux fins de la </w:t>
      </w:r>
      <w:r w:rsidR="006E7175" w:rsidRPr="00B63BD5">
        <w:rPr>
          <w:lang w:val="fr-CA"/>
        </w:rPr>
        <w:t xml:space="preserve">couverture des </w:t>
      </w:r>
      <w:r w:rsidRPr="00B63BD5">
        <w:rPr>
          <w:lang w:val="fr-CA"/>
        </w:rPr>
        <w:t xml:space="preserve">dommages </w:t>
      </w:r>
      <w:r w:rsidR="002A1390" w:rsidRPr="00B63BD5">
        <w:rPr>
          <w:lang w:val="fr-CA"/>
        </w:rPr>
        <w:t xml:space="preserve">matériels </w:t>
      </w:r>
      <w:r w:rsidRPr="00B63BD5">
        <w:rPr>
          <w:lang w:val="fr-CA"/>
        </w:rPr>
        <w:t>(et à titre d</w:t>
      </w:r>
      <w:r w:rsidR="00564B0C" w:rsidRPr="00B63BD5">
        <w:rPr>
          <w:lang w:val="fr-CA"/>
        </w:rPr>
        <w:t>’</w:t>
      </w:r>
      <w:r w:rsidRPr="00B63BD5">
        <w:rPr>
          <w:lang w:val="fr-CA"/>
        </w:rPr>
        <w:t xml:space="preserve">assurée additionnelle </w:t>
      </w:r>
      <w:r w:rsidR="000F11F9" w:rsidRPr="00B63BD5">
        <w:rPr>
          <w:lang w:val="fr-CA"/>
        </w:rPr>
        <w:t xml:space="preserve">aux fins </w:t>
      </w:r>
      <w:r w:rsidRPr="00B63BD5">
        <w:rPr>
          <w:lang w:val="fr-CA"/>
        </w:rPr>
        <w:t>de</w:t>
      </w:r>
      <w:r w:rsidR="002A1390" w:rsidRPr="00B63BD5">
        <w:rPr>
          <w:lang w:val="fr-CA"/>
        </w:rPr>
        <w:t xml:space="preserve"> </w:t>
      </w:r>
      <w:r w:rsidRPr="00B63BD5">
        <w:rPr>
          <w:lang w:val="fr-CA"/>
        </w:rPr>
        <w:t>l</w:t>
      </w:r>
      <w:r w:rsidR="00564B0C" w:rsidRPr="00B63BD5">
        <w:rPr>
          <w:lang w:val="fr-CA"/>
        </w:rPr>
        <w:t>’</w:t>
      </w:r>
      <w:r w:rsidRPr="00B63BD5">
        <w:rPr>
          <w:lang w:val="fr-CA"/>
        </w:rPr>
        <w:t>ass</w:t>
      </w:r>
      <w:r w:rsidR="002A1390" w:rsidRPr="00B63BD5">
        <w:rPr>
          <w:lang w:val="fr-CA"/>
        </w:rPr>
        <w:t>urance</w:t>
      </w:r>
      <w:r w:rsidRPr="00B63BD5">
        <w:rPr>
          <w:lang w:val="fr-CA"/>
        </w:rPr>
        <w:t xml:space="preserve"> de responsabilité civile), </w:t>
      </w:r>
      <w:r w:rsidR="00052CB0" w:rsidRPr="00B63BD5">
        <w:rPr>
          <w:lang w:val="fr-CA"/>
        </w:rPr>
        <w:t>conformément aux</w:t>
      </w:r>
      <w:r w:rsidR="007F3BF2" w:rsidRPr="00B63BD5">
        <w:rPr>
          <w:lang w:val="fr-CA"/>
        </w:rPr>
        <w:t> </w:t>
      </w:r>
      <w:r w:rsidR="006E7175" w:rsidRPr="00B63BD5">
        <w:rPr>
          <w:lang w:val="fr-CA"/>
        </w:rPr>
        <w:t xml:space="preserve">confirmations </w:t>
      </w:r>
      <w:r w:rsidR="00052CB0" w:rsidRPr="00B63BD5">
        <w:rPr>
          <w:lang w:val="fr-CA"/>
        </w:rPr>
        <w:t>donné</w:t>
      </w:r>
      <w:r w:rsidR="00E10DB5" w:rsidRPr="00B63BD5">
        <w:rPr>
          <w:lang w:val="fr-CA"/>
        </w:rPr>
        <w:t>e</w:t>
      </w:r>
      <w:r w:rsidR="00052CB0" w:rsidRPr="00B63BD5">
        <w:rPr>
          <w:lang w:val="fr-CA"/>
        </w:rPr>
        <w:t xml:space="preserve">s par </w:t>
      </w:r>
      <w:r w:rsidR="00E10DB5" w:rsidRPr="00B63BD5">
        <w:rPr>
          <w:lang w:val="fr-CA"/>
        </w:rPr>
        <w:t>l</w:t>
      </w:r>
      <w:r w:rsidR="00564B0C" w:rsidRPr="00B63BD5">
        <w:rPr>
          <w:lang w:val="fr-CA"/>
        </w:rPr>
        <w:t>’</w:t>
      </w:r>
      <w:r w:rsidRPr="00B63BD5">
        <w:rPr>
          <w:lang w:val="fr-CA"/>
        </w:rPr>
        <w:t>assureur pertinen</w:t>
      </w:r>
      <w:r w:rsidR="00D55296" w:rsidRPr="00B63BD5">
        <w:rPr>
          <w:lang w:val="fr-CA"/>
        </w:rPr>
        <w:t>t</w:t>
      </w:r>
      <w:r w:rsidRPr="00B63BD5">
        <w:rPr>
          <w:lang w:val="fr-CA"/>
        </w:rPr>
        <w:t xml:space="preserve"> ou </w:t>
      </w:r>
      <w:r w:rsidR="00052CB0" w:rsidRPr="00B63BD5">
        <w:rPr>
          <w:lang w:val="fr-CA"/>
        </w:rPr>
        <w:t xml:space="preserve">par </w:t>
      </w:r>
      <w:r w:rsidR="00E10DB5" w:rsidRPr="00B63BD5">
        <w:rPr>
          <w:lang w:val="fr-CA"/>
        </w:rPr>
        <w:t xml:space="preserve">son </w:t>
      </w:r>
      <w:r w:rsidRPr="00B63BD5">
        <w:rPr>
          <w:lang w:val="fr-CA"/>
        </w:rPr>
        <w:t>représentant autorisé;</w:t>
      </w:r>
    </w:p>
    <w:p w14:paraId="160B5D3C" w14:textId="51FFB514" w:rsidR="00F827C2" w:rsidRPr="00B63BD5" w:rsidRDefault="00F827C2" w:rsidP="000B7739">
      <w:pPr>
        <w:pStyle w:val="04LOLglNew3"/>
        <w:rPr>
          <w:lang w:val="fr-CA"/>
        </w:rPr>
      </w:pPr>
      <w:r w:rsidRPr="00B63BD5">
        <w:rPr>
          <w:lang w:val="fr-CA"/>
        </w:rPr>
        <w:t xml:space="preserve">une cession de </w:t>
      </w:r>
      <w:r w:rsidR="0046138F" w:rsidRPr="00B63BD5">
        <w:rPr>
          <w:lang w:val="fr-CA"/>
        </w:rPr>
        <w:t>créances</w:t>
      </w:r>
      <w:r w:rsidRPr="00B63BD5">
        <w:rPr>
          <w:lang w:val="fr-CA"/>
        </w:rPr>
        <w:t>;</w:t>
      </w:r>
      <w:r w:rsidR="00CB518F" w:rsidRPr="00B63BD5">
        <w:rPr>
          <w:lang w:val="fr-CA"/>
        </w:rPr>
        <w:t xml:space="preserve"> </w:t>
      </w:r>
    </w:p>
    <w:p w14:paraId="20E9E5BE" w14:textId="7E450804" w:rsidR="00AB6B4E" w:rsidRPr="00B63BD5" w:rsidRDefault="00AB6B4E" w:rsidP="000B7739">
      <w:pPr>
        <w:pStyle w:val="04LOLglNew3"/>
        <w:rPr>
          <w:lang w:val="fr-CA"/>
        </w:rPr>
      </w:pPr>
      <w:r w:rsidRPr="00B63BD5">
        <w:rPr>
          <w:lang w:val="fr-CA"/>
        </w:rPr>
        <w:t>une garantie de ●</w:t>
      </w:r>
      <w:r w:rsidR="00AC4107" w:rsidRPr="00B63BD5">
        <w:rPr>
          <w:lang w:val="fr-CA"/>
        </w:rPr>
        <w:t xml:space="preserve"> </w:t>
      </w:r>
      <w:r w:rsidRPr="00B63BD5">
        <w:rPr>
          <w:lang w:val="fr-CA"/>
        </w:rPr>
        <w:t>$</w:t>
      </w:r>
      <w:r w:rsidR="00AC4107" w:rsidRPr="00B63BD5">
        <w:rPr>
          <w:lang w:val="fr-CA"/>
        </w:rPr>
        <w:t xml:space="preserve"> </w:t>
      </w:r>
      <w:r w:rsidRPr="00B63BD5">
        <w:rPr>
          <w:lang w:val="fr-CA"/>
        </w:rPr>
        <w:t>CA accordée par Investissement Québec;</w:t>
      </w:r>
    </w:p>
    <w:p w14:paraId="4D048CC8" w14:textId="44A305F4" w:rsidR="00F827C2" w:rsidRPr="0074663D" w:rsidRDefault="0074663D" w:rsidP="000B7739">
      <w:pPr>
        <w:pStyle w:val="04LOLglNew3"/>
        <w:rPr>
          <w:lang w:val="fr-CA"/>
        </w:rPr>
      </w:pPr>
      <w:r w:rsidRPr="0074663D">
        <w:rPr>
          <w:lang w:val="fr-CA"/>
        </w:rPr>
        <w:t>une garantie d’exportation pour la dette de l’Emprunteur envers la Banque accordée par Exportation et développement Canada, conformément à son Programme de garanties d’exportations, correspondant à au moins [</w:t>
      </w:r>
      <w:r w:rsidRPr="0074663D">
        <w:rPr>
          <w:rFonts w:ascii="Wingdings" w:hAnsi="Wingdings"/>
          <w:lang w:val="fr-CA"/>
        </w:rPr>
        <w:t></w:t>
      </w:r>
      <w:r w:rsidRPr="0074663D">
        <w:rPr>
          <w:lang w:val="fr-CA"/>
        </w:rPr>
        <w:t>] % du montant autorisé du/de la/des [facilité correspondante dans la lettre relative aux facilités] </w:t>
      </w:r>
      <w:r w:rsidR="00F827C2" w:rsidRPr="0074663D">
        <w:rPr>
          <w:lang w:val="fr-CA"/>
        </w:rPr>
        <w:t>;</w:t>
      </w:r>
    </w:p>
    <w:p w14:paraId="4299A129" w14:textId="5CC064D7" w:rsidR="00F827C2" w:rsidRPr="00B63BD5" w:rsidRDefault="00F827C2" w:rsidP="000B7739">
      <w:pPr>
        <w:pStyle w:val="04LOLglNew3"/>
        <w:rPr>
          <w:lang w:val="fr-CA"/>
        </w:rPr>
      </w:pPr>
      <w:r w:rsidRPr="00B63BD5">
        <w:rPr>
          <w:lang w:val="fr-CA"/>
        </w:rPr>
        <w:t>une cession de garanties de cautionnements bancaires d</w:t>
      </w:r>
      <w:r w:rsidR="00564B0C" w:rsidRPr="00B63BD5">
        <w:rPr>
          <w:lang w:val="fr-CA"/>
        </w:rPr>
        <w:t>’</w:t>
      </w:r>
      <w:r w:rsidRPr="00B63BD5">
        <w:rPr>
          <w:lang w:val="fr-CA"/>
        </w:rPr>
        <w:t>Exportation et développement Canada;</w:t>
      </w:r>
    </w:p>
    <w:p w14:paraId="1AC866D5" w14:textId="0E15D18C" w:rsidR="00BE3F5C" w:rsidRPr="00B63BD5" w:rsidRDefault="006E7175" w:rsidP="000B7739">
      <w:pPr>
        <w:pStyle w:val="04LOLglNew3"/>
        <w:rPr>
          <w:lang w:val="fr-CA"/>
        </w:rPr>
      </w:pPr>
      <w:r w:rsidRPr="00B63BD5">
        <w:rPr>
          <w:lang w:val="fr-CA"/>
        </w:rPr>
        <w:lastRenderedPageBreak/>
        <w:t xml:space="preserve">une </w:t>
      </w:r>
      <w:r w:rsidR="006C05E4" w:rsidRPr="00B63BD5">
        <w:rPr>
          <w:lang w:val="fr-CA"/>
        </w:rPr>
        <w:t>cession</w:t>
      </w:r>
      <w:r w:rsidR="007B4CC7" w:rsidRPr="00B63BD5">
        <w:rPr>
          <w:lang w:val="fr-CA"/>
        </w:rPr>
        <w:t xml:space="preserve"> ou hypothèque</w:t>
      </w:r>
      <w:r w:rsidR="006C05E4" w:rsidRPr="00B63BD5">
        <w:rPr>
          <w:lang w:val="fr-CA"/>
        </w:rPr>
        <w:t xml:space="preserve"> de </w:t>
      </w:r>
      <w:r w:rsidR="007B4CC7" w:rsidRPr="00B63BD5">
        <w:rPr>
          <w:lang w:val="fr-CA"/>
        </w:rPr>
        <w:t>la police d</w:t>
      </w:r>
      <w:r w:rsidR="00564B0C" w:rsidRPr="00B63BD5">
        <w:rPr>
          <w:lang w:val="fr-CA"/>
        </w:rPr>
        <w:t>’</w:t>
      </w:r>
      <w:r w:rsidR="007B4CC7" w:rsidRPr="00B63BD5">
        <w:rPr>
          <w:lang w:val="fr-CA"/>
        </w:rPr>
        <w:t>assurance vie</w:t>
      </w:r>
      <w:r w:rsidR="000F11F9" w:rsidRPr="00B63BD5">
        <w:rPr>
          <w:lang w:val="fr-CA"/>
        </w:rPr>
        <w:t xml:space="preserve"> </w:t>
      </w:r>
      <w:r w:rsidR="006C05E4" w:rsidRPr="00B63BD5">
        <w:rPr>
          <w:lang w:val="fr-CA"/>
        </w:rPr>
        <w:t>de ● et d</w:t>
      </w:r>
      <w:r w:rsidR="00DD40C7" w:rsidRPr="00B63BD5">
        <w:rPr>
          <w:lang w:val="fr-CA"/>
        </w:rPr>
        <w:t xml:space="preserve">e ● </w:t>
      </w:r>
      <w:r w:rsidR="006C05E4" w:rsidRPr="00B63BD5">
        <w:rPr>
          <w:lang w:val="fr-CA"/>
        </w:rPr>
        <w:t>d</w:t>
      </w:r>
      <w:r w:rsidR="00564B0C" w:rsidRPr="00B63BD5">
        <w:rPr>
          <w:lang w:val="fr-CA"/>
        </w:rPr>
        <w:t>’</w:t>
      </w:r>
      <w:r w:rsidR="006C05E4" w:rsidRPr="00B63BD5">
        <w:rPr>
          <w:lang w:val="fr-CA"/>
        </w:rPr>
        <w:t>un montant de</w:t>
      </w:r>
      <w:r w:rsidR="007F3BF2" w:rsidRPr="00B63BD5">
        <w:rPr>
          <w:lang w:val="fr-CA"/>
        </w:rPr>
        <w:t> </w:t>
      </w:r>
      <w:r w:rsidR="00F00C60" w:rsidRPr="00B63BD5">
        <w:rPr>
          <w:lang w:val="fr-CA"/>
        </w:rPr>
        <w:t>●</w:t>
      </w:r>
      <w:r w:rsidR="007F3BF2" w:rsidRPr="00B63BD5">
        <w:rPr>
          <w:lang w:val="fr-CA"/>
        </w:rPr>
        <w:t> </w:t>
      </w:r>
      <w:r w:rsidR="00F00C60" w:rsidRPr="00B63BD5">
        <w:rPr>
          <w:lang w:val="fr-CA"/>
        </w:rPr>
        <w:t>$</w:t>
      </w:r>
      <w:r w:rsidR="007F3BF2" w:rsidRPr="00B63BD5">
        <w:rPr>
          <w:lang w:val="fr-CA"/>
        </w:rPr>
        <w:t> </w:t>
      </w:r>
      <w:r w:rsidR="00F00C60" w:rsidRPr="00B63BD5">
        <w:rPr>
          <w:lang w:val="fr-CA"/>
        </w:rPr>
        <w:t>CA</w:t>
      </w:r>
      <w:r w:rsidR="00AE0917" w:rsidRPr="00B63BD5">
        <w:rPr>
          <w:lang w:val="fr-CA"/>
        </w:rPr>
        <w:t>,</w:t>
      </w:r>
      <w:r w:rsidR="007F3BF2" w:rsidRPr="00B63BD5">
        <w:rPr>
          <w:lang w:val="fr-CA"/>
        </w:rPr>
        <w:t> </w:t>
      </w:r>
      <w:r w:rsidR="00AE0917" w:rsidRPr="00B63BD5">
        <w:rPr>
          <w:lang w:val="fr-CA"/>
        </w:rPr>
        <w:t>accompagnée d</w:t>
      </w:r>
      <w:r w:rsidR="00564B0C" w:rsidRPr="00B63BD5">
        <w:rPr>
          <w:lang w:val="fr-CA"/>
        </w:rPr>
        <w:t>’</w:t>
      </w:r>
      <w:r w:rsidR="00400C48" w:rsidRPr="00B63BD5">
        <w:rPr>
          <w:lang w:val="fr-CA"/>
        </w:rPr>
        <w:t>une</w:t>
      </w:r>
      <w:r w:rsidR="006C05E4" w:rsidRPr="00B63BD5">
        <w:rPr>
          <w:lang w:val="fr-CA"/>
        </w:rPr>
        <w:t xml:space="preserve"> </w:t>
      </w:r>
      <w:r w:rsidR="00DB46BE" w:rsidRPr="00B63BD5">
        <w:rPr>
          <w:lang w:val="fr-CA"/>
        </w:rPr>
        <w:t>reconnaissance</w:t>
      </w:r>
      <w:r w:rsidRPr="00B63BD5">
        <w:rPr>
          <w:lang w:val="fr-CA"/>
        </w:rPr>
        <w:t xml:space="preserve"> </w:t>
      </w:r>
      <w:r w:rsidR="007B4CC7" w:rsidRPr="00B63BD5">
        <w:rPr>
          <w:lang w:val="fr-CA"/>
        </w:rPr>
        <w:t xml:space="preserve">de ladite cession </w:t>
      </w:r>
      <w:r w:rsidR="006C05E4" w:rsidRPr="00B63BD5">
        <w:rPr>
          <w:lang w:val="fr-CA"/>
        </w:rPr>
        <w:t>de l</w:t>
      </w:r>
      <w:r w:rsidR="00564B0C" w:rsidRPr="00B63BD5">
        <w:rPr>
          <w:lang w:val="fr-CA"/>
        </w:rPr>
        <w:t>’</w:t>
      </w:r>
      <w:r w:rsidR="006C05E4" w:rsidRPr="00B63BD5">
        <w:rPr>
          <w:lang w:val="fr-CA"/>
        </w:rPr>
        <w:t xml:space="preserve">assureur </w:t>
      </w:r>
      <w:r w:rsidR="00AE0917" w:rsidRPr="00B63BD5">
        <w:rPr>
          <w:lang w:val="fr-CA"/>
        </w:rPr>
        <w:t>ou</w:t>
      </w:r>
      <w:r w:rsidR="007F3BF2" w:rsidRPr="00B63BD5">
        <w:rPr>
          <w:lang w:val="fr-CA"/>
        </w:rPr>
        <w:t> </w:t>
      </w:r>
      <w:r w:rsidR="007B4CC7" w:rsidRPr="00B63BD5">
        <w:rPr>
          <w:lang w:val="fr-CA"/>
        </w:rPr>
        <w:t>de</w:t>
      </w:r>
      <w:r w:rsidR="007F3BF2" w:rsidRPr="00B63BD5">
        <w:rPr>
          <w:lang w:val="fr-CA"/>
        </w:rPr>
        <w:t> </w:t>
      </w:r>
      <w:r w:rsidR="007B4CC7" w:rsidRPr="00B63BD5">
        <w:rPr>
          <w:lang w:val="fr-CA"/>
        </w:rPr>
        <w:t>son</w:t>
      </w:r>
      <w:r w:rsidR="007F3BF2" w:rsidRPr="00B63BD5">
        <w:rPr>
          <w:lang w:val="fr-CA"/>
        </w:rPr>
        <w:t> </w:t>
      </w:r>
      <w:r w:rsidR="00AE0917" w:rsidRPr="00B63BD5">
        <w:rPr>
          <w:lang w:val="fr-CA"/>
        </w:rPr>
        <w:t>représentant</w:t>
      </w:r>
      <w:r w:rsidR="00363F9D" w:rsidRPr="00B63BD5">
        <w:rPr>
          <w:lang w:val="fr-CA"/>
        </w:rPr>
        <w:t> </w:t>
      </w:r>
      <w:r w:rsidR="00AE0917" w:rsidRPr="00B63BD5">
        <w:rPr>
          <w:lang w:val="fr-CA"/>
        </w:rPr>
        <w:t>autorisé</w:t>
      </w:r>
      <w:r w:rsidR="008F254A" w:rsidRPr="00B63BD5">
        <w:rPr>
          <w:lang w:val="fr-CA"/>
        </w:rPr>
        <w:t>;</w:t>
      </w:r>
    </w:p>
    <w:p w14:paraId="151DB10E" w14:textId="522E48EA" w:rsidR="00BE3F5C" w:rsidRPr="00B63BD5" w:rsidRDefault="006E7175" w:rsidP="000B7739">
      <w:pPr>
        <w:pStyle w:val="04LOLglNew3"/>
        <w:rPr>
          <w:lang w:val="fr-CA"/>
        </w:rPr>
      </w:pPr>
      <w:r w:rsidRPr="00B63BD5">
        <w:rPr>
          <w:lang w:val="fr-CA"/>
        </w:rPr>
        <w:t xml:space="preserve">une </w:t>
      </w:r>
      <w:r w:rsidR="006C05E4" w:rsidRPr="00B63BD5">
        <w:rPr>
          <w:lang w:val="fr-CA"/>
        </w:rPr>
        <w:t>cession de l</w:t>
      </w:r>
      <w:r w:rsidR="00564B0C" w:rsidRPr="00B63BD5">
        <w:rPr>
          <w:lang w:val="fr-CA"/>
        </w:rPr>
        <w:t>’</w:t>
      </w:r>
      <w:r w:rsidR="006C05E4" w:rsidRPr="00B63BD5">
        <w:rPr>
          <w:lang w:val="fr-CA"/>
        </w:rPr>
        <w:t xml:space="preserve">assurance </w:t>
      </w:r>
      <w:r w:rsidR="00E800CB" w:rsidRPr="00B63BD5">
        <w:rPr>
          <w:lang w:val="fr-CA"/>
        </w:rPr>
        <w:t xml:space="preserve">maritime </w:t>
      </w:r>
      <w:r w:rsidR="006C05E4" w:rsidRPr="00B63BD5">
        <w:rPr>
          <w:lang w:val="fr-CA"/>
        </w:rPr>
        <w:t xml:space="preserve">tous </w:t>
      </w:r>
      <w:r w:rsidR="00400C48" w:rsidRPr="00B63BD5">
        <w:rPr>
          <w:lang w:val="fr-CA"/>
        </w:rPr>
        <w:t>risques</w:t>
      </w:r>
      <w:r w:rsidR="00BE3F5C" w:rsidRPr="00B63BD5">
        <w:rPr>
          <w:lang w:val="fr-CA"/>
        </w:rPr>
        <w:t>;</w:t>
      </w:r>
    </w:p>
    <w:p w14:paraId="2F1E17FD" w14:textId="28A5F028" w:rsidR="00B94E6D" w:rsidRPr="00B63BD5" w:rsidRDefault="001121F0" w:rsidP="000B7739">
      <w:pPr>
        <w:pStyle w:val="04LOLglNew3"/>
        <w:rPr>
          <w:rStyle w:val="Prompt"/>
          <w:color w:val="auto"/>
          <w:lang w:val="fr-CA"/>
        </w:rPr>
      </w:pPr>
      <w:r w:rsidRPr="00B63BD5">
        <w:rPr>
          <w:rStyle w:val="Prompt"/>
          <w:color w:val="auto"/>
          <w:lang w:val="fr-CA"/>
        </w:rPr>
        <w:t>les document</w:t>
      </w:r>
      <w:r w:rsidR="00A453A8" w:rsidRPr="00B63BD5">
        <w:rPr>
          <w:rStyle w:val="Prompt"/>
          <w:color w:val="auto"/>
          <w:lang w:val="fr-CA"/>
        </w:rPr>
        <w:t>s relatifs à l</w:t>
      </w:r>
      <w:r w:rsidR="00564B0C" w:rsidRPr="00B63BD5">
        <w:rPr>
          <w:rStyle w:val="Prompt"/>
          <w:color w:val="auto"/>
          <w:lang w:val="fr-CA"/>
        </w:rPr>
        <w:t>’</w:t>
      </w:r>
      <w:r w:rsidR="00A453A8" w:rsidRPr="00B63BD5">
        <w:rPr>
          <w:rStyle w:val="Prompt"/>
          <w:color w:val="auto"/>
          <w:lang w:val="fr-CA"/>
        </w:rPr>
        <w:t>assurance fournie</w:t>
      </w:r>
      <w:r w:rsidRPr="00B63BD5">
        <w:rPr>
          <w:rStyle w:val="Prompt"/>
          <w:color w:val="auto"/>
          <w:lang w:val="fr-CA"/>
        </w:rPr>
        <w:t xml:space="preserve"> par </w:t>
      </w:r>
      <w:r w:rsidRPr="00B63BD5">
        <w:rPr>
          <w:lang w:val="fr-CA"/>
        </w:rPr>
        <w:t>●, conformément aux exigences de la Banque</w:t>
      </w:r>
      <w:r w:rsidR="00B94E6D" w:rsidRPr="00B63BD5">
        <w:rPr>
          <w:rStyle w:val="Prompt"/>
          <w:color w:val="auto"/>
          <w:lang w:val="fr-CA"/>
        </w:rPr>
        <w:t>;</w:t>
      </w:r>
    </w:p>
    <w:p w14:paraId="308B1DB4" w14:textId="0F4F4B09" w:rsidR="001121F0" w:rsidRPr="00B63BD5" w:rsidRDefault="001121F0" w:rsidP="00632863">
      <w:pPr>
        <w:spacing w:after="240"/>
        <w:jc w:val="both"/>
        <w:rPr>
          <w:b/>
          <w:color w:val="00B0F0"/>
          <w:lang w:val="fr-CA"/>
        </w:rPr>
      </w:pPr>
      <w:r w:rsidRPr="00B63BD5">
        <w:rPr>
          <w:b/>
          <w:color w:val="00B0F0"/>
          <w:lang w:val="fr-CA"/>
        </w:rPr>
        <w:t xml:space="preserve">[N.B. : Utiliser dans le cas de </w:t>
      </w:r>
      <w:r w:rsidR="00DA2F21" w:rsidRPr="00B63BD5">
        <w:rPr>
          <w:b/>
          <w:color w:val="00B0F0"/>
          <w:lang w:val="fr-CA"/>
        </w:rPr>
        <w:t xml:space="preserve">toutes les </w:t>
      </w:r>
      <w:r w:rsidR="00E860AD" w:rsidRPr="00B63BD5">
        <w:rPr>
          <w:b/>
          <w:color w:val="00B0F0"/>
          <w:lang w:val="fr-CA"/>
        </w:rPr>
        <w:t>facilités de Commerce international et financement des</w:t>
      </w:r>
      <w:r w:rsidR="007F3BF2" w:rsidRPr="00B63BD5">
        <w:rPr>
          <w:b/>
          <w:color w:val="00B0F0"/>
          <w:lang w:val="fr-CA"/>
        </w:rPr>
        <w:t> </w:t>
      </w:r>
      <w:r w:rsidR="00E860AD" w:rsidRPr="00B63BD5">
        <w:rPr>
          <w:b/>
          <w:color w:val="00B0F0"/>
          <w:lang w:val="fr-CA"/>
        </w:rPr>
        <w:t>comptes</w:t>
      </w:r>
      <w:r w:rsidR="00363F9D" w:rsidRPr="00B63BD5">
        <w:rPr>
          <w:b/>
          <w:color w:val="00B0F0"/>
          <w:lang w:val="fr-CA"/>
        </w:rPr>
        <w:t> </w:t>
      </w:r>
      <w:r w:rsidR="00E860AD" w:rsidRPr="00B63BD5">
        <w:rPr>
          <w:b/>
          <w:color w:val="00B0F0"/>
          <w:lang w:val="fr-CA"/>
        </w:rPr>
        <w:t>clients</w:t>
      </w:r>
      <w:r w:rsidRPr="00B63BD5">
        <w:rPr>
          <w:b/>
          <w:color w:val="00B0F0"/>
          <w:lang w:val="fr-CA"/>
        </w:rPr>
        <w:t>.]</w:t>
      </w:r>
    </w:p>
    <w:p w14:paraId="63FF3F3B" w14:textId="1BA68E1E" w:rsidR="009926E7" w:rsidRPr="00B63BD5" w:rsidRDefault="00F22DC0" w:rsidP="000B7739">
      <w:pPr>
        <w:pStyle w:val="04LOLglNew3"/>
        <w:rPr>
          <w:lang w:val="fr-CA"/>
        </w:rPr>
      </w:pPr>
      <w:r w:rsidRPr="00B63BD5">
        <w:rPr>
          <w:lang w:val="fr-CA"/>
        </w:rPr>
        <w:t>les documents standard</w:t>
      </w:r>
      <w:r w:rsidR="00B12969" w:rsidRPr="00B63BD5">
        <w:rPr>
          <w:lang w:val="fr-CA"/>
        </w:rPr>
        <w:t>s</w:t>
      </w:r>
      <w:r w:rsidRPr="00B63BD5">
        <w:rPr>
          <w:lang w:val="fr-CA"/>
        </w:rPr>
        <w:t xml:space="preserve"> de</w:t>
      </w:r>
      <w:r w:rsidR="00DD40C7" w:rsidRPr="00B63BD5">
        <w:rPr>
          <w:lang w:val="fr-CA"/>
        </w:rPr>
        <w:t xml:space="preserve"> </w:t>
      </w:r>
      <w:r w:rsidRPr="00B63BD5">
        <w:rPr>
          <w:lang w:val="fr-CA"/>
        </w:rPr>
        <w:t>la</w:t>
      </w:r>
      <w:r w:rsidR="00DD40C7" w:rsidRPr="00B63BD5">
        <w:rPr>
          <w:lang w:val="fr-CA"/>
        </w:rPr>
        <w:t xml:space="preserve"> </w:t>
      </w:r>
      <w:r w:rsidRPr="00B63BD5">
        <w:rPr>
          <w:lang w:val="fr-CA"/>
        </w:rPr>
        <w:t>B</w:t>
      </w:r>
      <w:r w:rsidR="00DD40C7" w:rsidRPr="00B63BD5">
        <w:rPr>
          <w:lang w:val="fr-CA"/>
        </w:rPr>
        <w:t xml:space="preserve">anque </w:t>
      </w:r>
      <w:r w:rsidR="00691C8C" w:rsidRPr="00B63BD5">
        <w:rPr>
          <w:lang w:val="fr-CA"/>
        </w:rPr>
        <w:t>dans le cadre de l</w:t>
      </w:r>
      <w:r w:rsidR="00564B0C" w:rsidRPr="00B63BD5">
        <w:rPr>
          <w:lang w:val="fr-CA"/>
        </w:rPr>
        <w:t>’</w:t>
      </w:r>
      <w:r w:rsidR="00691C8C" w:rsidRPr="00B63BD5">
        <w:rPr>
          <w:lang w:val="fr-CA"/>
        </w:rPr>
        <w:t xml:space="preserve">octroi de facilités de </w:t>
      </w:r>
      <w:r w:rsidRPr="00B63BD5">
        <w:rPr>
          <w:lang w:val="fr-CA"/>
        </w:rPr>
        <w:t xml:space="preserve">financement </w:t>
      </w:r>
      <w:r w:rsidR="007539F0" w:rsidRPr="00B63BD5">
        <w:rPr>
          <w:lang w:val="fr-CA"/>
        </w:rPr>
        <w:t>des</w:t>
      </w:r>
      <w:r w:rsidR="007F3BF2" w:rsidRPr="00B63BD5">
        <w:rPr>
          <w:lang w:val="fr-CA"/>
        </w:rPr>
        <w:t> </w:t>
      </w:r>
      <w:r w:rsidR="007539F0" w:rsidRPr="00B63BD5">
        <w:rPr>
          <w:lang w:val="fr-CA"/>
        </w:rPr>
        <w:t>opérations de commerce international</w:t>
      </w:r>
      <w:r w:rsidR="00691C8C" w:rsidRPr="00B63BD5">
        <w:rPr>
          <w:lang w:val="fr-CA"/>
        </w:rPr>
        <w:t xml:space="preserve"> </w:t>
      </w:r>
      <w:r w:rsidR="001121F0" w:rsidRPr="00B63BD5">
        <w:rPr>
          <w:lang w:val="fr-CA"/>
        </w:rPr>
        <w:t>et de l</w:t>
      </w:r>
      <w:r w:rsidR="00564B0C" w:rsidRPr="00B63BD5">
        <w:rPr>
          <w:lang w:val="fr-CA"/>
        </w:rPr>
        <w:t>’</w:t>
      </w:r>
      <w:r w:rsidR="001121F0" w:rsidRPr="00B63BD5">
        <w:rPr>
          <w:lang w:val="fr-CA"/>
        </w:rPr>
        <w:t xml:space="preserve">émission de Crédits documentaires, </w:t>
      </w:r>
      <w:r w:rsidRPr="00B63BD5">
        <w:rPr>
          <w:lang w:val="fr-CA"/>
        </w:rPr>
        <w:t xml:space="preserve">de </w:t>
      </w:r>
      <w:r w:rsidR="00DB0E79" w:rsidRPr="00B63BD5">
        <w:rPr>
          <w:lang w:val="fr-CA"/>
        </w:rPr>
        <w:t>L</w:t>
      </w:r>
      <w:r w:rsidRPr="00B63BD5">
        <w:rPr>
          <w:lang w:val="fr-CA"/>
        </w:rPr>
        <w:t>ett</w:t>
      </w:r>
      <w:r w:rsidR="00DD40C7" w:rsidRPr="00B63BD5">
        <w:rPr>
          <w:lang w:val="fr-CA"/>
        </w:rPr>
        <w:t>r</w:t>
      </w:r>
      <w:r w:rsidRPr="00B63BD5">
        <w:rPr>
          <w:lang w:val="fr-CA"/>
        </w:rPr>
        <w:t>es</w:t>
      </w:r>
      <w:r w:rsidR="00363F9D" w:rsidRPr="00B63BD5">
        <w:rPr>
          <w:lang w:val="fr-CA"/>
        </w:rPr>
        <w:t> </w:t>
      </w:r>
      <w:r w:rsidRPr="00B63BD5">
        <w:rPr>
          <w:lang w:val="fr-CA"/>
        </w:rPr>
        <w:t>de garantie</w:t>
      </w:r>
      <w:r w:rsidR="001121F0" w:rsidRPr="00B63BD5">
        <w:rPr>
          <w:lang w:val="fr-CA"/>
        </w:rPr>
        <w:t xml:space="preserve"> ou d</w:t>
      </w:r>
      <w:r w:rsidR="00564B0C" w:rsidRPr="00B63BD5">
        <w:rPr>
          <w:lang w:val="fr-CA"/>
        </w:rPr>
        <w:t>’</w:t>
      </w:r>
      <w:r w:rsidR="001121F0" w:rsidRPr="00B63BD5">
        <w:rPr>
          <w:lang w:val="fr-CA"/>
        </w:rPr>
        <w:t>autres</w:t>
      </w:r>
      <w:r w:rsidR="00A453A8" w:rsidRPr="00B63BD5">
        <w:rPr>
          <w:lang w:val="fr-CA"/>
        </w:rPr>
        <w:t xml:space="preserve"> instrument</w:t>
      </w:r>
      <w:r w:rsidR="00904F3F" w:rsidRPr="00B63BD5">
        <w:rPr>
          <w:lang w:val="fr-CA"/>
        </w:rPr>
        <w:t>s</w:t>
      </w:r>
      <w:r w:rsidR="00A453A8" w:rsidRPr="00B63BD5">
        <w:rPr>
          <w:lang w:val="fr-CA"/>
        </w:rPr>
        <w:t xml:space="preserve"> de financement</w:t>
      </w:r>
      <w:r w:rsidRPr="00B63BD5">
        <w:rPr>
          <w:lang w:val="fr-CA"/>
        </w:rPr>
        <w:t>;</w:t>
      </w:r>
    </w:p>
    <w:p w14:paraId="5229A727" w14:textId="409EEBC0" w:rsidR="009926E7" w:rsidRPr="00B63BD5" w:rsidRDefault="00DF4352" w:rsidP="000B7739">
      <w:pPr>
        <w:pStyle w:val="04LOLglNew3"/>
        <w:rPr>
          <w:lang w:val="fr-CA"/>
        </w:rPr>
      </w:pPr>
      <w:r w:rsidRPr="00B63BD5">
        <w:rPr>
          <w:lang w:val="fr-CA"/>
        </w:rPr>
        <w:t xml:space="preserve">un engagement </w:t>
      </w:r>
      <w:r w:rsidR="00F22DC0" w:rsidRPr="00B63BD5">
        <w:rPr>
          <w:lang w:val="fr-CA"/>
        </w:rPr>
        <w:t>relati</w:t>
      </w:r>
      <w:r w:rsidRPr="00B63BD5">
        <w:rPr>
          <w:lang w:val="fr-CA"/>
        </w:rPr>
        <w:t>f</w:t>
      </w:r>
      <w:r w:rsidR="00F22DC0" w:rsidRPr="00B63BD5">
        <w:rPr>
          <w:lang w:val="fr-CA"/>
        </w:rPr>
        <w:t xml:space="preserve"> aux contrats de change;</w:t>
      </w:r>
    </w:p>
    <w:p w14:paraId="22FE7283" w14:textId="3282DC1C" w:rsidR="009926E7" w:rsidRPr="00B63BD5" w:rsidRDefault="00F22DC0" w:rsidP="000B7739">
      <w:pPr>
        <w:pStyle w:val="04LOLglNew3"/>
        <w:rPr>
          <w:lang w:val="fr-CA"/>
        </w:rPr>
      </w:pPr>
      <w:r w:rsidRPr="00B63BD5">
        <w:rPr>
          <w:lang w:val="fr-CA"/>
        </w:rPr>
        <w:t>une convention relative au service de la dette ou, s</w:t>
      </w:r>
      <w:r w:rsidR="00DB0E79" w:rsidRPr="00B63BD5">
        <w:rPr>
          <w:lang w:val="fr-CA"/>
        </w:rPr>
        <w:t>elon le cas</w:t>
      </w:r>
      <w:r w:rsidRPr="00B63BD5">
        <w:rPr>
          <w:lang w:val="fr-CA"/>
        </w:rPr>
        <w:t>, une convention relative au service de la dette (</w:t>
      </w:r>
      <w:r w:rsidR="00052CB0" w:rsidRPr="00B63BD5">
        <w:rPr>
          <w:lang w:val="fr-CA"/>
        </w:rPr>
        <w:t xml:space="preserve">selon la </w:t>
      </w:r>
      <w:r w:rsidRPr="00B63BD5">
        <w:rPr>
          <w:lang w:val="fr-CA"/>
        </w:rPr>
        <w:t>responsabilité proportionnelle</w:t>
      </w:r>
      <w:r w:rsidR="00AD2ABF" w:rsidRPr="00B63BD5">
        <w:rPr>
          <w:lang w:val="fr-CA"/>
        </w:rPr>
        <w:t>)</w:t>
      </w:r>
      <w:r w:rsidRPr="00B63BD5">
        <w:rPr>
          <w:lang w:val="fr-CA"/>
        </w:rPr>
        <w:t xml:space="preserve"> de </w:t>
      </w:r>
      <w:r w:rsidR="00F00C60" w:rsidRPr="00B63BD5">
        <w:rPr>
          <w:lang w:val="fr-CA"/>
        </w:rPr>
        <w:t>●</w:t>
      </w:r>
      <w:r w:rsidR="00052CB0" w:rsidRPr="00B63BD5">
        <w:rPr>
          <w:lang w:val="fr-CA"/>
        </w:rPr>
        <w:t>,</w:t>
      </w:r>
      <w:r w:rsidR="00F00C60" w:rsidRPr="00B63BD5">
        <w:rPr>
          <w:lang w:val="fr-CA"/>
        </w:rPr>
        <w:t xml:space="preserve"> </w:t>
      </w:r>
      <w:r w:rsidR="00F00C60" w:rsidRPr="00B63BD5">
        <w:rPr>
          <w:rStyle w:val="Prompt"/>
          <w:color w:val="auto"/>
          <w:lang w:val="fr-CA"/>
        </w:rPr>
        <w:t xml:space="preserve">● </w:t>
      </w:r>
      <w:r w:rsidR="00DD40C7" w:rsidRPr="00B63BD5">
        <w:rPr>
          <w:rStyle w:val="Prompt"/>
          <w:color w:val="auto"/>
          <w:lang w:val="fr-CA"/>
        </w:rPr>
        <w:t xml:space="preserve">et </w:t>
      </w:r>
      <w:r w:rsidR="00F00C60" w:rsidRPr="00B63BD5">
        <w:rPr>
          <w:rStyle w:val="Prompt"/>
          <w:color w:val="auto"/>
          <w:lang w:val="fr-CA"/>
        </w:rPr>
        <w:t>●</w:t>
      </w:r>
      <w:r w:rsidR="009926E7" w:rsidRPr="00B63BD5">
        <w:rPr>
          <w:lang w:val="fr-CA"/>
        </w:rPr>
        <w:t>;</w:t>
      </w:r>
    </w:p>
    <w:p w14:paraId="167BE249" w14:textId="79F49784" w:rsidR="00C7542C" w:rsidRPr="00B63BD5" w:rsidRDefault="00F22DC0" w:rsidP="000B7739">
      <w:pPr>
        <w:pStyle w:val="04LOLglNew3"/>
        <w:rPr>
          <w:lang w:val="fr-CA"/>
        </w:rPr>
      </w:pPr>
      <w:r w:rsidRPr="00B63BD5">
        <w:rPr>
          <w:lang w:val="fr-CA"/>
        </w:rPr>
        <w:t>une</w:t>
      </w:r>
      <w:r w:rsidR="000835CC" w:rsidRPr="00B63BD5">
        <w:rPr>
          <w:lang w:val="fr-CA"/>
        </w:rPr>
        <w:t xml:space="preserve"> convention de </w:t>
      </w:r>
      <w:r w:rsidRPr="00B63BD5">
        <w:rPr>
          <w:lang w:val="fr-CA"/>
        </w:rPr>
        <w:t xml:space="preserve">subordination </w:t>
      </w:r>
      <w:r w:rsidR="00513A98" w:rsidRPr="00B63BD5">
        <w:rPr>
          <w:lang w:val="fr-CA"/>
        </w:rPr>
        <w:t xml:space="preserve">consentie </w:t>
      </w:r>
      <w:r w:rsidRPr="00B63BD5">
        <w:rPr>
          <w:lang w:val="fr-CA"/>
        </w:rPr>
        <w:t xml:space="preserve">par </w:t>
      </w:r>
      <w:r w:rsidR="00F00C60" w:rsidRPr="00B63BD5">
        <w:rPr>
          <w:lang w:val="fr-CA"/>
        </w:rPr>
        <w:t>●</w:t>
      </w:r>
      <w:r w:rsidR="009926E7" w:rsidRPr="00B63BD5">
        <w:rPr>
          <w:lang w:val="fr-CA"/>
        </w:rPr>
        <w:t xml:space="preserve"> </w:t>
      </w:r>
      <w:r w:rsidRPr="00B63BD5">
        <w:rPr>
          <w:lang w:val="fr-CA"/>
        </w:rPr>
        <w:t>en faveur de la Banque à l</w:t>
      </w:r>
      <w:r w:rsidR="00564B0C" w:rsidRPr="00B63BD5">
        <w:rPr>
          <w:lang w:val="fr-CA"/>
        </w:rPr>
        <w:t>’</w:t>
      </w:r>
      <w:r w:rsidRPr="00B63BD5">
        <w:rPr>
          <w:lang w:val="fr-CA"/>
        </w:rPr>
        <w:t>égard de toutes les</w:t>
      </w:r>
      <w:r w:rsidR="00812768" w:rsidRPr="00B63BD5">
        <w:rPr>
          <w:lang w:val="fr-CA"/>
        </w:rPr>
        <w:t xml:space="preserve"> </w:t>
      </w:r>
      <w:r w:rsidRPr="00B63BD5">
        <w:rPr>
          <w:lang w:val="fr-CA"/>
        </w:rPr>
        <w:t xml:space="preserve">sommes que </w:t>
      </w:r>
      <w:r w:rsidR="00F827C2" w:rsidRPr="00B63BD5">
        <w:rPr>
          <w:lang w:val="fr-CA"/>
        </w:rPr>
        <w:t>[</w:t>
      </w:r>
      <w:r w:rsidRPr="00B63BD5">
        <w:rPr>
          <w:lang w:val="fr-CA"/>
        </w:rPr>
        <w:t>l</w:t>
      </w:r>
      <w:r w:rsidR="00564B0C" w:rsidRPr="00B63BD5">
        <w:rPr>
          <w:lang w:val="fr-CA"/>
        </w:rPr>
        <w:t>’</w:t>
      </w:r>
      <w:r w:rsidRPr="00B63BD5">
        <w:rPr>
          <w:lang w:val="fr-CA"/>
        </w:rPr>
        <w:t>E</w:t>
      </w:r>
      <w:r w:rsidR="00DD40C7" w:rsidRPr="00B63BD5">
        <w:rPr>
          <w:lang w:val="fr-CA"/>
        </w:rPr>
        <w:t>mprunteur</w:t>
      </w:r>
      <w:r w:rsidR="00F827C2" w:rsidRPr="00B63BD5">
        <w:rPr>
          <w:lang w:val="fr-CA"/>
        </w:rPr>
        <w:t xml:space="preserve"> lui doit ou </w:t>
      </w:r>
      <w:r w:rsidR="006C28F9" w:rsidRPr="00B63BD5">
        <w:rPr>
          <w:lang w:val="fr-CA"/>
        </w:rPr>
        <w:t xml:space="preserve">lui </w:t>
      </w:r>
      <w:r w:rsidR="00F827C2" w:rsidRPr="00B63BD5">
        <w:rPr>
          <w:lang w:val="fr-CA"/>
        </w:rPr>
        <w:t>devra</w:t>
      </w:r>
      <w:r w:rsidR="00B67E21" w:rsidRPr="00B63BD5">
        <w:rPr>
          <w:lang w:val="fr-CA"/>
        </w:rPr>
        <w:t xml:space="preserve"> </w:t>
      </w:r>
      <w:r w:rsidR="001934B0" w:rsidRPr="00B63BD5">
        <w:rPr>
          <w:b/>
          <w:color w:val="00B0F0"/>
          <w:highlight w:val="yellow"/>
          <w:lang w:val="fr-CA"/>
        </w:rPr>
        <w:t>OU</w:t>
      </w:r>
      <w:r w:rsidR="00B67E21" w:rsidRPr="00B63BD5">
        <w:rPr>
          <w:lang w:val="fr-CA"/>
        </w:rPr>
        <w:t xml:space="preserve"> </w:t>
      </w:r>
      <w:r w:rsidR="00F827C2" w:rsidRPr="00B63BD5">
        <w:rPr>
          <w:lang w:val="fr-CA"/>
        </w:rPr>
        <w:t xml:space="preserve">les Emprunteurs lui doivent ou </w:t>
      </w:r>
      <w:r w:rsidR="006C28F9" w:rsidRPr="00B63BD5">
        <w:rPr>
          <w:lang w:val="fr-CA"/>
        </w:rPr>
        <w:t xml:space="preserve">lui </w:t>
      </w:r>
      <w:r w:rsidR="00F827C2" w:rsidRPr="00B63BD5">
        <w:rPr>
          <w:lang w:val="fr-CA"/>
        </w:rPr>
        <w:t>devront] à</w:t>
      </w:r>
      <w:r w:rsidR="007F3BF2" w:rsidRPr="00B63BD5">
        <w:rPr>
          <w:lang w:val="fr-CA"/>
        </w:rPr>
        <w:t> </w:t>
      </w:r>
      <w:r w:rsidRPr="00B63BD5">
        <w:rPr>
          <w:lang w:val="fr-CA"/>
        </w:rPr>
        <w:t>l</w:t>
      </w:r>
      <w:r w:rsidR="00564B0C" w:rsidRPr="00B63BD5">
        <w:rPr>
          <w:lang w:val="fr-CA"/>
        </w:rPr>
        <w:t>’</w:t>
      </w:r>
      <w:r w:rsidRPr="00B63BD5">
        <w:rPr>
          <w:lang w:val="fr-CA"/>
        </w:rPr>
        <w:t>avenir</w:t>
      </w:r>
      <w:r w:rsidR="009926E7" w:rsidRPr="00B63BD5">
        <w:rPr>
          <w:lang w:val="fr-CA"/>
        </w:rPr>
        <w:t>;</w:t>
      </w:r>
    </w:p>
    <w:p w14:paraId="2CC9F00F" w14:textId="77777777" w:rsidR="00AC4C53" w:rsidRDefault="00AC4C53" w:rsidP="00632863">
      <w:pPr>
        <w:keepNext/>
        <w:spacing w:after="240"/>
        <w:jc w:val="both"/>
        <w:rPr>
          <w:b/>
          <w:color w:val="00B0F0"/>
          <w:lang w:val="fr-CA"/>
        </w:rPr>
      </w:pPr>
      <w:r w:rsidRPr="00B63BD5">
        <w:rPr>
          <w:b/>
          <w:color w:val="00B0F0"/>
          <w:lang w:val="fr-CA"/>
        </w:rPr>
        <w:t xml:space="preserve">[N.B. : </w:t>
      </w:r>
      <w:r w:rsidRPr="00AC4C53">
        <w:rPr>
          <w:b/>
          <w:color w:val="00B0F0"/>
          <w:lang w:val="fr-CA"/>
        </w:rPr>
        <w:t xml:space="preserve">À utiliser dans l’éventualité où les actions rachetables au gré du porteur ou obligatoirement rachetables doivent être reportées.] </w:t>
      </w:r>
    </w:p>
    <w:p w14:paraId="2E1A2586" w14:textId="779FADA6" w:rsidR="000B7739" w:rsidRDefault="000B7739" w:rsidP="000B7739">
      <w:pPr>
        <w:pStyle w:val="04LOLglNew3"/>
        <w:rPr>
          <w:lang w:val="fr-CA"/>
        </w:rPr>
      </w:pPr>
      <w:r w:rsidRPr="00C37CCE">
        <w:rPr>
          <w:lang w:val="fr-CA"/>
        </w:rPr>
        <w:t xml:space="preserve">une cession et une subordination par  (l’« Actionnaire ») en faveur de la Banque de toutes les </w:t>
      </w:r>
      <w:r w:rsidR="006A1009">
        <w:rPr>
          <w:lang w:val="fr-CA"/>
        </w:rPr>
        <w:t>créances</w:t>
      </w:r>
      <w:r w:rsidRPr="00C37CCE">
        <w:rPr>
          <w:lang w:val="fr-CA"/>
        </w:rPr>
        <w:t xml:space="preserve">, réclamations et comptes dus à l’Actionnaire, y compris </w:t>
      </w:r>
      <w:r w:rsidR="006A1009">
        <w:rPr>
          <w:lang w:val="fr-CA"/>
        </w:rPr>
        <w:t>du</w:t>
      </w:r>
      <w:r w:rsidRPr="00C37CCE">
        <w:rPr>
          <w:lang w:val="fr-CA"/>
        </w:rPr>
        <w:t xml:space="preserve"> droit de l’Actionnaire de demander le rachat de toute action détenue présentement ou à l’avenir par l’Actionnaire dans le capital-actions de l’Emprunteur</w:t>
      </w:r>
      <w:r>
        <w:rPr>
          <w:lang w:val="fr-CA"/>
        </w:rPr>
        <w:t>;</w:t>
      </w:r>
    </w:p>
    <w:p w14:paraId="64FB2CC0" w14:textId="408E9C52" w:rsidR="000B7739" w:rsidRPr="00B63BD5" w:rsidDel="0037395A" w:rsidRDefault="000B7739" w:rsidP="000B7739">
      <w:pPr>
        <w:keepNext/>
        <w:spacing w:after="240"/>
        <w:jc w:val="both"/>
        <w:rPr>
          <w:b/>
          <w:color w:val="00B0F0"/>
          <w:lang w:val="fr-CA"/>
        </w:rPr>
      </w:pPr>
      <w:r>
        <w:rPr>
          <w:lang w:val="fr-CA"/>
        </w:rPr>
        <w:br/>
      </w:r>
      <w:r w:rsidRPr="00B63BD5" w:rsidDel="0037395A">
        <w:rPr>
          <w:b/>
          <w:color w:val="00B0F0"/>
          <w:lang w:val="fr-CA"/>
        </w:rPr>
        <w:t>[N.B. : Supprimer le texte entre crochets dans l’alinéa u), sauf si la convention prévoit un plafond.]</w:t>
      </w:r>
    </w:p>
    <w:p w14:paraId="310286D6" w14:textId="49A2131C" w:rsidR="009926E7" w:rsidRPr="00B63BD5" w:rsidRDefault="00BD6C55" w:rsidP="000B7739">
      <w:pPr>
        <w:pStyle w:val="04LOLglNew3"/>
        <w:rPr>
          <w:lang w:val="fr-CA"/>
        </w:rPr>
      </w:pPr>
      <w:r w:rsidRPr="00B63BD5">
        <w:rPr>
          <w:lang w:val="fr-CA"/>
        </w:rPr>
        <w:t>un</w:t>
      </w:r>
      <w:r w:rsidR="00DF4352" w:rsidRPr="00B63BD5">
        <w:rPr>
          <w:lang w:val="fr-CA"/>
        </w:rPr>
        <w:t xml:space="preserve"> engagement </w:t>
      </w:r>
      <w:r w:rsidR="00513A98" w:rsidRPr="00B63BD5">
        <w:rPr>
          <w:lang w:val="fr-CA"/>
        </w:rPr>
        <w:t xml:space="preserve">quant </w:t>
      </w:r>
      <w:r w:rsidRPr="00B63BD5">
        <w:rPr>
          <w:lang w:val="fr-CA"/>
        </w:rPr>
        <w:t xml:space="preserve">à la garantie </w:t>
      </w:r>
      <w:r w:rsidR="00052CB0" w:rsidRPr="00B63BD5">
        <w:rPr>
          <w:lang w:val="fr-CA"/>
        </w:rPr>
        <w:t>donnée à l</w:t>
      </w:r>
      <w:r w:rsidR="00564B0C" w:rsidRPr="00B63BD5">
        <w:rPr>
          <w:lang w:val="fr-CA"/>
        </w:rPr>
        <w:t>’</w:t>
      </w:r>
      <w:r w:rsidR="00052CB0" w:rsidRPr="00B63BD5">
        <w:rPr>
          <w:lang w:val="fr-CA"/>
        </w:rPr>
        <w:t xml:space="preserve">égard des </w:t>
      </w:r>
      <w:r w:rsidR="0061192C" w:rsidRPr="00B63BD5">
        <w:rPr>
          <w:lang w:val="fr-CA"/>
        </w:rPr>
        <w:t>liquidités</w:t>
      </w:r>
      <w:r w:rsidRPr="00B63BD5">
        <w:rPr>
          <w:lang w:val="fr-CA"/>
        </w:rPr>
        <w:t xml:space="preserve">, </w:t>
      </w:r>
      <w:r w:rsidR="00052CB0" w:rsidRPr="00B63BD5">
        <w:rPr>
          <w:lang w:val="fr-CA"/>
        </w:rPr>
        <w:t>d</w:t>
      </w:r>
      <w:r w:rsidRPr="00B63BD5">
        <w:rPr>
          <w:lang w:val="fr-CA"/>
        </w:rPr>
        <w:t>es soldes créditeurs et</w:t>
      </w:r>
      <w:r w:rsidR="007F3BF2" w:rsidRPr="00B63BD5">
        <w:rPr>
          <w:lang w:val="fr-CA"/>
        </w:rPr>
        <w:t> </w:t>
      </w:r>
      <w:r w:rsidR="00052CB0" w:rsidRPr="00B63BD5">
        <w:rPr>
          <w:lang w:val="fr-CA"/>
        </w:rPr>
        <w:t>d</w:t>
      </w:r>
      <w:r w:rsidRPr="00B63BD5">
        <w:rPr>
          <w:lang w:val="fr-CA"/>
        </w:rPr>
        <w:t>es</w:t>
      </w:r>
      <w:r w:rsidR="00564B0C" w:rsidRPr="00B63BD5">
        <w:rPr>
          <w:lang w:val="fr-CA"/>
        </w:rPr>
        <w:t xml:space="preserve"> </w:t>
      </w:r>
      <w:r w:rsidRPr="00B63BD5">
        <w:rPr>
          <w:lang w:val="fr-CA"/>
        </w:rPr>
        <w:t xml:space="preserve">instruments de dépôt </w:t>
      </w:r>
      <w:r w:rsidR="00513A98" w:rsidRPr="00B63BD5">
        <w:rPr>
          <w:lang w:val="fr-CA"/>
        </w:rPr>
        <w:t xml:space="preserve">pris par </w:t>
      </w:r>
      <w:r w:rsidRPr="00B63BD5">
        <w:rPr>
          <w:lang w:val="fr-CA"/>
        </w:rPr>
        <w:t>l</w:t>
      </w:r>
      <w:r w:rsidR="00564B0C" w:rsidRPr="00B63BD5">
        <w:rPr>
          <w:lang w:val="fr-CA"/>
        </w:rPr>
        <w:t>’</w:t>
      </w:r>
      <w:r w:rsidRPr="00B63BD5">
        <w:rPr>
          <w:lang w:val="fr-CA"/>
        </w:rPr>
        <w:t xml:space="preserve">Emprunteur </w:t>
      </w:r>
      <w:r w:rsidR="00BF5974" w:rsidRPr="00B63BD5">
        <w:rPr>
          <w:lang w:val="fr-CA"/>
        </w:rPr>
        <w:t>[</w:t>
      </w:r>
      <w:r w:rsidRPr="00B63BD5">
        <w:rPr>
          <w:lang w:val="fr-CA"/>
        </w:rPr>
        <w:t>d</w:t>
      </w:r>
      <w:r w:rsidR="00564B0C" w:rsidRPr="00B63BD5">
        <w:rPr>
          <w:lang w:val="fr-CA"/>
        </w:rPr>
        <w:t>’</w:t>
      </w:r>
      <w:r w:rsidRPr="00B63BD5">
        <w:rPr>
          <w:lang w:val="fr-CA"/>
        </w:rPr>
        <w:t xml:space="preserve">un </w:t>
      </w:r>
      <w:r w:rsidR="00400C48" w:rsidRPr="00B63BD5">
        <w:rPr>
          <w:lang w:val="fr-CA"/>
        </w:rPr>
        <w:t>montant</w:t>
      </w:r>
      <w:r w:rsidRPr="00B63BD5">
        <w:rPr>
          <w:lang w:val="fr-CA"/>
        </w:rPr>
        <w:t xml:space="preserve"> de </w:t>
      </w:r>
      <w:r w:rsidR="00F00C60" w:rsidRPr="00B63BD5">
        <w:rPr>
          <w:lang w:val="fr-CA"/>
        </w:rPr>
        <w:t>●</w:t>
      </w:r>
      <w:r w:rsidR="00AC4107" w:rsidRPr="00B63BD5">
        <w:rPr>
          <w:lang w:val="fr-CA"/>
        </w:rPr>
        <w:t xml:space="preserve"> </w:t>
      </w:r>
      <w:r w:rsidR="00F00C60" w:rsidRPr="00B63BD5">
        <w:rPr>
          <w:lang w:val="fr-CA"/>
        </w:rPr>
        <w:t>$</w:t>
      </w:r>
      <w:r w:rsidR="00AC4107" w:rsidRPr="00B63BD5">
        <w:rPr>
          <w:lang w:val="fr-CA"/>
        </w:rPr>
        <w:t xml:space="preserve"> </w:t>
      </w:r>
      <w:r w:rsidR="00F00C60" w:rsidRPr="00B63BD5">
        <w:rPr>
          <w:lang w:val="fr-CA"/>
        </w:rPr>
        <w:t>CA</w:t>
      </w:r>
      <w:r w:rsidR="007539F0" w:rsidRPr="00B63BD5">
        <w:rPr>
          <w:lang w:val="fr-CA"/>
        </w:rPr>
        <w:t>]</w:t>
      </w:r>
      <w:r w:rsidR="00B67E21" w:rsidRPr="00B63BD5">
        <w:rPr>
          <w:lang w:val="fr-CA"/>
        </w:rPr>
        <w:t xml:space="preserve"> </w:t>
      </w:r>
      <w:r w:rsidR="007539F0" w:rsidRPr="00B63BD5">
        <w:rPr>
          <w:lang w:val="fr-CA"/>
        </w:rPr>
        <w:t>[</w:t>
      </w:r>
      <w:r w:rsidR="00513A98" w:rsidRPr="00B63BD5">
        <w:rPr>
          <w:rStyle w:val="Prompt"/>
          <w:color w:val="auto"/>
          <w:lang w:val="fr-CA"/>
        </w:rPr>
        <w:t xml:space="preserve">par </w:t>
      </w:r>
      <w:r w:rsidR="00F00C60" w:rsidRPr="00B63BD5">
        <w:rPr>
          <w:rStyle w:val="Prompt"/>
          <w:color w:val="auto"/>
          <w:lang w:val="fr-CA"/>
        </w:rPr>
        <w:t>●</w:t>
      </w:r>
      <w:r w:rsidR="00AC4107" w:rsidRPr="00B63BD5">
        <w:rPr>
          <w:rStyle w:val="Prompt"/>
          <w:color w:val="auto"/>
          <w:lang w:val="fr-CA"/>
        </w:rPr>
        <w:t xml:space="preserve"> </w:t>
      </w:r>
      <w:r w:rsidRPr="00B63BD5">
        <w:rPr>
          <w:rStyle w:val="Prompt"/>
          <w:color w:val="auto"/>
          <w:lang w:val="fr-CA"/>
        </w:rPr>
        <w:t>d</w:t>
      </w:r>
      <w:r w:rsidR="00564B0C" w:rsidRPr="00B63BD5">
        <w:rPr>
          <w:rStyle w:val="Prompt"/>
          <w:color w:val="auto"/>
          <w:lang w:val="fr-CA"/>
        </w:rPr>
        <w:t>’</w:t>
      </w:r>
      <w:r w:rsidRPr="00B63BD5">
        <w:rPr>
          <w:rStyle w:val="Prompt"/>
          <w:color w:val="auto"/>
          <w:lang w:val="fr-CA"/>
        </w:rPr>
        <w:t xml:space="preserve">un montant de </w:t>
      </w:r>
      <w:r w:rsidR="00F00C60" w:rsidRPr="00B63BD5">
        <w:rPr>
          <w:rStyle w:val="Prompt"/>
          <w:color w:val="auto"/>
          <w:lang w:val="fr-CA"/>
        </w:rPr>
        <w:t>●</w:t>
      </w:r>
      <w:r w:rsidR="00AC4107" w:rsidRPr="00B63BD5">
        <w:rPr>
          <w:rStyle w:val="Prompt"/>
          <w:color w:val="auto"/>
          <w:lang w:val="fr-CA"/>
        </w:rPr>
        <w:t xml:space="preserve"> </w:t>
      </w:r>
      <w:r w:rsidR="00F00C60" w:rsidRPr="00B63BD5">
        <w:rPr>
          <w:rStyle w:val="Prompt"/>
          <w:color w:val="auto"/>
          <w:lang w:val="fr-CA"/>
        </w:rPr>
        <w:t>$</w:t>
      </w:r>
      <w:r w:rsidR="00AC4107" w:rsidRPr="00B63BD5">
        <w:rPr>
          <w:rStyle w:val="Prompt"/>
          <w:color w:val="auto"/>
          <w:lang w:val="fr-CA"/>
        </w:rPr>
        <w:t xml:space="preserve"> </w:t>
      </w:r>
      <w:r w:rsidR="00F00C60" w:rsidRPr="00B63BD5">
        <w:rPr>
          <w:rStyle w:val="Prompt"/>
          <w:color w:val="auto"/>
          <w:lang w:val="fr-CA"/>
        </w:rPr>
        <w:t>CA</w:t>
      </w:r>
      <w:r w:rsidR="00A00520" w:rsidRPr="00B63BD5">
        <w:rPr>
          <w:rStyle w:val="Prompt"/>
          <w:color w:val="auto"/>
          <w:lang w:val="fr-CA"/>
        </w:rPr>
        <w:t>]</w:t>
      </w:r>
      <w:r w:rsidR="0026213D" w:rsidRPr="00B63BD5">
        <w:rPr>
          <w:rStyle w:val="Prompt"/>
          <w:color w:val="auto"/>
          <w:lang w:val="fr-CA"/>
        </w:rPr>
        <w:t xml:space="preserve"> créant une Charge de premier rang grevant tous les biens donnés en garantie</w:t>
      </w:r>
      <w:r w:rsidR="009926E7" w:rsidRPr="00B63BD5">
        <w:rPr>
          <w:lang w:val="fr-CA"/>
        </w:rPr>
        <w:t>;</w:t>
      </w:r>
    </w:p>
    <w:p w14:paraId="48FB7E3B" w14:textId="78500A04" w:rsidR="009926E7" w:rsidRPr="00B63BD5" w:rsidRDefault="0081271E" w:rsidP="000B7739">
      <w:pPr>
        <w:pStyle w:val="04LOLglNew3"/>
        <w:rPr>
          <w:rStyle w:val="Prompt"/>
          <w:color w:val="auto"/>
          <w:lang w:val="fr-CA"/>
        </w:rPr>
      </w:pPr>
      <w:r w:rsidRPr="00B63BD5">
        <w:rPr>
          <w:lang w:val="fr-CA"/>
        </w:rPr>
        <w:t>une hypothèque de valeurs mobilière</w:t>
      </w:r>
      <w:r w:rsidR="004C6D6D" w:rsidRPr="00B63BD5">
        <w:rPr>
          <w:lang w:val="fr-CA"/>
        </w:rPr>
        <w:t>s, titres intermédiés, actifs financiers et autres biens comparables de</w:t>
      </w:r>
      <w:r w:rsidR="003D6C2F" w:rsidRPr="00B63BD5">
        <w:rPr>
          <w:lang w:val="fr-CA"/>
        </w:rPr>
        <w:t xml:space="preserve"> l</w:t>
      </w:r>
      <w:r w:rsidR="00564B0C" w:rsidRPr="00B63BD5">
        <w:rPr>
          <w:lang w:val="fr-CA"/>
        </w:rPr>
        <w:t>’</w:t>
      </w:r>
      <w:r w:rsidR="003D6C2F" w:rsidRPr="00B63BD5">
        <w:rPr>
          <w:lang w:val="fr-CA"/>
        </w:rPr>
        <w:t>Emprunteur</w:t>
      </w:r>
      <w:r w:rsidR="003D6C2F" w:rsidRPr="00B63BD5" w:rsidDel="003D6C2F">
        <w:rPr>
          <w:lang w:val="fr-CA"/>
        </w:rPr>
        <w:t xml:space="preserve"> </w:t>
      </w:r>
      <w:r w:rsidR="00E73E7B" w:rsidRPr="00B63BD5">
        <w:rPr>
          <w:lang w:val="fr-CA"/>
        </w:rPr>
        <w:t xml:space="preserve">[et </w:t>
      </w:r>
      <w:r w:rsidR="004C6D6D" w:rsidRPr="00B63BD5">
        <w:rPr>
          <w:lang w:val="fr-CA"/>
        </w:rPr>
        <w:t xml:space="preserve">de </w:t>
      </w:r>
      <w:r w:rsidR="00E73E7B" w:rsidRPr="00B63BD5">
        <w:rPr>
          <w:lang w:val="fr-CA"/>
        </w:rPr>
        <w:t xml:space="preserve">●] </w:t>
      </w:r>
      <w:r w:rsidR="004C6D6D" w:rsidRPr="00B63BD5">
        <w:rPr>
          <w:lang w:val="fr-CA"/>
        </w:rPr>
        <w:t>de ●</w:t>
      </w:r>
      <w:r w:rsidR="00AC4107" w:rsidRPr="00B63BD5">
        <w:rPr>
          <w:lang w:val="fr-CA"/>
        </w:rPr>
        <w:t xml:space="preserve"> </w:t>
      </w:r>
      <w:r w:rsidR="004C6D6D" w:rsidRPr="00B63BD5">
        <w:rPr>
          <w:lang w:val="fr-CA"/>
        </w:rPr>
        <w:t>$</w:t>
      </w:r>
      <w:r w:rsidR="00AC4107" w:rsidRPr="00B63BD5">
        <w:rPr>
          <w:lang w:val="fr-CA"/>
        </w:rPr>
        <w:t xml:space="preserve"> </w:t>
      </w:r>
      <w:r w:rsidR="004C6D6D" w:rsidRPr="00B63BD5">
        <w:rPr>
          <w:lang w:val="fr-CA"/>
        </w:rPr>
        <w:t>CA créant un</w:t>
      </w:r>
      <w:r w:rsidR="00A67839" w:rsidRPr="00B63BD5">
        <w:rPr>
          <w:lang w:val="fr-CA"/>
        </w:rPr>
        <w:t>e Charge</w:t>
      </w:r>
      <w:r w:rsidR="004C6D6D" w:rsidRPr="00B63BD5">
        <w:rPr>
          <w:lang w:val="fr-CA"/>
        </w:rPr>
        <w:t xml:space="preserve"> de premier rang </w:t>
      </w:r>
      <w:r w:rsidR="003D6C2F" w:rsidRPr="00B63BD5">
        <w:rPr>
          <w:lang w:val="fr-CA"/>
        </w:rPr>
        <w:t>visant</w:t>
      </w:r>
      <w:r w:rsidR="00E73E7B" w:rsidRPr="00B63BD5">
        <w:rPr>
          <w:lang w:val="fr-CA"/>
        </w:rPr>
        <w:t xml:space="preserve"> </w:t>
      </w:r>
      <w:r w:rsidR="00BD6C55" w:rsidRPr="00B63BD5">
        <w:rPr>
          <w:rStyle w:val="Prompt"/>
          <w:color w:val="auto"/>
          <w:lang w:val="fr-CA"/>
        </w:rPr>
        <w:t>la</w:t>
      </w:r>
      <w:r w:rsidR="007F3BF2" w:rsidRPr="00B63BD5">
        <w:rPr>
          <w:rStyle w:val="Prompt"/>
          <w:color w:val="auto"/>
          <w:lang w:val="fr-CA"/>
        </w:rPr>
        <w:t> </w:t>
      </w:r>
      <w:r w:rsidR="00BD6C55" w:rsidRPr="00B63BD5">
        <w:rPr>
          <w:rStyle w:val="Prompt"/>
          <w:color w:val="auto"/>
          <w:lang w:val="fr-CA"/>
        </w:rPr>
        <w:t xml:space="preserve">totalité des actions </w:t>
      </w:r>
      <w:r w:rsidR="00400C48" w:rsidRPr="00B63BD5">
        <w:rPr>
          <w:rStyle w:val="Prompt"/>
          <w:color w:val="auto"/>
          <w:lang w:val="fr-CA"/>
        </w:rPr>
        <w:t>émises</w:t>
      </w:r>
      <w:r w:rsidR="00BD6C55" w:rsidRPr="00B63BD5">
        <w:rPr>
          <w:rStyle w:val="Prompt"/>
          <w:color w:val="auto"/>
          <w:lang w:val="fr-CA"/>
        </w:rPr>
        <w:t xml:space="preserve"> e</w:t>
      </w:r>
      <w:r w:rsidR="00AF6AE3" w:rsidRPr="00B63BD5">
        <w:rPr>
          <w:rStyle w:val="Prompt"/>
          <w:color w:val="auto"/>
          <w:lang w:val="fr-CA"/>
        </w:rPr>
        <w:t>t</w:t>
      </w:r>
      <w:r w:rsidR="00BD6C55" w:rsidRPr="00B63BD5">
        <w:rPr>
          <w:rStyle w:val="Prompt"/>
          <w:color w:val="auto"/>
          <w:lang w:val="fr-CA"/>
        </w:rPr>
        <w:t xml:space="preserve"> en circulation du capital</w:t>
      </w:r>
      <w:r w:rsidR="00BD6C55" w:rsidRPr="00B63BD5">
        <w:rPr>
          <w:rStyle w:val="Prompt"/>
          <w:color w:val="auto"/>
          <w:lang w:val="fr-CA"/>
        </w:rPr>
        <w:noBreakHyphen/>
        <w:t xml:space="preserve">actions de </w:t>
      </w:r>
      <w:r w:rsidR="00B67E21" w:rsidRPr="00B63BD5">
        <w:rPr>
          <w:b/>
          <w:lang w:val="fr-CA"/>
        </w:rPr>
        <w:t>●</w:t>
      </w:r>
      <w:r w:rsidR="001B6CEA" w:rsidRPr="00B63BD5">
        <w:rPr>
          <w:rStyle w:val="Prompt"/>
          <w:b/>
          <w:color w:val="auto"/>
          <w:lang w:val="fr-CA"/>
        </w:rPr>
        <w:t xml:space="preserve">, </w:t>
      </w:r>
      <w:r w:rsidR="001B6CEA" w:rsidRPr="00B63BD5">
        <w:rPr>
          <w:rStyle w:val="Prompt"/>
          <w:color w:val="auto"/>
          <w:lang w:val="fr-CA"/>
        </w:rPr>
        <w:t>accompagné d</w:t>
      </w:r>
      <w:r w:rsidR="00564B0C" w:rsidRPr="00B63BD5">
        <w:rPr>
          <w:rStyle w:val="Prompt"/>
          <w:color w:val="auto"/>
          <w:lang w:val="fr-CA"/>
        </w:rPr>
        <w:t>’</w:t>
      </w:r>
      <w:r w:rsidR="00BD6C55" w:rsidRPr="00B63BD5">
        <w:rPr>
          <w:rStyle w:val="Prompt"/>
          <w:color w:val="auto"/>
          <w:lang w:val="fr-CA"/>
        </w:rPr>
        <w:t>une</w:t>
      </w:r>
      <w:r w:rsidR="007F3BF2" w:rsidRPr="00B63BD5">
        <w:rPr>
          <w:rStyle w:val="Prompt"/>
          <w:color w:val="auto"/>
          <w:lang w:val="fr-CA"/>
        </w:rPr>
        <w:t> </w:t>
      </w:r>
      <w:r w:rsidR="00BD6C55" w:rsidRPr="00B63BD5">
        <w:rPr>
          <w:rStyle w:val="Prompt"/>
          <w:color w:val="auto"/>
          <w:lang w:val="fr-CA"/>
        </w:rPr>
        <w:t>procuration endossée en blanc</w:t>
      </w:r>
      <w:r w:rsidR="001B6CEA" w:rsidRPr="00B63BD5">
        <w:rPr>
          <w:rStyle w:val="Prompt"/>
          <w:color w:val="auto"/>
          <w:lang w:val="fr-CA"/>
        </w:rPr>
        <w:t xml:space="preserve"> et d</w:t>
      </w:r>
      <w:r w:rsidR="00564B0C" w:rsidRPr="00B63BD5">
        <w:rPr>
          <w:rStyle w:val="Prompt"/>
          <w:color w:val="auto"/>
          <w:lang w:val="fr-CA"/>
        </w:rPr>
        <w:t>’</w:t>
      </w:r>
      <w:r w:rsidR="00BD6C55" w:rsidRPr="00B63BD5">
        <w:rPr>
          <w:rStyle w:val="Prompt"/>
          <w:color w:val="auto"/>
          <w:lang w:val="fr-CA"/>
        </w:rPr>
        <w:t xml:space="preserve">une résolution </w:t>
      </w:r>
      <w:r w:rsidR="001B6CEA" w:rsidRPr="00B63BD5">
        <w:rPr>
          <w:rStyle w:val="Prompt"/>
          <w:color w:val="auto"/>
          <w:lang w:val="fr-CA"/>
        </w:rPr>
        <w:t>de</w:t>
      </w:r>
      <w:r w:rsidR="00BD6C55" w:rsidRPr="00B63BD5">
        <w:rPr>
          <w:rStyle w:val="Prompt"/>
          <w:color w:val="auto"/>
          <w:lang w:val="fr-CA"/>
        </w:rPr>
        <w:t xml:space="preserve"> consentement des administrateurs de</w:t>
      </w:r>
      <w:r w:rsidR="007F3BF2" w:rsidRPr="00B63BD5">
        <w:rPr>
          <w:rStyle w:val="Prompt"/>
          <w:color w:val="auto"/>
          <w:lang w:val="fr-CA"/>
        </w:rPr>
        <w:t> </w:t>
      </w:r>
      <w:r w:rsidR="00BD6C55" w:rsidRPr="00B63BD5">
        <w:rPr>
          <w:rStyle w:val="Prompt"/>
          <w:color w:val="auto"/>
          <w:lang w:val="fr-CA"/>
        </w:rPr>
        <w:t xml:space="preserve">la société par actions fermée dont les actions </w:t>
      </w:r>
      <w:r w:rsidR="001B6CEA" w:rsidRPr="00B63BD5">
        <w:rPr>
          <w:rStyle w:val="Prompt"/>
          <w:color w:val="auto"/>
          <w:lang w:val="fr-CA"/>
        </w:rPr>
        <w:t>f</w:t>
      </w:r>
      <w:r w:rsidR="00BD6C55" w:rsidRPr="00B63BD5">
        <w:rPr>
          <w:rStyle w:val="Prompt"/>
          <w:color w:val="auto"/>
          <w:lang w:val="fr-CA"/>
        </w:rPr>
        <w:t xml:space="preserve">ont </w:t>
      </w:r>
      <w:r w:rsidR="001B6CEA" w:rsidRPr="00B63BD5">
        <w:rPr>
          <w:rStyle w:val="Prompt"/>
          <w:color w:val="auto"/>
          <w:lang w:val="fr-CA"/>
        </w:rPr>
        <w:t>l</w:t>
      </w:r>
      <w:r w:rsidR="00564B0C" w:rsidRPr="00B63BD5">
        <w:rPr>
          <w:rStyle w:val="Prompt"/>
          <w:color w:val="auto"/>
          <w:lang w:val="fr-CA"/>
        </w:rPr>
        <w:t>’</w:t>
      </w:r>
      <w:r w:rsidR="001B6CEA" w:rsidRPr="00B63BD5">
        <w:rPr>
          <w:rStyle w:val="Prompt"/>
          <w:color w:val="auto"/>
          <w:lang w:val="fr-CA"/>
        </w:rPr>
        <w:t>objet</w:t>
      </w:r>
      <w:r w:rsidR="00E73E7B" w:rsidRPr="00B63BD5">
        <w:rPr>
          <w:rStyle w:val="Prompt"/>
          <w:color w:val="auto"/>
          <w:lang w:val="fr-CA"/>
        </w:rPr>
        <w:t xml:space="preserve"> de l</w:t>
      </w:r>
      <w:r w:rsidR="00564B0C" w:rsidRPr="00B63BD5">
        <w:rPr>
          <w:rStyle w:val="Prompt"/>
          <w:color w:val="auto"/>
          <w:lang w:val="fr-CA"/>
        </w:rPr>
        <w:t>’</w:t>
      </w:r>
      <w:r w:rsidR="00E73E7B" w:rsidRPr="00B63BD5">
        <w:rPr>
          <w:rStyle w:val="Prompt"/>
          <w:color w:val="auto"/>
          <w:lang w:val="fr-CA"/>
        </w:rPr>
        <w:t>hypothèque</w:t>
      </w:r>
      <w:r w:rsidR="001B6CEA" w:rsidRPr="00B63BD5">
        <w:rPr>
          <w:rStyle w:val="Prompt"/>
          <w:color w:val="auto"/>
          <w:lang w:val="fr-CA"/>
        </w:rPr>
        <w:t xml:space="preserve"> requis par</w:t>
      </w:r>
      <w:r w:rsidR="00BD6C55" w:rsidRPr="00B63BD5">
        <w:rPr>
          <w:rStyle w:val="Prompt"/>
          <w:color w:val="auto"/>
          <w:lang w:val="fr-CA"/>
        </w:rPr>
        <w:t xml:space="preserve"> la Banque</w:t>
      </w:r>
      <w:r w:rsidR="001B6CEA" w:rsidRPr="00B63BD5">
        <w:rPr>
          <w:rStyle w:val="Prompt"/>
          <w:color w:val="auto"/>
          <w:lang w:val="fr-CA"/>
        </w:rPr>
        <w:t>;</w:t>
      </w:r>
      <w:r w:rsidR="00E73E7B" w:rsidRPr="00B63BD5">
        <w:rPr>
          <w:rStyle w:val="Prompt"/>
          <w:color w:val="auto"/>
          <w:lang w:val="fr-CA"/>
        </w:rPr>
        <w:t xml:space="preserve"> incluant la remise des</w:t>
      </w:r>
      <w:r w:rsidR="00B63306" w:rsidRPr="00B63BD5">
        <w:rPr>
          <w:rStyle w:val="Prompt"/>
          <w:color w:val="auto"/>
          <w:lang w:val="fr-CA"/>
        </w:rPr>
        <w:t xml:space="preserve"> </w:t>
      </w:r>
      <w:r w:rsidR="00BD6C55" w:rsidRPr="00B63BD5">
        <w:rPr>
          <w:rStyle w:val="Prompt"/>
          <w:color w:val="auto"/>
          <w:lang w:val="fr-CA"/>
        </w:rPr>
        <w:t>certificats d</w:t>
      </w:r>
      <w:r w:rsidR="00564B0C" w:rsidRPr="00B63BD5">
        <w:rPr>
          <w:rStyle w:val="Prompt"/>
          <w:color w:val="auto"/>
          <w:lang w:val="fr-CA"/>
        </w:rPr>
        <w:t>’</w:t>
      </w:r>
      <w:r w:rsidR="00BD6C55" w:rsidRPr="00B63BD5">
        <w:rPr>
          <w:rStyle w:val="Prompt"/>
          <w:color w:val="auto"/>
          <w:lang w:val="fr-CA"/>
        </w:rPr>
        <w:t>actions (si</w:t>
      </w:r>
      <w:r w:rsidR="00363F9D" w:rsidRPr="00B63BD5">
        <w:rPr>
          <w:rStyle w:val="Prompt"/>
          <w:color w:val="auto"/>
          <w:lang w:val="fr-CA"/>
        </w:rPr>
        <w:t> </w:t>
      </w:r>
      <w:r w:rsidR="001B6CEA" w:rsidRPr="00B63BD5">
        <w:rPr>
          <w:rStyle w:val="Prompt"/>
          <w:color w:val="auto"/>
          <w:lang w:val="fr-CA"/>
        </w:rPr>
        <w:t xml:space="preserve">les actions sont représentées par </w:t>
      </w:r>
      <w:r w:rsidR="00513A98" w:rsidRPr="00B63BD5">
        <w:rPr>
          <w:rStyle w:val="Prompt"/>
          <w:color w:val="auto"/>
          <w:lang w:val="fr-CA"/>
        </w:rPr>
        <w:t xml:space="preserve">un </w:t>
      </w:r>
      <w:r w:rsidR="00BD6C55" w:rsidRPr="00B63BD5">
        <w:rPr>
          <w:rStyle w:val="Prompt"/>
          <w:color w:val="auto"/>
          <w:lang w:val="fr-CA"/>
        </w:rPr>
        <w:t>certificat)</w:t>
      </w:r>
      <w:r w:rsidR="00B63306" w:rsidRPr="00B63BD5">
        <w:rPr>
          <w:rStyle w:val="Prompt"/>
          <w:color w:val="auto"/>
          <w:lang w:val="fr-CA"/>
        </w:rPr>
        <w:t xml:space="preserve"> </w:t>
      </w:r>
      <w:r w:rsidR="00BD6C55" w:rsidRPr="00B63BD5">
        <w:rPr>
          <w:rStyle w:val="Prompt"/>
          <w:color w:val="auto"/>
          <w:lang w:val="fr-CA"/>
        </w:rPr>
        <w:t>ou</w:t>
      </w:r>
      <w:r w:rsidR="007F3BF2" w:rsidRPr="00B63BD5">
        <w:rPr>
          <w:rStyle w:val="Prompt"/>
          <w:color w:val="auto"/>
          <w:lang w:val="fr-CA"/>
        </w:rPr>
        <w:t> </w:t>
      </w:r>
      <w:r w:rsidR="000350F6" w:rsidRPr="00B63BD5">
        <w:rPr>
          <w:rStyle w:val="Prompt"/>
          <w:color w:val="auto"/>
          <w:lang w:val="fr-CA"/>
        </w:rPr>
        <w:t>la</w:t>
      </w:r>
      <w:r w:rsidR="007F3BF2" w:rsidRPr="00B63BD5">
        <w:rPr>
          <w:rStyle w:val="Prompt"/>
          <w:color w:val="auto"/>
          <w:lang w:val="fr-CA"/>
        </w:rPr>
        <w:t> </w:t>
      </w:r>
      <w:r w:rsidR="000350F6" w:rsidRPr="00B63BD5">
        <w:rPr>
          <w:rStyle w:val="Prompt"/>
          <w:color w:val="auto"/>
          <w:lang w:val="fr-CA"/>
        </w:rPr>
        <w:t>conclusion d</w:t>
      </w:r>
      <w:r w:rsidR="00564B0C" w:rsidRPr="00B63BD5">
        <w:rPr>
          <w:rStyle w:val="Prompt"/>
          <w:color w:val="auto"/>
          <w:lang w:val="fr-CA"/>
        </w:rPr>
        <w:t>’</w:t>
      </w:r>
      <w:r w:rsidR="00BD6C55" w:rsidRPr="00B63BD5">
        <w:rPr>
          <w:rStyle w:val="Prompt"/>
          <w:color w:val="auto"/>
          <w:lang w:val="fr-CA"/>
        </w:rPr>
        <w:t>une convention de contrôle du compte titres (si les actions n</w:t>
      </w:r>
      <w:r w:rsidR="001B6CEA" w:rsidRPr="00B63BD5">
        <w:rPr>
          <w:rStyle w:val="Prompt"/>
          <w:color w:val="auto"/>
          <w:lang w:val="fr-CA"/>
        </w:rPr>
        <w:t>e</w:t>
      </w:r>
      <w:r w:rsidR="007F3BF2" w:rsidRPr="00B63BD5">
        <w:rPr>
          <w:rStyle w:val="Prompt"/>
          <w:color w:val="auto"/>
          <w:lang w:val="fr-CA"/>
        </w:rPr>
        <w:t> </w:t>
      </w:r>
      <w:r w:rsidR="001B6CEA" w:rsidRPr="00B63BD5">
        <w:rPr>
          <w:rStyle w:val="Prompt"/>
          <w:color w:val="auto"/>
          <w:lang w:val="fr-CA"/>
        </w:rPr>
        <w:t>s</w:t>
      </w:r>
      <w:r w:rsidR="00BD6C55" w:rsidRPr="00B63BD5">
        <w:rPr>
          <w:rStyle w:val="Prompt"/>
          <w:color w:val="auto"/>
          <w:lang w:val="fr-CA"/>
        </w:rPr>
        <w:t>on</w:t>
      </w:r>
      <w:r w:rsidR="00AF6AE3" w:rsidRPr="00B63BD5">
        <w:rPr>
          <w:rStyle w:val="Prompt"/>
          <w:color w:val="auto"/>
          <w:lang w:val="fr-CA"/>
        </w:rPr>
        <w:t>t</w:t>
      </w:r>
      <w:r w:rsidR="007F3BF2" w:rsidRPr="00B63BD5">
        <w:rPr>
          <w:rStyle w:val="Prompt"/>
          <w:color w:val="auto"/>
          <w:lang w:val="fr-CA"/>
        </w:rPr>
        <w:t> </w:t>
      </w:r>
      <w:r w:rsidR="00BD6C55" w:rsidRPr="00B63BD5">
        <w:rPr>
          <w:rStyle w:val="Prompt"/>
          <w:color w:val="auto"/>
          <w:lang w:val="fr-CA"/>
        </w:rPr>
        <w:t>pas</w:t>
      </w:r>
      <w:r w:rsidR="007F3BF2" w:rsidRPr="00B63BD5">
        <w:rPr>
          <w:rStyle w:val="Prompt"/>
          <w:color w:val="auto"/>
          <w:lang w:val="fr-CA"/>
        </w:rPr>
        <w:t> </w:t>
      </w:r>
      <w:r w:rsidR="001B6CEA" w:rsidRPr="00B63BD5">
        <w:rPr>
          <w:rStyle w:val="Prompt"/>
          <w:color w:val="auto"/>
          <w:lang w:val="fr-CA"/>
        </w:rPr>
        <w:t xml:space="preserve">représentées par </w:t>
      </w:r>
      <w:r w:rsidR="00F356A3" w:rsidRPr="00B63BD5">
        <w:rPr>
          <w:rStyle w:val="Prompt"/>
          <w:color w:val="auto"/>
          <w:lang w:val="fr-CA"/>
        </w:rPr>
        <w:t xml:space="preserve">un </w:t>
      </w:r>
      <w:r w:rsidR="00AF6AE3" w:rsidRPr="00B63BD5">
        <w:rPr>
          <w:rStyle w:val="Prompt"/>
          <w:color w:val="auto"/>
          <w:lang w:val="fr-CA"/>
        </w:rPr>
        <w:t>certificat</w:t>
      </w:r>
      <w:r w:rsidR="00BD6C55" w:rsidRPr="00B63BD5">
        <w:rPr>
          <w:rStyle w:val="Prompt"/>
          <w:color w:val="auto"/>
          <w:lang w:val="fr-CA"/>
        </w:rPr>
        <w:t>);</w:t>
      </w:r>
    </w:p>
    <w:p w14:paraId="73268A00" w14:textId="62E8689C" w:rsidR="009926E7" w:rsidRPr="00B63BD5" w:rsidRDefault="00BD6C55" w:rsidP="000B7739">
      <w:pPr>
        <w:pStyle w:val="04LOLglNew3"/>
        <w:rPr>
          <w:lang w:val="fr-CA"/>
        </w:rPr>
      </w:pPr>
      <w:r w:rsidRPr="00B63BD5">
        <w:rPr>
          <w:lang w:val="fr-CA"/>
        </w:rPr>
        <w:t>une convention de consen</w:t>
      </w:r>
      <w:r w:rsidR="00AF6AE3" w:rsidRPr="00B63BD5">
        <w:rPr>
          <w:lang w:val="fr-CA"/>
        </w:rPr>
        <w:t>t</w:t>
      </w:r>
      <w:r w:rsidRPr="00B63BD5">
        <w:rPr>
          <w:lang w:val="fr-CA"/>
        </w:rPr>
        <w:t>ement et de renonciation en faveur de la Banque</w:t>
      </w:r>
      <w:r w:rsidR="00240538" w:rsidRPr="00B63BD5">
        <w:rPr>
          <w:lang w:val="fr-CA"/>
        </w:rPr>
        <w:t xml:space="preserve"> </w:t>
      </w:r>
      <w:r w:rsidR="00F356A3" w:rsidRPr="00B63BD5">
        <w:rPr>
          <w:lang w:val="fr-CA"/>
        </w:rPr>
        <w:t>signée par</w:t>
      </w:r>
      <w:r w:rsidR="007F3BF2" w:rsidRPr="00B63BD5">
        <w:rPr>
          <w:lang w:val="fr-CA"/>
        </w:rPr>
        <w:t> </w:t>
      </w:r>
      <w:r w:rsidR="00F356A3" w:rsidRPr="00B63BD5">
        <w:rPr>
          <w:lang w:val="fr-CA"/>
        </w:rPr>
        <w:t>le</w:t>
      </w:r>
      <w:r w:rsidR="007F3BF2" w:rsidRPr="00B63BD5">
        <w:rPr>
          <w:lang w:val="fr-CA"/>
        </w:rPr>
        <w:t> </w:t>
      </w:r>
      <w:r w:rsidRPr="00B63BD5">
        <w:rPr>
          <w:lang w:val="fr-CA"/>
        </w:rPr>
        <w:t>propriétaire</w:t>
      </w:r>
      <w:r w:rsidR="00063ADA" w:rsidRPr="00B63BD5">
        <w:rPr>
          <w:lang w:val="fr-CA"/>
        </w:rPr>
        <w:t xml:space="preserve"> </w:t>
      </w:r>
      <w:r w:rsidR="0046138F" w:rsidRPr="00B63BD5">
        <w:rPr>
          <w:lang w:val="fr-CA"/>
        </w:rPr>
        <w:t>[</w:t>
      </w:r>
      <w:r w:rsidR="00063ADA" w:rsidRPr="00B63BD5">
        <w:rPr>
          <w:lang w:val="fr-CA"/>
        </w:rPr>
        <w:t>les propriétaires</w:t>
      </w:r>
      <w:r w:rsidR="0046138F" w:rsidRPr="00B63BD5">
        <w:rPr>
          <w:lang w:val="fr-CA"/>
        </w:rPr>
        <w:t>]</w:t>
      </w:r>
      <w:r w:rsidRPr="00B63BD5">
        <w:rPr>
          <w:lang w:val="fr-CA"/>
        </w:rPr>
        <w:t xml:space="preserve"> des </w:t>
      </w:r>
      <w:r w:rsidR="0046138F" w:rsidRPr="00B63BD5">
        <w:rPr>
          <w:lang w:val="fr-CA"/>
        </w:rPr>
        <w:t xml:space="preserve">lieux </w:t>
      </w:r>
      <w:r w:rsidR="00240538" w:rsidRPr="00B63BD5">
        <w:rPr>
          <w:lang w:val="fr-CA"/>
        </w:rPr>
        <w:t>loués</w:t>
      </w:r>
      <w:r w:rsidRPr="00B63BD5">
        <w:rPr>
          <w:lang w:val="fr-CA"/>
        </w:rPr>
        <w:t>;</w:t>
      </w:r>
    </w:p>
    <w:p w14:paraId="288929C6" w14:textId="1C51AA92" w:rsidR="00F47086" w:rsidRPr="00B63BD5" w:rsidRDefault="00BD6C55" w:rsidP="000B7739">
      <w:pPr>
        <w:pStyle w:val="04LOLglNew3"/>
        <w:rPr>
          <w:lang w:val="fr-CA"/>
        </w:rPr>
      </w:pPr>
      <w:r w:rsidRPr="00B63BD5">
        <w:rPr>
          <w:lang w:val="fr-CA"/>
        </w:rPr>
        <w:t xml:space="preserve">des conventions entre créanciers et de subordination </w:t>
      </w:r>
      <w:r w:rsidR="00F356A3" w:rsidRPr="00B63BD5">
        <w:rPr>
          <w:lang w:val="fr-CA"/>
        </w:rPr>
        <w:t>signée</w:t>
      </w:r>
      <w:r w:rsidR="0094679D" w:rsidRPr="00B63BD5">
        <w:rPr>
          <w:lang w:val="fr-CA"/>
        </w:rPr>
        <w:t>s</w:t>
      </w:r>
      <w:r w:rsidR="00F356A3" w:rsidRPr="00B63BD5">
        <w:rPr>
          <w:lang w:val="fr-CA"/>
        </w:rPr>
        <w:t xml:space="preserve"> par les titulaires </w:t>
      </w:r>
      <w:r w:rsidRPr="00B63BD5">
        <w:rPr>
          <w:lang w:val="fr-CA"/>
        </w:rPr>
        <w:t>de</w:t>
      </w:r>
      <w:r w:rsidR="00240538" w:rsidRPr="00B63BD5">
        <w:rPr>
          <w:lang w:val="fr-CA"/>
        </w:rPr>
        <w:t>s</w:t>
      </w:r>
      <w:r w:rsidRPr="00B63BD5">
        <w:rPr>
          <w:lang w:val="fr-CA"/>
        </w:rPr>
        <w:t xml:space="preserve"> </w:t>
      </w:r>
      <w:r w:rsidR="002C3BC6" w:rsidRPr="00B63BD5">
        <w:rPr>
          <w:lang w:val="fr-CA"/>
        </w:rPr>
        <w:t>Charges autorisées</w:t>
      </w:r>
      <w:r w:rsidRPr="00B63BD5">
        <w:rPr>
          <w:lang w:val="fr-CA"/>
        </w:rPr>
        <w:t xml:space="preserve"> ou des lettres de</w:t>
      </w:r>
      <w:r w:rsidR="004E0B50" w:rsidRPr="00B63BD5">
        <w:rPr>
          <w:lang w:val="fr-CA"/>
        </w:rPr>
        <w:t xml:space="preserve"> renonciation</w:t>
      </w:r>
      <w:r w:rsidRPr="00B63BD5">
        <w:rPr>
          <w:lang w:val="fr-CA"/>
        </w:rPr>
        <w:t xml:space="preserve"> </w:t>
      </w:r>
      <w:r w:rsidR="00F356A3" w:rsidRPr="00B63BD5">
        <w:rPr>
          <w:lang w:val="fr-CA"/>
        </w:rPr>
        <w:t xml:space="preserve">signées par </w:t>
      </w:r>
      <w:r w:rsidRPr="00B63BD5">
        <w:rPr>
          <w:lang w:val="fr-CA"/>
        </w:rPr>
        <w:t>d</w:t>
      </w:r>
      <w:r w:rsidR="00564B0C" w:rsidRPr="00B63BD5">
        <w:rPr>
          <w:lang w:val="fr-CA"/>
        </w:rPr>
        <w:t>’</w:t>
      </w:r>
      <w:r w:rsidRPr="00B63BD5">
        <w:rPr>
          <w:lang w:val="fr-CA"/>
        </w:rPr>
        <w:t>autres parties garanties</w:t>
      </w:r>
      <w:r w:rsidR="00240538" w:rsidRPr="00B63BD5">
        <w:rPr>
          <w:lang w:val="fr-CA"/>
        </w:rPr>
        <w:t>,</w:t>
      </w:r>
      <w:r w:rsidR="004E0B50" w:rsidRPr="00B63BD5">
        <w:rPr>
          <w:lang w:val="fr-CA"/>
        </w:rPr>
        <w:t xml:space="preserve"> tel que déterminé par</w:t>
      </w:r>
      <w:r w:rsidRPr="00B63BD5">
        <w:rPr>
          <w:lang w:val="fr-CA"/>
        </w:rPr>
        <w:t xml:space="preserve"> la B</w:t>
      </w:r>
      <w:r w:rsidR="00AF6AE3" w:rsidRPr="00B63BD5">
        <w:rPr>
          <w:lang w:val="fr-CA"/>
        </w:rPr>
        <w:t>a</w:t>
      </w:r>
      <w:r w:rsidRPr="00B63BD5">
        <w:rPr>
          <w:lang w:val="fr-CA"/>
        </w:rPr>
        <w:t>nque;</w:t>
      </w:r>
    </w:p>
    <w:p w14:paraId="31144980" w14:textId="361BEEC3" w:rsidR="00E24938" w:rsidRPr="00B63BD5" w:rsidRDefault="005B47D8" w:rsidP="00632863">
      <w:pPr>
        <w:keepNext/>
        <w:spacing w:after="240"/>
        <w:jc w:val="both"/>
        <w:rPr>
          <w:b/>
          <w:color w:val="00B0F0"/>
          <w:lang w:val="fr-CA"/>
        </w:rPr>
      </w:pPr>
      <w:r w:rsidRPr="00B63BD5">
        <w:rPr>
          <w:b/>
          <w:color w:val="00B0F0"/>
          <w:lang w:val="fr-CA"/>
        </w:rPr>
        <w:t>[N.B.</w:t>
      </w:r>
      <w:r w:rsidR="00AC4107" w:rsidRPr="00B63BD5">
        <w:rPr>
          <w:b/>
          <w:color w:val="00B0F0"/>
          <w:lang w:val="fr-CA"/>
        </w:rPr>
        <w:t xml:space="preserve"> </w:t>
      </w:r>
      <w:r w:rsidRPr="00B63BD5">
        <w:rPr>
          <w:b/>
          <w:color w:val="00B0F0"/>
          <w:lang w:val="fr-CA"/>
        </w:rPr>
        <w:t>: L</w:t>
      </w:r>
      <w:r w:rsidR="00564B0C" w:rsidRPr="00B63BD5">
        <w:rPr>
          <w:b/>
          <w:color w:val="00B0F0"/>
          <w:lang w:val="fr-CA"/>
        </w:rPr>
        <w:t>’</w:t>
      </w:r>
      <w:r w:rsidRPr="00B63BD5">
        <w:rPr>
          <w:b/>
          <w:color w:val="00B0F0"/>
          <w:lang w:val="fr-CA"/>
        </w:rPr>
        <w:t>alinéa</w:t>
      </w:r>
      <w:r w:rsidR="00AC4107" w:rsidRPr="00B63BD5">
        <w:rPr>
          <w:b/>
          <w:color w:val="00B0F0"/>
          <w:lang w:val="fr-CA"/>
        </w:rPr>
        <w:t xml:space="preserve"> </w:t>
      </w:r>
      <w:r w:rsidR="004E3FF8">
        <w:rPr>
          <w:b/>
          <w:color w:val="00B0F0"/>
          <w:lang w:val="fr-CA"/>
        </w:rPr>
        <w:t>z</w:t>
      </w:r>
      <w:r w:rsidRPr="00B63BD5">
        <w:rPr>
          <w:b/>
          <w:color w:val="00B0F0"/>
          <w:lang w:val="fr-CA"/>
        </w:rPr>
        <w:t xml:space="preserve">) </w:t>
      </w:r>
      <w:r w:rsidR="00CB3805" w:rsidRPr="00B63BD5">
        <w:rPr>
          <w:b/>
          <w:color w:val="00B0F0"/>
          <w:lang w:val="fr-CA"/>
        </w:rPr>
        <w:t xml:space="preserve">est obligatoire et ne </w:t>
      </w:r>
      <w:r w:rsidR="00E4549F" w:rsidRPr="00B63BD5">
        <w:rPr>
          <w:b/>
          <w:color w:val="00B0F0"/>
          <w:lang w:val="fr-CA"/>
        </w:rPr>
        <w:t>doit</w:t>
      </w:r>
      <w:r w:rsidR="00CB3805" w:rsidRPr="00B63BD5">
        <w:rPr>
          <w:b/>
          <w:color w:val="00B0F0"/>
          <w:lang w:val="fr-CA"/>
        </w:rPr>
        <w:t xml:space="preserve"> pas être supprimé</w:t>
      </w:r>
      <w:r w:rsidR="00E24938" w:rsidRPr="00B63BD5">
        <w:rPr>
          <w:b/>
          <w:color w:val="00B0F0"/>
          <w:lang w:val="fr-CA"/>
        </w:rPr>
        <w:t>.]</w:t>
      </w:r>
    </w:p>
    <w:p w14:paraId="725492A8" w14:textId="1E2BAC0B" w:rsidR="009926E7" w:rsidRPr="00B63BD5" w:rsidRDefault="00BD6C55" w:rsidP="000B7739">
      <w:pPr>
        <w:pStyle w:val="04LOLglNew3"/>
        <w:rPr>
          <w:lang w:val="fr-CA"/>
        </w:rPr>
      </w:pPr>
      <w:r w:rsidRPr="00B63BD5">
        <w:rPr>
          <w:lang w:val="fr-CA"/>
        </w:rPr>
        <w:t xml:space="preserve">les attestations des dirigeants, </w:t>
      </w:r>
      <w:r w:rsidR="0011404F" w:rsidRPr="00B63BD5">
        <w:rPr>
          <w:lang w:val="fr-CA"/>
        </w:rPr>
        <w:t xml:space="preserve">les certificats de conformité (ou les </w:t>
      </w:r>
      <w:r w:rsidRPr="00B63BD5">
        <w:rPr>
          <w:lang w:val="fr-CA"/>
        </w:rPr>
        <w:t>attestations d</w:t>
      </w:r>
      <w:r w:rsidR="0011404F" w:rsidRPr="00B63BD5">
        <w:rPr>
          <w:lang w:val="fr-CA"/>
        </w:rPr>
        <w:t>u</w:t>
      </w:r>
      <w:r w:rsidRPr="00B63BD5">
        <w:rPr>
          <w:lang w:val="fr-CA"/>
        </w:rPr>
        <w:t xml:space="preserve"> statut</w:t>
      </w:r>
      <w:r w:rsidR="0011404F" w:rsidRPr="00B63BD5">
        <w:rPr>
          <w:lang w:val="fr-CA"/>
        </w:rPr>
        <w:t xml:space="preserve"> juridique) </w:t>
      </w:r>
      <w:r w:rsidRPr="00B63BD5">
        <w:rPr>
          <w:lang w:val="fr-CA"/>
        </w:rPr>
        <w:t xml:space="preserve">et </w:t>
      </w:r>
      <w:r w:rsidR="0011404F" w:rsidRPr="00B63BD5">
        <w:rPr>
          <w:lang w:val="fr-CA"/>
        </w:rPr>
        <w:t xml:space="preserve">les </w:t>
      </w:r>
      <w:r w:rsidRPr="00B63BD5">
        <w:rPr>
          <w:lang w:val="fr-CA"/>
        </w:rPr>
        <w:t>autres attestations</w:t>
      </w:r>
      <w:r w:rsidR="00240538" w:rsidRPr="00B63BD5">
        <w:rPr>
          <w:lang w:val="fr-CA"/>
        </w:rPr>
        <w:t xml:space="preserve"> relatives à </w:t>
      </w:r>
      <w:r w:rsidRPr="00B63BD5">
        <w:rPr>
          <w:lang w:val="fr-CA"/>
        </w:rPr>
        <w:t xml:space="preserve">chaque </w:t>
      </w:r>
      <w:r w:rsidR="008121D8" w:rsidRPr="00B63BD5">
        <w:rPr>
          <w:lang w:val="fr-CA"/>
        </w:rPr>
        <w:t>Bénéficiaire du crédit</w:t>
      </w:r>
      <w:r w:rsidRPr="00B63BD5">
        <w:rPr>
          <w:lang w:val="fr-CA"/>
        </w:rPr>
        <w:t xml:space="preserve"> que la B</w:t>
      </w:r>
      <w:r w:rsidR="00AF6AE3" w:rsidRPr="00B63BD5">
        <w:rPr>
          <w:lang w:val="fr-CA"/>
        </w:rPr>
        <w:t>anque</w:t>
      </w:r>
      <w:r w:rsidRPr="00B63BD5">
        <w:rPr>
          <w:lang w:val="fr-CA"/>
        </w:rPr>
        <w:t xml:space="preserve"> </w:t>
      </w:r>
      <w:r w:rsidR="0046138F" w:rsidRPr="00B63BD5">
        <w:rPr>
          <w:lang w:val="fr-CA"/>
        </w:rPr>
        <w:t>pourrait</w:t>
      </w:r>
      <w:r w:rsidRPr="00B63BD5">
        <w:rPr>
          <w:lang w:val="fr-CA"/>
        </w:rPr>
        <w:t xml:space="preserve"> raisonnablement</w:t>
      </w:r>
      <w:r w:rsidR="00F356A3" w:rsidRPr="00B63BD5">
        <w:rPr>
          <w:lang w:val="fr-CA"/>
        </w:rPr>
        <w:t xml:space="preserve"> demander</w:t>
      </w:r>
      <w:r w:rsidR="00240538" w:rsidRPr="00B63BD5">
        <w:rPr>
          <w:lang w:val="fr-CA"/>
        </w:rPr>
        <w:t>,</w:t>
      </w:r>
      <w:r w:rsidRPr="00B63BD5">
        <w:rPr>
          <w:lang w:val="fr-CA"/>
        </w:rPr>
        <w:t xml:space="preserve"> qui confirment, entre autres choses, les documents constituti</w:t>
      </w:r>
      <w:r w:rsidR="00F356A3" w:rsidRPr="00B63BD5">
        <w:rPr>
          <w:lang w:val="fr-CA"/>
        </w:rPr>
        <w:t xml:space="preserve">fs </w:t>
      </w:r>
      <w:r w:rsidRPr="00B63BD5">
        <w:rPr>
          <w:lang w:val="fr-CA"/>
        </w:rPr>
        <w:t>de</w:t>
      </w:r>
      <w:r w:rsidR="007B2111" w:rsidRPr="00B63BD5">
        <w:rPr>
          <w:lang w:val="fr-CA"/>
        </w:rPr>
        <w:t xml:space="preserve"> </w:t>
      </w:r>
      <w:r w:rsidRPr="00B63BD5">
        <w:rPr>
          <w:lang w:val="fr-CA"/>
        </w:rPr>
        <w:t xml:space="preserve">chaque </w:t>
      </w:r>
      <w:r w:rsidR="008121D8" w:rsidRPr="00B63BD5">
        <w:rPr>
          <w:lang w:val="fr-CA"/>
        </w:rPr>
        <w:t>Bénéficiaire du crédit</w:t>
      </w:r>
      <w:r w:rsidRPr="00B63BD5">
        <w:rPr>
          <w:lang w:val="fr-CA"/>
        </w:rPr>
        <w:t>, les dirigeants en poste</w:t>
      </w:r>
      <w:r w:rsidR="00240538" w:rsidRPr="00B63BD5">
        <w:rPr>
          <w:lang w:val="fr-CA"/>
        </w:rPr>
        <w:t xml:space="preserve"> et l</w:t>
      </w:r>
      <w:r w:rsidRPr="00B63BD5">
        <w:rPr>
          <w:lang w:val="fr-CA"/>
        </w:rPr>
        <w:t>es spécimens de signature des</w:t>
      </w:r>
      <w:r w:rsidR="007F3BF2" w:rsidRPr="00B63BD5">
        <w:rPr>
          <w:lang w:val="fr-CA"/>
        </w:rPr>
        <w:t> </w:t>
      </w:r>
      <w:r w:rsidRPr="00B63BD5">
        <w:rPr>
          <w:lang w:val="fr-CA"/>
        </w:rPr>
        <w:t>signataires autorisés</w:t>
      </w:r>
      <w:r w:rsidR="00240538" w:rsidRPr="00B63BD5">
        <w:rPr>
          <w:lang w:val="fr-CA"/>
        </w:rPr>
        <w:t>,</w:t>
      </w:r>
      <w:r w:rsidRPr="00B63BD5">
        <w:rPr>
          <w:lang w:val="fr-CA"/>
        </w:rPr>
        <w:t xml:space="preserve"> et les résolutions applicables autorisant </w:t>
      </w:r>
      <w:r w:rsidR="00240538" w:rsidRPr="00B63BD5">
        <w:rPr>
          <w:lang w:val="fr-CA"/>
        </w:rPr>
        <w:t>la conclusion d</w:t>
      </w:r>
      <w:r w:rsidRPr="00B63BD5">
        <w:rPr>
          <w:lang w:val="fr-CA"/>
        </w:rPr>
        <w:t>es Documents de prêt, ainsi</w:t>
      </w:r>
      <w:r w:rsidR="005572EB" w:rsidRPr="00B63BD5">
        <w:rPr>
          <w:lang w:val="fr-CA"/>
        </w:rPr>
        <w:t xml:space="preserve"> qu</w:t>
      </w:r>
      <w:r w:rsidR="00564B0C" w:rsidRPr="00B63BD5">
        <w:rPr>
          <w:lang w:val="fr-CA"/>
        </w:rPr>
        <w:t>’</w:t>
      </w:r>
      <w:r w:rsidR="005572EB" w:rsidRPr="00B63BD5">
        <w:rPr>
          <w:lang w:val="fr-CA"/>
        </w:rPr>
        <w:t>un avis juridique</w:t>
      </w:r>
      <w:r w:rsidRPr="00B63BD5">
        <w:rPr>
          <w:lang w:val="fr-CA"/>
        </w:rPr>
        <w:t xml:space="preserve"> des avocats </w:t>
      </w:r>
      <w:r w:rsidR="00240538" w:rsidRPr="00B63BD5">
        <w:rPr>
          <w:lang w:val="fr-CA"/>
        </w:rPr>
        <w:t xml:space="preserve">de </w:t>
      </w:r>
      <w:r w:rsidRPr="00B63BD5">
        <w:rPr>
          <w:lang w:val="fr-CA"/>
        </w:rPr>
        <w:lastRenderedPageBreak/>
        <w:t xml:space="preserve">chaque </w:t>
      </w:r>
      <w:r w:rsidR="008121D8" w:rsidRPr="00B63BD5">
        <w:rPr>
          <w:lang w:val="fr-CA"/>
        </w:rPr>
        <w:t>Bénéficiaire du crédit</w:t>
      </w:r>
      <w:r w:rsidRPr="00B63BD5">
        <w:rPr>
          <w:lang w:val="fr-CA"/>
        </w:rPr>
        <w:t xml:space="preserve"> </w:t>
      </w:r>
      <w:r w:rsidR="00240538" w:rsidRPr="00B63BD5">
        <w:rPr>
          <w:lang w:val="fr-CA"/>
        </w:rPr>
        <w:t xml:space="preserve">qui </w:t>
      </w:r>
      <w:r w:rsidRPr="00B63BD5">
        <w:rPr>
          <w:lang w:val="fr-CA"/>
        </w:rPr>
        <w:t>confirm</w:t>
      </w:r>
      <w:r w:rsidR="00240538" w:rsidRPr="00B63BD5">
        <w:rPr>
          <w:lang w:val="fr-CA"/>
        </w:rPr>
        <w:t>e</w:t>
      </w:r>
      <w:r w:rsidRPr="00B63BD5">
        <w:rPr>
          <w:lang w:val="fr-CA"/>
        </w:rPr>
        <w:t xml:space="preserve"> </w:t>
      </w:r>
      <w:r w:rsidR="00F356A3" w:rsidRPr="00B63BD5">
        <w:rPr>
          <w:lang w:val="fr-CA"/>
        </w:rPr>
        <w:t>les</w:t>
      </w:r>
      <w:r w:rsidR="007B2111" w:rsidRPr="00B63BD5">
        <w:rPr>
          <w:lang w:val="fr-CA"/>
        </w:rPr>
        <w:t xml:space="preserve"> </w:t>
      </w:r>
      <w:r w:rsidR="00F356A3" w:rsidRPr="00B63BD5">
        <w:rPr>
          <w:lang w:val="fr-CA"/>
        </w:rPr>
        <w:t xml:space="preserve">pouvoirs et la capacité juridique </w:t>
      </w:r>
      <w:r w:rsidRPr="00B63BD5">
        <w:rPr>
          <w:lang w:val="fr-CA"/>
        </w:rPr>
        <w:t xml:space="preserve">de chaque </w:t>
      </w:r>
      <w:r w:rsidR="008121D8" w:rsidRPr="00B63BD5">
        <w:rPr>
          <w:lang w:val="fr-CA"/>
        </w:rPr>
        <w:t>Bénéficiaire du crédit</w:t>
      </w:r>
      <w:r w:rsidR="00240538" w:rsidRPr="00B63BD5">
        <w:rPr>
          <w:lang w:val="fr-CA"/>
        </w:rPr>
        <w:t>,</w:t>
      </w:r>
      <w:r w:rsidRPr="00B63BD5">
        <w:rPr>
          <w:lang w:val="fr-CA"/>
        </w:rPr>
        <w:t xml:space="preserve"> </w:t>
      </w:r>
      <w:r w:rsidR="00240538" w:rsidRPr="00B63BD5">
        <w:rPr>
          <w:lang w:val="fr-CA"/>
        </w:rPr>
        <w:t>l</w:t>
      </w:r>
      <w:r w:rsidR="00564B0C" w:rsidRPr="00B63BD5">
        <w:rPr>
          <w:lang w:val="fr-CA"/>
        </w:rPr>
        <w:t>’</w:t>
      </w:r>
      <w:r w:rsidRPr="00B63BD5">
        <w:rPr>
          <w:lang w:val="fr-CA"/>
        </w:rPr>
        <w:t>exist</w:t>
      </w:r>
      <w:r w:rsidR="00AF6AE3" w:rsidRPr="00B63BD5">
        <w:rPr>
          <w:lang w:val="fr-CA"/>
        </w:rPr>
        <w:t>e</w:t>
      </w:r>
      <w:r w:rsidRPr="00B63BD5">
        <w:rPr>
          <w:lang w:val="fr-CA"/>
        </w:rPr>
        <w:t>nce, la signature, la</w:t>
      </w:r>
      <w:r w:rsidR="007B2111" w:rsidRPr="00B63BD5">
        <w:rPr>
          <w:lang w:val="fr-CA"/>
        </w:rPr>
        <w:t xml:space="preserve"> </w:t>
      </w:r>
      <w:r w:rsidRPr="00B63BD5">
        <w:rPr>
          <w:lang w:val="fr-CA"/>
        </w:rPr>
        <w:t>remise et le caractère exécutoire des Documen</w:t>
      </w:r>
      <w:r w:rsidR="0085603F" w:rsidRPr="00B63BD5">
        <w:rPr>
          <w:lang w:val="fr-CA"/>
        </w:rPr>
        <w:t>t</w:t>
      </w:r>
      <w:r w:rsidRPr="00B63BD5">
        <w:rPr>
          <w:lang w:val="fr-CA"/>
        </w:rPr>
        <w:t xml:space="preserve">s de prêt auxquels </w:t>
      </w:r>
      <w:r w:rsidR="00240538" w:rsidRPr="00B63BD5">
        <w:rPr>
          <w:lang w:val="fr-CA"/>
        </w:rPr>
        <w:t>cel</w:t>
      </w:r>
      <w:r w:rsidR="008121D8" w:rsidRPr="00B63BD5">
        <w:rPr>
          <w:lang w:val="fr-CA"/>
        </w:rPr>
        <w:t>ui</w:t>
      </w:r>
      <w:r w:rsidR="00240538" w:rsidRPr="00B63BD5">
        <w:rPr>
          <w:lang w:val="fr-CA"/>
        </w:rPr>
        <w:noBreakHyphen/>
        <w:t xml:space="preserve">ci </w:t>
      </w:r>
      <w:r w:rsidRPr="00B63BD5">
        <w:rPr>
          <w:lang w:val="fr-CA"/>
        </w:rPr>
        <w:t>est partie et la priorité</w:t>
      </w:r>
      <w:r w:rsidR="00240538" w:rsidRPr="00B63BD5">
        <w:rPr>
          <w:lang w:val="fr-CA"/>
        </w:rPr>
        <w:t xml:space="preserve"> de rang</w:t>
      </w:r>
      <w:r w:rsidRPr="00B63BD5">
        <w:rPr>
          <w:lang w:val="fr-CA"/>
        </w:rPr>
        <w:t xml:space="preserve"> des </w:t>
      </w:r>
      <w:r w:rsidR="00A67839" w:rsidRPr="00B63BD5">
        <w:rPr>
          <w:lang w:val="fr-CA"/>
        </w:rPr>
        <w:t xml:space="preserve">Charges </w:t>
      </w:r>
      <w:r w:rsidR="00240538" w:rsidRPr="00B63BD5">
        <w:rPr>
          <w:lang w:val="fr-CA"/>
        </w:rPr>
        <w:t>qu</w:t>
      </w:r>
      <w:r w:rsidR="00564B0C" w:rsidRPr="00B63BD5">
        <w:rPr>
          <w:lang w:val="fr-CA"/>
        </w:rPr>
        <w:t>’</w:t>
      </w:r>
      <w:r w:rsidR="008121D8" w:rsidRPr="00B63BD5">
        <w:rPr>
          <w:lang w:val="fr-CA"/>
        </w:rPr>
        <w:t xml:space="preserve">il </w:t>
      </w:r>
      <w:r w:rsidR="00240538" w:rsidRPr="00B63BD5">
        <w:rPr>
          <w:lang w:val="fr-CA"/>
        </w:rPr>
        <w:t>a</w:t>
      </w:r>
      <w:r w:rsidRPr="00B63BD5">
        <w:rPr>
          <w:lang w:val="fr-CA"/>
        </w:rPr>
        <w:t xml:space="preserve"> octroyées à la Banque;</w:t>
      </w:r>
    </w:p>
    <w:p w14:paraId="3A995E51" w14:textId="6621059D" w:rsidR="00D60BD4" w:rsidRPr="00B63BD5" w:rsidRDefault="00097724" w:rsidP="000B7739">
      <w:pPr>
        <w:pStyle w:val="04LOLglNew3"/>
        <w:rPr>
          <w:lang w:val="fr-CA"/>
        </w:rPr>
      </w:pPr>
      <w:r w:rsidRPr="00B63BD5">
        <w:rPr>
          <w:lang w:val="fr-CA"/>
        </w:rPr>
        <w:t>(</w:t>
      </w:r>
      <w:r w:rsidR="005C4E98" w:rsidRPr="00B63BD5">
        <w:rPr>
          <w:lang w:val="fr-CA"/>
        </w:rPr>
        <w:t xml:space="preserve">i) </w:t>
      </w:r>
      <w:r w:rsidR="00D60BD4" w:rsidRPr="00B63BD5">
        <w:rPr>
          <w:lang w:val="fr-CA"/>
        </w:rPr>
        <w:t>une assurance de titres d</w:t>
      </w:r>
      <w:r w:rsidR="00564B0C" w:rsidRPr="00B63BD5">
        <w:rPr>
          <w:lang w:val="fr-CA"/>
        </w:rPr>
        <w:t>’</w:t>
      </w:r>
      <w:r w:rsidR="00D60BD4" w:rsidRPr="00B63BD5">
        <w:rPr>
          <w:lang w:val="fr-CA"/>
        </w:rPr>
        <w:t>un montant et souscrite auprès d</w:t>
      </w:r>
      <w:r w:rsidR="00564B0C" w:rsidRPr="00B63BD5">
        <w:rPr>
          <w:lang w:val="fr-CA"/>
        </w:rPr>
        <w:t>’</w:t>
      </w:r>
      <w:r w:rsidR="00D60BD4" w:rsidRPr="00B63BD5">
        <w:rPr>
          <w:lang w:val="fr-CA"/>
        </w:rPr>
        <w:t>un assureur que la Banque juge</w:t>
      </w:r>
      <w:r w:rsidR="007F3BF2" w:rsidRPr="00B63BD5">
        <w:rPr>
          <w:lang w:val="fr-CA"/>
        </w:rPr>
        <w:t> </w:t>
      </w:r>
      <w:r w:rsidR="00D60BD4" w:rsidRPr="00B63BD5">
        <w:rPr>
          <w:lang w:val="fr-CA"/>
        </w:rPr>
        <w:t>acceptables relativement au droit de propriété de la Propriété ou</w:t>
      </w:r>
      <w:r w:rsidR="005C4E98" w:rsidRPr="00B63BD5">
        <w:rPr>
          <w:lang w:val="fr-CA"/>
        </w:rPr>
        <w:t xml:space="preserve"> </w:t>
      </w:r>
      <w:r w:rsidRPr="00B63BD5">
        <w:rPr>
          <w:lang w:val="fr-CA"/>
        </w:rPr>
        <w:t>(</w:t>
      </w:r>
      <w:r w:rsidR="005C4E98" w:rsidRPr="00B63BD5">
        <w:rPr>
          <w:lang w:val="fr-CA"/>
        </w:rPr>
        <w:t>ii)</w:t>
      </w:r>
      <w:r w:rsidR="00D60BD4" w:rsidRPr="00B63BD5">
        <w:rPr>
          <w:lang w:val="fr-CA"/>
        </w:rPr>
        <w:t xml:space="preserve"> l</w:t>
      </w:r>
      <w:r w:rsidR="00564B0C" w:rsidRPr="00B63BD5">
        <w:rPr>
          <w:lang w:val="fr-CA"/>
        </w:rPr>
        <w:t>’</w:t>
      </w:r>
      <w:r w:rsidR="00D60BD4" w:rsidRPr="00B63BD5">
        <w:rPr>
          <w:lang w:val="fr-CA"/>
        </w:rPr>
        <w:t>avis de conseillers juridiques que la Banque juge acceptables, lequel est adressé à la Banque et confirme le</w:t>
      </w:r>
      <w:r w:rsidR="007F3BF2" w:rsidRPr="00B63BD5">
        <w:rPr>
          <w:lang w:val="fr-CA"/>
        </w:rPr>
        <w:t> </w:t>
      </w:r>
      <w:r w:rsidR="00D60BD4" w:rsidRPr="00B63BD5">
        <w:rPr>
          <w:lang w:val="fr-CA"/>
        </w:rPr>
        <w:t>titre</w:t>
      </w:r>
      <w:r w:rsidR="007F3BF2" w:rsidRPr="00B63BD5">
        <w:rPr>
          <w:lang w:val="fr-CA"/>
        </w:rPr>
        <w:t> </w:t>
      </w:r>
      <w:r w:rsidR="00D60BD4" w:rsidRPr="00B63BD5">
        <w:rPr>
          <w:lang w:val="fr-CA"/>
        </w:rPr>
        <w:t>de</w:t>
      </w:r>
      <w:r w:rsidR="007F3BF2" w:rsidRPr="00B63BD5">
        <w:rPr>
          <w:lang w:val="fr-CA"/>
        </w:rPr>
        <w:t> </w:t>
      </w:r>
      <w:r w:rsidR="00D60BD4" w:rsidRPr="00B63BD5">
        <w:rPr>
          <w:lang w:val="fr-CA"/>
        </w:rPr>
        <w:t>propriété de la Propriété grevée par l</w:t>
      </w:r>
      <w:r w:rsidR="00564B0C" w:rsidRPr="00B63BD5">
        <w:rPr>
          <w:lang w:val="fr-CA"/>
        </w:rPr>
        <w:t>’</w:t>
      </w:r>
      <w:r w:rsidR="00D60BD4" w:rsidRPr="00B63BD5">
        <w:rPr>
          <w:lang w:val="fr-CA"/>
        </w:rPr>
        <w:t>Hypothèque et le premier rang de l</w:t>
      </w:r>
      <w:r w:rsidR="00564B0C" w:rsidRPr="00B63BD5">
        <w:rPr>
          <w:lang w:val="fr-CA"/>
        </w:rPr>
        <w:t>’</w:t>
      </w:r>
      <w:r w:rsidR="00D60BD4" w:rsidRPr="00B63BD5">
        <w:rPr>
          <w:lang w:val="fr-CA"/>
        </w:rPr>
        <w:t>Hypothèque, sous réserve seulement des Charges</w:t>
      </w:r>
      <w:r w:rsidR="00363F9D" w:rsidRPr="00B63BD5">
        <w:rPr>
          <w:lang w:val="fr-CA"/>
        </w:rPr>
        <w:t> </w:t>
      </w:r>
      <w:r w:rsidR="00D60BD4" w:rsidRPr="00B63BD5">
        <w:rPr>
          <w:lang w:val="fr-CA"/>
        </w:rPr>
        <w:t>autorisées;</w:t>
      </w:r>
    </w:p>
    <w:p w14:paraId="1D221492" w14:textId="68A3763F" w:rsidR="00413A5B" w:rsidRPr="00B63BD5" w:rsidRDefault="00413A5B" w:rsidP="00632863">
      <w:pPr>
        <w:spacing w:after="240"/>
        <w:jc w:val="both"/>
        <w:rPr>
          <w:b/>
          <w:color w:val="00B0F0"/>
          <w:lang w:val="fr-CA"/>
        </w:rPr>
      </w:pPr>
      <w:r w:rsidRPr="00B63BD5">
        <w:rPr>
          <w:b/>
          <w:color w:val="00B0F0"/>
          <w:lang w:val="fr-CA"/>
        </w:rPr>
        <w:t>[N.B.</w:t>
      </w:r>
      <w:r w:rsidR="00AC4107" w:rsidRPr="00B63BD5">
        <w:rPr>
          <w:b/>
          <w:color w:val="00B0F0"/>
          <w:lang w:val="fr-CA"/>
        </w:rPr>
        <w:t xml:space="preserve"> </w:t>
      </w:r>
      <w:r w:rsidRPr="00B63BD5">
        <w:rPr>
          <w:b/>
          <w:color w:val="00B0F0"/>
          <w:lang w:val="fr-CA"/>
        </w:rPr>
        <w:t xml:space="preserve">: </w:t>
      </w:r>
      <w:r w:rsidR="00182268" w:rsidRPr="00B63BD5">
        <w:rPr>
          <w:b/>
          <w:color w:val="00B0F0"/>
          <w:lang w:val="fr-CA"/>
        </w:rPr>
        <w:t>L</w:t>
      </w:r>
      <w:r w:rsidR="00564B0C" w:rsidRPr="00B63BD5">
        <w:rPr>
          <w:b/>
          <w:color w:val="00B0F0"/>
          <w:lang w:val="fr-CA"/>
        </w:rPr>
        <w:t>’</w:t>
      </w:r>
      <w:r w:rsidR="00182268" w:rsidRPr="00B63BD5">
        <w:rPr>
          <w:b/>
          <w:color w:val="00B0F0"/>
          <w:lang w:val="fr-CA"/>
        </w:rPr>
        <w:t>alinéa</w:t>
      </w:r>
      <w:r w:rsidR="00AC4107" w:rsidRPr="00B63BD5">
        <w:rPr>
          <w:b/>
          <w:color w:val="00B0F0"/>
          <w:lang w:val="fr-CA"/>
        </w:rPr>
        <w:t xml:space="preserve"> </w:t>
      </w:r>
      <w:r w:rsidR="00685412">
        <w:rPr>
          <w:b/>
          <w:color w:val="00B0F0"/>
          <w:lang w:val="fr-CA"/>
        </w:rPr>
        <w:t>bb</w:t>
      </w:r>
      <w:r w:rsidRPr="00B63BD5">
        <w:rPr>
          <w:b/>
          <w:color w:val="00B0F0"/>
          <w:lang w:val="fr-CA"/>
        </w:rPr>
        <w:t xml:space="preserve">) est obligatoire </w:t>
      </w:r>
      <w:r w:rsidR="00182268" w:rsidRPr="00B63BD5">
        <w:rPr>
          <w:b/>
          <w:color w:val="00B0F0"/>
          <w:lang w:val="fr-CA"/>
        </w:rPr>
        <w:t>et ne d</w:t>
      </w:r>
      <w:r w:rsidR="00E4549F" w:rsidRPr="00B63BD5">
        <w:rPr>
          <w:b/>
          <w:color w:val="00B0F0"/>
          <w:lang w:val="fr-CA"/>
        </w:rPr>
        <w:t>oit</w:t>
      </w:r>
      <w:r w:rsidR="00182268" w:rsidRPr="00B63BD5">
        <w:rPr>
          <w:b/>
          <w:color w:val="00B0F0"/>
          <w:lang w:val="fr-CA"/>
        </w:rPr>
        <w:t xml:space="preserve"> pas être supprimé</w:t>
      </w:r>
      <w:r w:rsidRPr="00B63BD5">
        <w:rPr>
          <w:b/>
          <w:color w:val="00B0F0"/>
          <w:lang w:val="fr-CA"/>
        </w:rPr>
        <w:t>.]</w:t>
      </w:r>
    </w:p>
    <w:p w14:paraId="3F7BD8D1" w14:textId="7EE5CCDC" w:rsidR="009926E7" w:rsidRPr="00B63BD5" w:rsidRDefault="00AF6AE3" w:rsidP="000B7739">
      <w:pPr>
        <w:pStyle w:val="04LOLglNew3"/>
        <w:rPr>
          <w:lang w:val="fr-CA"/>
        </w:rPr>
      </w:pPr>
      <w:r w:rsidRPr="00B63BD5">
        <w:rPr>
          <w:lang w:val="fr-CA"/>
        </w:rPr>
        <w:t>les autres Documents de prêt que la B</w:t>
      </w:r>
      <w:r w:rsidR="00F17E37" w:rsidRPr="00B63BD5">
        <w:rPr>
          <w:lang w:val="fr-CA"/>
        </w:rPr>
        <w:t>anque</w:t>
      </w:r>
      <w:r w:rsidRPr="00B63BD5">
        <w:rPr>
          <w:lang w:val="fr-CA"/>
        </w:rPr>
        <w:t xml:space="preserve"> </w:t>
      </w:r>
      <w:r w:rsidR="0046138F" w:rsidRPr="00B63BD5">
        <w:rPr>
          <w:lang w:val="fr-CA"/>
        </w:rPr>
        <w:t>pourrait</w:t>
      </w:r>
      <w:r w:rsidRPr="00B63BD5">
        <w:rPr>
          <w:lang w:val="fr-CA"/>
        </w:rPr>
        <w:t xml:space="preserve"> raisonnablement </w:t>
      </w:r>
      <w:r w:rsidR="00F356A3" w:rsidRPr="00B63BD5">
        <w:rPr>
          <w:lang w:val="fr-CA"/>
        </w:rPr>
        <w:t xml:space="preserve">demander </w:t>
      </w:r>
      <w:r w:rsidR="00F827C2" w:rsidRPr="00B63BD5">
        <w:rPr>
          <w:lang w:val="fr-CA"/>
        </w:rPr>
        <w:t xml:space="preserve">ou exiger </w:t>
      </w:r>
      <w:r w:rsidRPr="00B63BD5">
        <w:rPr>
          <w:lang w:val="fr-CA"/>
        </w:rPr>
        <w:t xml:space="preserve">afin </w:t>
      </w:r>
      <w:r w:rsidR="005572EB" w:rsidRPr="00B63BD5">
        <w:rPr>
          <w:lang w:val="fr-CA"/>
        </w:rPr>
        <w:t>de</w:t>
      </w:r>
      <w:r w:rsidR="00A712B4" w:rsidRPr="00B63BD5">
        <w:rPr>
          <w:lang w:val="fr-CA"/>
        </w:rPr>
        <w:t> </w:t>
      </w:r>
      <w:r w:rsidR="005572EB" w:rsidRPr="00B63BD5">
        <w:rPr>
          <w:lang w:val="fr-CA"/>
        </w:rPr>
        <w:t xml:space="preserve">publier </w:t>
      </w:r>
      <w:r w:rsidRPr="00B63BD5">
        <w:rPr>
          <w:lang w:val="fr-CA"/>
        </w:rPr>
        <w:t xml:space="preserve">les </w:t>
      </w:r>
      <w:r w:rsidR="00A67839" w:rsidRPr="00B63BD5">
        <w:rPr>
          <w:lang w:val="fr-CA"/>
        </w:rPr>
        <w:t>Charges</w:t>
      </w:r>
      <w:r w:rsidR="00D60BD4" w:rsidRPr="00B63BD5">
        <w:rPr>
          <w:lang w:val="fr-CA"/>
        </w:rPr>
        <w:t xml:space="preserve"> </w:t>
      </w:r>
      <w:r w:rsidR="00FE3E54" w:rsidRPr="00B63BD5">
        <w:rPr>
          <w:lang w:val="fr-CA"/>
        </w:rPr>
        <w:t xml:space="preserve">qui lui ont été </w:t>
      </w:r>
      <w:r w:rsidRPr="00B63BD5">
        <w:rPr>
          <w:lang w:val="fr-CA"/>
        </w:rPr>
        <w:t>octroyées</w:t>
      </w:r>
      <w:r w:rsidR="00F356A3" w:rsidRPr="00B63BD5">
        <w:rPr>
          <w:lang w:val="fr-CA"/>
        </w:rPr>
        <w:t xml:space="preserve"> ou de les rendre opposables aux tiers</w:t>
      </w:r>
      <w:r w:rsidR="009926E7" w:rsidRPr="00B63BD5">
        <w:rPr>
          <w:lang w:val="fr-CA"/>
        </w:rPr>
        <w:t>.</w:t>
      </w:r>
    </w:p>
    <w:p w14:paraId="0D39911C" w14:textId="664F7137" w:rsidR="009926E7" w:rsidRPr="00B63BD5" w:rsidRDefault="002F781B" w:rsidP="00D33630">
      <w:pPr>
        <w:pStyle w:val="04LOLglNew2"/>
      </w:pPr>
      <w:r w:rsidRPr="00B63BD5">
        <w:t>Enregistrement</w:t>
      </w:r>
      <w:r w:rsidR="00FE3E54" w:rsidRPr="00B63BD5">
        <w:t>,</w:t>
      </w:r>
      <w:r w:rsidRPr="00B63BD5">
        <w:t xml:space="preserve"> priorité et honoraires des conseillers</w:t>
      </w:r>
      <w:r w:rsidR="00FE3E54" w:rsidRPr="00B63BD5">
        <w:t xml:space="preserve"> juridiques</w:t>
      </w:r>
    </w:p>
    <w:p w14:paraId="7480A813" w14:textId="51C8248F" w:rsidR="009926E7" w:rsidRPr="00B63BD5" w:rsidRDefault="002F781B" w:rsidP="00632863">
      <w:pPr>
        <w:spacing w:after="240"/>
        <w:jc w:val="both"/>
        <w:rPr>
          <w:lang w:val="fr-CA"/>
        </w:rPr>
      </w:pPr>
      <w:r w:rsidRPr="00B63BD5">
        <w:rPr>
          <w:lang w:val="fr-CA"/>
        </w:rPr>
        <w:t>Les Documents de prêt (ou l</w:t>
      </w:r>
      <w:r w:rsidR="00564B0C" w:rsidRPr="00B63BD5">
        <w:rPr>
          <w:lang w:val="fr-CA"/>
        </w:rPr>
        <w:t>’</w:t>
      </w:r>
      <w:r w:rsidRPr="00B63BD5">
        <w:rPr>
          <w:lang w:val="fr-CA"/>
        </w:rPr>
        <w:t>avis s</w:t>
      </w:r>
      <w:r w:rsidR="00564B0C" w:rsidRPr="00B63BD5">
        <w:rPr>
          <w:lang w:val="fr-CA"/>
        </w:rPr>
        <w:t>’</w:t>
      </w:r>
      <w:r w:rsidRPr="00B63BD5">
        <w:rPr>
          <w:lang w:val="fr-CA"/>
        </w:rPr>
        <w:t xml:space="preserve">y </w:t>
      </w:r>
      <w:r w:rsidR="00067E69" w:rsidRPr="00B63BD5">
        <w:rPr>
          <w:lang w:val="fr-CA"/>
        </w:rPr>
        <w:t>rapportant</w:t>
      </w:r>
      <w:r w:rsidR="007C791D" w:rsidRPr="00B63BD5">
        <w:rPr>
          <w:lang w:val="fr-CA"/>
        </w:rPr>
        <w:t>)</w:t>
      </w:r>
      <w:r w:rsidRPr="00B63BD5">
        <w:rPr>
          <w:lang w:val="fr-CA"/>
        </w:rPr>
        <w:t xml:space="preserve"> </w:t>
      </w:r>
      <w:r w:rsidR="00F356A3" w:rsidRPr="00B63BD5">
        <w:rPr>
          <w:lang w:val="fr-CA"/>
        </w:rPr>
        <w:t xml:space="preserve">doivent être publiés </w:t>
      </w:r>
      <w:r w:rsidRPr="00B63BD5">
        <w:rPr>
          <w:lang w:val="fr-CA"/>
        </w:rPr>
        <w:t>dans tous les territoires et auprès de</w:t>
      </w:r>
      <w:r w:rsidR="00A712B4" w:rsidRPr="00B63BD5">
        <w:rPr>
          <w:lang w:val="fr-CA"/>
        </w:rPr>
        <w:t> </w:t>
      </w:r>
      <w:r w:rsidRPr="00B63BD5">
        <w:rPr>
          <w:lang w:val="fr-CA"/>
        </w:rPr>
        <w:t>tous les bureaux d</w:t>
      </w:r>
      <w:r w:rsidR="00564B0C" w:rsidRPr="00B63BD5">
        <w:rPr>
          <w:lang w:val="fr-CA"/>
        </w:rPr>
        <w:t>’</w:t>
      </w:r>
      <w:r w:rsidRPr="00B63BD5">
        <w:rPr>
          <w:lang w:val="fr-CA"/>
        </w:rPr>
        <w:t>enregistrement</w:t>
      </w:r>
      <w:r w:rsidR="00052CB0" w:rsidRPr="00B63BD5">
        <w:rPr>
          <w:lang w:val="fr-CA"/>
        </w:rPr>
        <w:t>,</w:t>
      </w:r>
      <w:r w:rsidRPr="00B63BD5">
        <w:rPr>
          <w:lang w:val="fr-CA"/>
        </w:rPr>
        <w:t xml:space="preserve"> </w:t>
      </w:r>
      <w:r w:rsidR="00E36877" w:rsidRPr="00B63BD5">
        <w:rPr>
          <w:lang w:val="fr-CA"/>
        </w:rPr>
        <w:t xml:space="preserve">selon ce que </w:t>
      </w:r>
      <w:r w:rsidRPr="00B63BD5">
        <w:rPr>
          <w:lang w:val="fr-CA"/>
        </w:rPr>
        <w:t>la Banque</w:t>
      </w:r>
      <w:r w:rsidR="00E36877" w:rsidRPr="00B63BD5">
        <w:rPr>
          <w:lang w:val="fr-CA"/>
        </w:rPr>
        <w:t xml:space="preserve"> juge </w:t>
      </w:r>
      <w:r w:rsidRPr="00B63BD5">
        <w:rPr>
          <w:lang w:val="fr-CA"/>
        </w:rPr>
        <w:t xml:space="preserve">nécessaire ou </w:t>
      </w:r>
      <w:r w:rsidR="00E36877" w:rsidRPr="00B63BD5">
        <w:rPr>
          <w:lang w:val="fr-CA"/>
        </w:rPr>
        <w:t xml:space="preserve">utile </w:t>
      </w:r>
      <w:r w:rsidR="00052CB0" w:rsidRPr="00B63BD5">
        <w:rPr>
          <w:lang w:val="fr-CA"/>
        </w:rPr>
        <w:t xml:space="preserve">afin de </w:t>
      </w:r>
      <w:r w:rsidRPr="00B63BD5">
        <w:rPr>
          <w:lang w:val="fr-CA"/>
        </w:rPr>
        <w:t>protéger ses</w:t>
      </w:r>
      <w:r w:rsidR="00A712B4" w:rsidRPr="00B63BD5">
        <w:rPr>
          <w:lang w:val="fr-CA"/>
        </w:rPr>
        <w:t> </w:t>
      </w:r>
      <w:r w:rsidR="00A67839" w:rsidRPr="00B63BD5">
        <w:rPr>
          <w:lang w:val="fr-CA"/>
        </w:rPr>
        <w:t>Charges</w:t>
      </w:r>
      <w:r w:rsidR="00F356A3" w:rsidRPr="00B63BD5">
        <w:rPr>
          <w:lang w:val="fr-CA"/>
        </w:rPr>
        <w:t xml:space="preserve"> ou de les rendre opposables aux tiers</w:t>
      </w:r>
      <w:r w:rsidRPr="00B63BD5">
        <w:rPr>
          <w:lang w:val="fr-CA"/>
        </w:rPr>
        <w:t xml:space="preserve">. Les </w:t>
      </w:r>
      <w:r w:rsidR="00A67839" w:rsidRPr="00B63BD5">
        <w:rPr>
          <w:lang w:val="fr-CA"/>
        </w:rPr>
        <w:t>Charges</w:t>
      </w:r>
      <w:r w:rsidR="00406CC6" w:rsidRPr="00B63BD5">
        <w:rPr>
          <w:lang w:val="fr-CA"/>
        </w:rPr>
        <w:t xml:space="preserve"> </w:t>
      </w:r>
      <w:r w:rsidRPr="00B63BD5">
        <w:rPr>
          <w:lang w:val="fr-CA"/>
        </w:rPr>
        <w:t>de la B</w:t>
      </w:r>
      <w:r w:rsidR="007C791D" w:rsidRPr="00B63BD5">
        <w:rPr>
          <w:lang w:val="fr-CA"/>
        </w:rPr>
        <w:t>anque</w:t>
      </w:r>
      <w:r w:rsidRPr="00B63BD5">
        <w:rPr>
          <w:lang w:val="fr-CA"/>
        </w:rPr>
        <w:t xml:space="preserve"> ont priorité de rang sur</w:t>
      </w:r>
      <w:r w:rsidR="00A712B4" w:rsidRPr="00B63BD5">
        <w:rPr>
          <w:lang w:val="fr-CA"/>
        </w:rPr>
        <w:t> </w:t>
      </w:r>
      <w:r w:rsidR="005572EB" w:rsidRPr="00B63BD5">
        <w:rPr>
          <w:lang w:val="fr-CA"/>
        </w:rPr>
        <w:t xml:space="preserve">toutes </w:t>
      </w:r>
      <w:r w:rsidRPr="00B63BD5">
        <w:rPr>
          <w:lang w:val="fr-CA"/>
        </w:rPr>
        <w:t xml:space="preserve">les autres </w:t>
      </w:r>
      <w:r w:rsidR="00036FF8" w:rsidRPr="00B63BD5">
        <w:rPr>
          <w:lang w:val="fr-CA"/>
        </w:rPr>
        <w:t>Charges</w:t>
      </w:r>
      <w:r w:rsidRPr="00B63BD5">
        <w:rPr>
          <w:lang w:val="fr-CA"/>
        </w:rPr>
        <w:t xml:space="preserve">, sous réserve </w:t>
      </w:r>
      <w:r w:rsidR="00036FF8" w:rsidRPr="00B63BD5">
        <w:rPr>
          <w:lang w:val="fr-CA"/>
        </w:rPr>
        <w:t xml:space="preserve">uniquement </w:t>
      </w:r>
      <w:r w:rsidRPr="00B63BD5">
        <w:rPr>
          <w:lang w:val="fr-CA"/>
        </w:rPr>
        <w:t xml:space="preserve">des </w:t>
      </w:r>
      <w:r w:rsidR="002C3BC6" w:rsidRPr="00B63BD5">
        <w:rPr>
          <w:lang w:val="fr-CA"/>
        </w:rPr>
        <w:t>Charges autorisées</w:t>
      </w:r>
      <w:r w:rsidRPr="00B63BD5">
        <w:rPr>
          <w:lang w:val="fr-CA"/>
        </w:rPr>
        <w:t>. L</w:t>
      </w:r>
      <w:r w:rsidR="00564B0C" w:rsidRPr="00B63BD5">
        <w:rPr>
          <w:lang w:val="fr-CA"/>
        </w:rPr>
        <w:t>’</w:t>
      </w:r>
      <w:r w:rsidRPr="00B63BD5">
        <w:rPr>
          <w:lang w:val="fr-CA"/>
        </w:rPr>
        <w:t>E</w:t>
      </w:r>
      <w:r w:rsidR="007C791D" w:rsidRPr="00B63BD5">
        <w:rPr>
          <w:lang w:val="fr-CA"/>
        </w:rPr>
        <w:t>mprunteur</w:t>
      </w:r>
      <w:r w:rsidRPr="00B63BD5">
        <w:rPr>
          <w:lang w:val="fr-CA"/>
        </w:rPr>
        <w:t xml:space="preserve"> doit </w:t>
      </w:r>
      <w:r w:rsidR="00052CB0" w:rsidRPr="00B63BD5">
        <w:rPr>
          <w:lang w:val="fr-CA"/>
        </w:rPr>
        <w:t xml:space="preserve">payer </w:t>
      </w:r>
      <w:r w:rsidRPr="00B63BD5">
        <w:rPr>
          <w:lang w:val="fr-CA"/>
        </w:rPr>
        <w:t xml:space="preserve">tous les </w:t>
      </w:r>
      <w:r w:rsidR="00E36877" w:rsidRPr="00B63BD5">
        <w:rPr>
          <w:lang w:val="fr-CA"/>
        </w:rPr>
        <w:t>honoraires et les</w:t>
      </w:r>
      <w:r w:rsidRPr="00B63BD5">
        <w:rPr>
          <w:lang w:val="fr-CA"/>
        </w:rPr>
        <w:t xml:space="preserve"> débours</w:t>
      </w:r>
      <w:r w:rsidR="00E36877" w:rsidRPr="00B63BD5">
        <w:rPr>
          <w:lang w:val="fr-CA"/>
        </w:rPr>
        <w:t xml:space="preserve"> </w:t>
      </w:r>
      <w:r w:rsidR="00F356A3" w:rsidRPr="00B63BD5">
        <w:rPr>
          <w:lang w:val="fr-CA"/>
        </w:rPr>
        <w:t xml:space="preserve">engagés </w:t>
      </w:r>
      <w:r w:rsidR="00E36877" w:rsidRPr="00B63BD5">
        <w:rPr>
          <w:lang w:val="fr-CA"/>
        </w:rPr>
        <w:t xml:space="preserve">par </w:t>
      </w:r>
      <w:r w:rsidRPr="00B63BD5">
        <w:rPr>
          <w:lang w:val="fr-CA"/>
        </w:rPr>
        <w:t>les conseillers juridiques de la B</w:t>
      </w:r>
      <w:r w:rsidR="007C791D" w:rsidRPr="00B63BD5">
        <w:rPr>
          <w:lang w:val="fr-CA"/>
        </w:rPr>
        <w:t>anque</w:t>
      </w:r>
      <w:r w:rsidRPr="00B63BD5">
        <w:rPr>
          <w:lang w:val="fr-CA"/>
        </w:rPr>
        <w:t xml:space="preserve"> </w:t>
      </w:r>
      <w:r w:rsidR="00052CB0" w:rsidRPr="00B63BD5">
        <w:rPr>
          <w:lang w:val="fr-CA"/>
        </w:rPr>
        <w:t>relativement à</w:t>
      </w:r>
      <w:r w:rsidR="00A712B4" w:rsidRPr="00B63BD5">
        <w:rPr>
          <w:lang w:val="fr-CA"/>
        </w:rPr>
        <w:t> </w:t>
      </w:r>
      <w:r w:rsidRPr="00B63BD5">
        <w:rPr>
          <w:lang w:val="fr-CA"/>
        </w:rPr>
        <w:t>la</w:t>
      </w:r>
      <w:r w:rsidR="00A712B4" w:rsidRPr="00B63BD5">
        <w:rPr>
          <w:lang w:val="fr-CA"/>
        </w:rPr>
        <w:t> </w:t>
      </w:r>
      <w:r w:rsidRPr="00B63BD5">
        <w:rPr>
          <w:lang w:val="fr-CA"/>
        </w:rPr>
        <w:t xml:space="preserve">négociation, </w:t>
      </w:r>
      <w:r w:rsidR="00052CB0" w:rsidRPr="00B63BD5">
        <w:rPr>
          <w:lang w:val="fr-CA"/>
        </w:rPr>
        <w:t xml:space="preserve">à </w:t>
      </w:r>
      <w:r w:rsidRPr="00B63BD5">
        <w:rPr>
          <w:lang w:val="fr-CA"/>
        </w:rPr>
        <w:t xml:space="preserve">la mise en œuvre et </w:t>
      </w:r>
      <w:r w:rsidR="00052CB0" w:rsidRPr="00B63BD5">
        <w:rPr>
          <w:lang w:val="fr-CA"/>
        </w:rPr>
        <w:t>à</w:t>
      </w:r>
      <w:r w:rsidR="00363F9D" w:rsidRPr="00B63BD5">
        <w:rPr>
          <w:lang w:val="fr-CA"/>
        </w:rPr>
        <w:t> </w:t>
      </w:r>
      <w:r w:rsidR="00F356A3" w:rsidRPr="00B63BD5">
        <w:rPr>
          <w:lang w:val="fr-CA"/>
        </w:rPr>
        <w:t>l</w:t>
      </w:r>
      <w:r w:rsidR="00564B0C" w:rsidRPr="00B63BD5">
        <w:rPr>
          <w:lang w:val="fr-CA"/>
        </w:rPr>
        <w:t>’</w:t>
      </w:r>
      <w:r w:rsidR="00F356A3" w:rsidRPr="00B63BD5">
        <w:rPr>
          <w:lang w:val="fr-CA"/>
        </w:rPr>
        <w:t xml:space="preserve">application </w:t>
      </w:r>
      <w:r w:rsidRPr="00B63BD5">
        <w:rPr>
          <w:lang w:val="fr-CA"/>
        </w:rPr>
        <w:t>des F</w:t>
      </w:r>
      <w:r w:rsidR="007C791D" w:rsidRPr="00B63BD5">
        <w:rPr>
          <w:lang w:val="fr-CA"/>
        </w:rPr>
        <w:t>acilités</w:t>
      </w:r>
      <w:r w:rsidRPr="00B63BD5">
        <w:rPr>
          <w:lang w:val="fr-CA"/>
        </w:rPr>
        <w:t xml:space="preserve"> de crédit, y compris les frais engagés pour </w:t>
      </w:r>
      <w:r w:rsidR="00F356A3" w:rsidRPr="00B63BD5">
        <w:rPr>
          <w:lang w:val="fr-CA"/>
        </w:rPr>
        <w:t xml:space="preserve">publier </w:t>
      </w:r>
      <w:r w:rsidRPr="00B63BD5">
        <w:rPr>
          <w:lang w:val="fr-CA"/>
        </w:rPr>
        <w:t>les Documents de prêt</w:t>
      </w:r>
      <w:r w:rsidR="00612B12" w:rsidRPr="00B63BD5">
        <w:rPr>
          <w:lang w:val="fr-CA"/>
        </w:rPr>
        <w:t xml:space="preserve"> ou les rendre opposables aux tiers</w:t>
      </w:r>
      <w:r w:rsidRPr="00B63BD5">
        <w:rPr>
          <w:lang w:val="fr-CA"/>
        </w:rPr>
        <w:t>.</w:t>
      </w:r>
    </w:p>
    <w:p w14:paraId="5A8B417A" w14:textId="27829EC8" w:rsidR="00A64CE8" w:rsidRPr="00B63BD5" w:rsidRDefault="00A64CE8" w:rsidP="00632863">
      <w:pPr>
        <w:spacing w:after="240"/>
        <w:jc w:val="both"/>
        <w:rPr>
          <w:b/>
          <w:color w:val="00B0F0"/>
          <w:lang w:val="fr-CA"/>
        </w:rPr>
      </w:pPr>
      <w:r w:rsidRPr="00B63BD5">
        <w:rPr>
          <w:b/>
          <w:color w:val="00B0F0"/>
          <w:lang w:val="fr-CA"/>
        </w:rPr>
        <w:t>[N.B.</w:t>
      </w:r>
      <w:r w:rsidR="00AC4107" w:rsidRPr="00B63BD5">
        <w:rPr>
          <w:b/>
          <w:color w:val="00B0F0"/>
          <w:lang w:val="fr-CA"/>
        </w:rPr>
        <w:t xml:space="preserve"> </w:t>
      </w:r>
      <w:r w:rsidRPr="00B63BD5">
        <w:rPr>
          <w:b/>
          <w:color w:val="00B0F0"/>
          <w:lang w:val="fr-CA"/>
        </w:rPr>
        <w:t>: Le paragraphe</w:t>
      </w:r>
      <w:r w:rsidR="00B056F9" w:rsidRPr="00B63BD5">
        <w:rPr>
          <w:b/>
          <w:color w:val="00B0F0"/>
          <w:lang w:val="fr-CA"/>
        </w:rPr>
        <w:t> </w:t>
      </w:r>
      <w:r w:rsidRPr="00B63BD5">
        <w:rPr>
          <w:b/>
          <w:color w:val="00B0F0"/>
          <w:lang w:val="fr-CA"/>
        </w:rPr>
        <w:t>9.3 peut être utilisé (mais ce n</w:t>
      </w:r>
      <w:r w:rsidR="00564B0C" w:rsidRPr="00B63BD5">
        <w:rPr>
          <w:b/>
          <w:color w:val="00B0F0"/>
          <w:lang w:val="fr-CA"/>
        </w:rPr>
        <w:t>’</w:t>
      </w:r>
      <w:r w:rsidRPr="00B63BD5">
        <w:rPr>
          <w:b/>
          <w:color w:val="00B0F0"/>
          <w:lang w:val="fr-CA"/>
        </w:rPr>
        <w:t>est pas obligatoire) lorsque la Banque libère une garantie, dans le cas d</w:t>
      </w:r>
      <w:r w:rsidR="00564B0C" w:rsidRPr="00B63BD5">
        <w:rPr>
          <w:b/>
          <w:color w:val="00B0F0"/>
          <w:lang w:val="fr-CA"/>
        </w:rPr>
        <w:t>’</w:t>
      </w:r>
      <w:r w:rsidRPr="00B63BD5">
        <w:rPr>
          <w:b/>
          <w:color w:val="00B0F0"/>
          <w:lang w:val="fr-CA"/>
        </w:rPr>
        <w:t>une reformulation ou d</w:t>
      </w:r>
      <w:r w:rsidR="00564B0C" w:rsidRPr="00B63BD5">
        <w:rPr>
          <w:b/>
          <w:color w:val="00B0F0"/>
          <w:lang w:val="fr-CA"/>
        </w:rPr>
        <w:t>’</w:t>
      </w:r>
      <w:r w:rsidRPr="00B63BD5">
        <w:rPr>
          <w:b/>
          <w:color w:val="00B0F0"/>
          <w:lang w:val="fr-CA"/>
        </w:rPr>
        <w:t>une modification seulement. Indiquer toute condition applicable à la libération de la garantie.]</w:t>
      </w:r>
    </w:p>
    <w:p w14:paraId="7C05FF70" w14:textId="767AAAB2" w:rsidR="00A64CE8" w:rsidRPr="00B63BD5" w:rsidRDefault="00A64CE8" w:rsidP="00D33630">
      <w:pPr>
        <w:pStyle w:val="04LOLglNew2"/>
      </w:pPr>
      <w:r w:rsidRPr="00B63BD5">
        <w:t>Libération des Documents de prêt</w:t>
      </w:r>
    </w:p>
    <w:p w14:paraId="7152486F" w14:textId="4DE7D1FA" w:rsidR="00A64CE8" w:rsidRPr="00B63BD5" w:rsidRDefault="00A64CE8" w:rsidP="00632863">
      <w:pPr>
        <w:widowControl w:val="0"/>
        <w:spacing w:after="240"/>
        <w:jc w:val="both"/>
        <w:rPr>
          <w:lang w:val="fr-CA"/>
        </w:rPr>
      </w:pPr>
      <w:r w:rsidRPr="00B63BD5">
        <w:rPr>
          <w:lang w:val="fr-CA"/>
        </w:rPr>
        <w:t>[Sous réserve du respect préalable des conditions suivantes à la satisfaction de la Banque</w:t>
      </w:r>
      <w:r w:rsidR="00AC4107" w:rsidRPr="00B63BD5">
        <w:rPr>
          <w:lang w:val="fr-CA"/>
        </w:rPr>
        <w:t xml:space="preserve"> </w:t>
      </w:r>
      <w:r w:rsidRPr="00B63BD5">
        <w:rPr>
          <w:lang w:val="fr-CA"/>
        </w:rPr>
        <w:t xml:space="preserve">: </w:t>
      </w:r>
      <w:r w:rsidR="00ED0352" w:rsidRPr="00B63BD5">
        <w:rPr>
          <w:lang w:val="fr-CA"/>
        </w:rPr>
        <w:t>(</w:t>
      </w:r>
      <w:r w:rsidRPr="00B63BD5">
        <w:rPr>
          <w:lang w:val="fr-CA"/>
        </w:rPr>
        <w:t xml:space="preserve">a) [ ], </w:t>
      </w:r>
      <w:r w:rsidR="00ED0352" w:rsidRPr="00B63BD5">
        <w:rPr>
          <w:lang w:val="fr-CA"/>
        </w:rPr>
        <w:t>(</w:t>
      </w:r>
      <w:r w:rsidRPr="00B63BD5">
        <w:rPr>
          <w:lang w:val="fr-CA"/>
        </w:rPr>
        <w:t>b) [ ],] la</w:t>
      </w:r>
      <w:r w:rsidR="00A712B4" w:rsidRPr="00B63BD5">
        <w:rPr>
          <w:lang w:val="fr-CA"/>
        </w:rPr>
        <w:t> </w:t>
      </w:r>
      <w:r w:rsidRPr="00B63BD5">
        <w:rPr>
          <w:lang w:val="fr-CA"/>
        </w:rPr>
        <w:t>Banque convient de libérer les Documents de prêt suivants</w:t>
      </w:r>
      <w:r w:rsidR="00AC4107" w:rsidRPr="00B63BD5">
        <w:rPr>
          <w:lang w:val="fr-CA"/>
        </w:rPr>
        <w:t xml:space="preserve"> </w:t>
      </w:r>
      <w:r w:rsidRPr="00B63BD5">
        <w:rPr>
          <w:lang w:val="fr-CA"/>
        </w:rPr>
        <w:t>:</w:t>
      </w:r>
    </w:p>
    <w:p w14:paraId="47833F1A" w14:textId="4CA80AF8" w:rsidR="00A64CE8" w:rsidRPr="000B7739" w:rsidRDefault="00A64CE8" w:rsidP="000B7739">
      <w:pPr>
        <w:pStyle w:val="04LOLglNew3"/>
        <w:numPr>
          <w:ilvl w:val="2"/>
          <w:numId w:val="35"/>
        </w:numPr>
        <w:rPr>
          <w:lang w:val="fr-CA"/>
        </w:rPr>
      </w:pPr>
      <w:r w:rsidRPr="000B7739">
        <w:rPr>
          <w:lang w:val="fr-CA"/>
        </w:rPr>
        <w:t>[dresser ici la liste des documents libérés par la Banque].</w:t>
      </w:r>
    </w:p>
    <w:p w14:paraId="06BCD6FE" w14:textId="0DD45E33" w:rsidR="009926E7" w:rsidRPr="00B63BD5" w:rsidRDefault="002F781B" w:rsidP="009027EF">
      <w:pPr>
        <w:pStyle w:val="04LOLglNew1"/>
        <w:rPr>
          <w:lang w:val="fr-CA"/>
        </w:rPr>
      </w:pPr>
      <w:bookmarkStart w:id="7" w:name="_Ref466990588"/>
      <w:r w:rsidRPr="00B63BD5">
        <w:rPr>
          <w:lang w:val="fr-CA"/>
        </w:rPr>
        <w:t>Conditions préalables</w:t>
      </w:r>
      <w:bookmarkEnd w:id="7"/>
    </w:p>
    <w:p w14:paraId="15908BF1" w14:textId="7C7F5093" w:rsidR="00EF795B" w:rsidRPr="00B63BD5" w:rsidRDefault="00EF795B" w:rsidP="00632863">
      <w:pPr>
        <w:spacing w:after="240"/>
        <w:jc w:val="both"/>
        <w:rPr>
          <w:b/>
          <w:color w:val="00B0F0"/>
          <w:lang w:val="fr-CA"/>
        </w:rPr>
      </w:pPr>
      <w:r w:rsidRPr="00B63BD5">
        <w:rPr>
          <w:b/>
          <w:color w:val="00B0F0"/>
          <w:lang w:val="fr-CA"/>
        </w:rPr>
        <w:t>[</w:t>
      </w:r>
      <w:r w:rsidR="00EC3CB5" w:rsidRPr="00B63BD5">
        <w:rPr>
          <w:b/>
          <w:color w:val="00B0F0"/>
          <w:lang w:val="fr-CA"/>
        </w:rPr>
        <w:t>N.B. :</w:t>
      </w:r>
      <w:r w:rsidRPr="00B63BD5">
        <w:rPr>
          <w:b/>
          <w:color w:val="00B0F0"/>
          <w:lang w:val="fr-CA"/>
        </w:rPr>
        <w:t xml:space="preserve"> </w:t>
      </w:r>
      <w:r w:rsidR="00E4549F" w:rsidRPr="00B63BD5">
        <w:rPr>
          <w:b/>
          <w:color w:val="00B0F0"/>
          <w:lang w:val="fr-CA"/>
        </w:rPr>
        <w:t xml:space="preserve">Personnaliser dans la mesure nécessaire pour se conformer </w:t>
      </w:r>
      <w:r w:rsidR="00043876" w:rsidRPr="00B63BD5">
        <w:rPr>
          <w:b/>
          <w:color w:val="00B0F0"/>
          <w:lang w:val="fr-CA"/>
        </w:rPr>
        <w:t>à la feuille de conditions approuvée</w:t>
      </w:r>
      <w:r w:rsidRPr="00B63BD5">
        <w:rPr>
          <w:b/>
          <w:color w:val="00B0F0"/>
          <w:lang w:val="fr-CA"/>
        </w:rPr>
        <w:t>.</w:t>
      </w:r>
      <w:r w:rsidR="001D7756" w:rsidRPr="00B63BD5">
        <w:rPr>
          <w:b/>
          <w:color w:val="00B0F0"/>
          <w:lang w:val="fr-CA"/>
        </w:rPr>
        <w:t xml:space="preserve"> Les </w:t>
      </w:r>
      <w:r w:rsidR="00182268" w:rsidRPr="00B63BD5">
        <w:rPr>
          <w:b/>
          <w:color w:val="00B0F0"/>
          <w:lang w:val="fr-CA"/>
        </w:rPr>
        <w:t>alinéas</w:t>
      </w:r>
      <w:r w:rsidR="00AC4107" w:rsidRPr="00B63BD5">
        <w:rPr>
          <w:b/>
          <w:color w:val="00B0F0"/>
          <w:lang w:val="fr-CA"/>
        </w:rPr>
        <w:t xml:space="preserve"> </w:t>
      </w:r>
      <w:r w:rsidR="001D7756" w:rsidRPr="00B63BD5">
        <w:rPr>
          <w:b/>
          <w:color w:val="00B0F0"/>
          <w:lang w:val="fr-CA"/>
        </w:rPr>
        <w:t>a)</w:t>
      </w:r>
      <w:r w:rsidR="00AC4107" w:rsidRPr="00B63BD5">
        <w:rPr>
          <w:b/>
          <w:color w:val="00B0F0"/>
          <w:lang w:val="fr-CA"/>
        </w:rPr>
        <w:t xml:space="preserve"> </w:t>
      </w:r>
      <w:r w:rsidR="001D7756" w:rsidRPr="00B63BD5">
        <w:rPr>
          <w:b/>
          <w:color w:val="00B0F0"/>
          <w:lang w:val="fr-CA"/>
        </w:rPr>
        <w:t>et</w:t>
      </w:r>
      <w:r w:rsidR="00AC4107" w:rsidRPr="00B63BD5">
        <w:rPr>
          <w:b/>
          <w:color w:val="00B0F0"/>
          <w:lang w:val="fr-CA"/>
        </w:rPr>
        <w:t xml:space="preserve"> </w:t>
      </w:r>
      <w:r w:rsidR="001D7756" w:rsidRPr="00B63BD5">
        <w:rPr>
          <w:b/>
          <w:color w:val="00B0F0"/>
          <w:lang w:val="fr-CA"/>
        </w:rPr>
        <w:t xml:space="preserve">b) sont obligatoires et ne </w:t>
      </w:r>
      <w:r w:rsidR="00E4549F" w:rsidRPr="00B63BD5">
        <w:rPr>
          <w:b/>
          <w:color w:val="00B0F0"/>
          <w:lang w:val="fr-CA"/>
        </w:rPr>
        <w:t>doivent</w:t>
      </w:r>
      <w:r w:rsidR="001D7756" w:rsidRPr="00B63BD5">
        <w:rPr>
          <w:b/>
          <w:color w:val="00B0F0"/>
          <w:lang w:val="fr-CA"/>
        </w:rPr>
        <w:t xml:space="preserve"> pas être supprimés. Les</w:t>
      </w:r>
      <w:r w:rsidR="00A712B4" w:rsidRPr="00B63BD5">
        <w:rPr>
          <w:b/>
          <w:color w:val="00B0F0"/>
          <w:lang w:val="fr-CA"/>
        </w:rPr>
        <w:t> </w:t>
      </w:r>
      <w:r w:rsidR="001D7756" w:rsidRPr="00B63BD5">
        <w:rPr>
          <w:b/>
          <w:color w:val="00B0F0"/>
          <w:lang w:val="fr-CA"/>
        </w:rPr>
        <w:t>éléments</w:t>
      </w:r>
      <w:r w:rsidR="00A712B4" w:rsidRPr="00B63BD5">
        <w:rPr>
          <w:b/>
          <w:color w:val="00B0F0"/>
          <w:lang w:val="fr-CA"/>
        </w:rPr>
        <w:t> </w:t>
      </w:r>
      <w:r w:rsidR="001D7756" w:rsidRPr="00B63BD5">
        <w:rPr>
          <w:b/>
          <w:color w:val="00B0F0"/>
          <w:lang w:val="fr-CA"/>
        </w:rPr>
        <w:t>qui</w:t>
      </w:r>
      <w:r w:rsidR="00A712B4" w:rsidRPr="00B63BD5">
        <w:rPr>
          <w:b/>
          <w:color w:val="00B0F0"/>
          <w:lang w:val="fr-CA"/>
        </w:rPr>
        <w:t> </w:t>
      </w:r>
      <w:r w:rsidR="001D7756" w:rsidRPr="00B63BD5">
        <w:rPr>
          <w:b/>
          <w:color w:val="00B0F0"/>
          <w:lang w:val="fr-CA"/>
        </w:rPr>
        <w:t>ont déjà été reçus d</w:t>
      </w:r>
      <w:r w:rsidR="00E4549F" w:rsidRPr="00B63BD5">
        <w:rPr>
          <w:b/>
          <w:color w:val="00B0F0"/>
          <w:lang w:val="fr-CA"/>
        </w:rPr>
        <w:t>oivent</w:t>
      </w:r>
      <w:r w:rsidR="001D7756" w:rsidRPr="00B63BD5">
        <w:rPr>
          <w:b/>
          <w:color w:val="00B0F0"/>
          <w:lang w:val="fr-CA"/>
        </w:rPr>
        <w:t xml:space="preserve"> néanmoins être indiqués ici s</w:t>
      </w:r>
      <w:r w:rsidR="00564B0C" w:rsidRPr="00B63BD5">
        <w:rPr>
          <w:b/>
          <w:color w:val="00B0F0"/>
          <w:lang w:val="fr-CA"/>
        </w:rPr>
        <w:t>’</w:t>
      </w:r>
      <w:r w:rsidR="001D7756" w:rsidRPr="00B63BD5">
        <w:rPr>
          <w:b/>
          <w:color w:val="00B0F0"/>
          <w:lang w:val="fr-CA"/>
        </w:rPr>
        <w:t>ils sont indiqués dans</w:t>
      </w:r>
      <w:r w:rsidR="00A712B4" w:rsidRPr="00B63BD5">
        <w:rPr>
          <w:b/>
          <w:color w:val="00B0F0"/>
          <w:lang w:val="fr-CA"/>
        </w:rPr>
        <w:t> </w:t>
      </w:r>
      <w:r w:rsidR="00043876" w:rsidRPr="00B63BD5">
        <w:rPr>
          <w:b/>
          <w:color w:val="00B0F0"/>
          <w:lang w:val="fr-CA"/>
        </w:rPr>
        <w:t>la</w:t>
      </w:r>
      <w:r w:rsidR="00A712B4" w:rsidRPr="00B63BD5">
        <w:rPr>
          <w:b/>
          <w:color w:val="00B0F0"/>
          <w:lang w:val="fr-CA"/>
        </w:rPr>
        <w:t> </w:t>
      </w:r>
      <w:r w:rsidR="00043876" w:rsidRPr="00B63BD5">
        <w:rPr>
          <w:b/>
          <w:color w:val="00B0F0"/>
          <w:lang w:val="fr-CA"/>
        </w:rPr>
        <w:t>feuille de</w:t>
      </w:r>
      <w:r w:rsidR="00A712B4" w:rsidRPr="00B63BD5">
        <w:rPr>
          <w:b/>
          <w:color w:val="00B0F0"/>
          <w:lang w:val="fr-CA"/>
        </w:rPr>
        <w:t> </w:t>
      </w:r>
      <w:r w:rsidR="00043876" w:rsidRPr="00B63BD5">
        <w:rPr>
          <w:b/>
          <w:color w:val="00B0F0"/>
          <w:lang w:val="fr-CA"/>
        </w:rPr>
        <w:t>conditions</w:t>
      </w:r>
      <w:r w:rsidR="001D7756" w:rsidRPr="00B63BD5">
        <w:rPr>
          <w:b/>
          <w:color w:val="00B0F0"/>
          <w:lang w:val="fr-CA"/>
        </w:rPr>
        <w:t>. La liste d</w:t>
      </w:r>
      <w:r w:rsidR="00E4549F" w:rsidRPr="00B63BD5">
        <w:rPr>
          <w:b/>
          <w:color w:val="00B0F0"/>
          <w:lang w:val="fr-CA"/>
        </w:rPr>
        <w:t>oit comprendre</w:t>
      </w:r>
      <w:r w:rsidR="001D7756" w:rsidRPr="00B63BD5">
        <w:rPr>
          <w:b/>
          <w:color w:val="00B0F0"/>
          <w:lang w:val="fr-CA"/>
        </w:rPr>
        <w:t xml:space="preserve"> uniquement </w:t>
      </w:r>
      <w:r w:rsidR="001D7756" w:rsidRPr="00B63BD5">
        <w:rPr>
          <w:b/>
          <w:color w:val="00B0F0"/>
          <w:u w:val="single"/>
          <w:lang w:val="fr-CA"/>
        </w:rPr>
        <w:t>les documents qui sont remis à</w:t>
      </w:r>
      <w:r w:rsidR="00A712B4" w:rsidRPr="00B63BD5">
        <w:rPr>
          <w:b/>
          <w:color w:val="00B0F0"/>
          <w:u w:val="single"/>
          <w:lang w:val="fr-CA"/>
        </w:rPr>
        <w:t> </w:t>
      </w:r>
      <w:r w:rsidR="001D7756" w:rsidRPr="00B63BD5">
        <w:rPr>
          <w:b/>
          <w:color w:val="00B0F0"/>
          <w:u w:val="single"/>
          <w:lang w:val="fr-CA"/>
        </w:rPr>
        <w:t>la Banque</w:t>
      </w:r>
      <w:r w:rsidR="001D7756" w:rsidRPr="00B63BD5">
        <w:rPr>
          <w:b/>
          <w:color w:val="00B0F0"/>
          <w:lang w:val="fr-CA"/>
        </w:rPr>
        <w:t>. Consulter l</w:t>
      </w:r>
      <w:r w:rsidR="00564B0C" w:rsidRPr="00B63BD5">
        <w:rPr>
          <w:b/>
          <w:color w:val="00B0F0"/>
          <w:lang w:val="fr-CA"/>
        </w:rPr>
        <w:t>’</w:t>
      </w:r>
      <w:r w:rsidR="001D7756" w:rsidRPr="00B63BD5">
        <w:rPr>
          <w:b/>
          <w:color w:val="00B0F0"/>
          <w:lang w:val="fr-CA"/>
        </w:rPr>
        <w:t xml:space="preserve">équipe </w:t>
      </w:r>
      <w:r w:rsidR="00AD12CF" w:rsidRPr="00B63BD5">
        <w:rPr>
          <w:b/>
          <w:color w:val="00B0F0"/>
          <w:lang w:val="fr-CA"/>
        </w:rPr>
        <w:t>des services de documents des SE</w:t>
      </w:r>
      <w:r w:rsidR="00AD12CF" w:rsidRPr="00B63BD5" w:rsidDel="00AD12CF">
        <w:rPr>
          <w:b/>
          <w:color w:val="00B0F0"/>
          <w:lang w:val="fr-CA"/>
        </w:rPr>
        <w:t xml:space="preserve"> </w:t>
      </w:r>
      <w:r w:rsidR="001D7756" w:rsidRPr="00B63BD5">
        <w:rPr>
          <w:b/>
          <w:color w:val="00B0F0"/>
          <w:lang w:val="fr-CA"/>
        </w:rPr>
        <w:t>s</w:t>
      </w:r>
      <w:r w:rsidR="00564B0C" w:rsidRPr="00B63BD5">
        <w:rPr>
          <w:b/>
          <w:color w:val="00B0F0"/>
          <w:lang w:val="fr-CA"/>
        </w:rPr>
        <w:t>’</w:t>
      </w:r>
      <w:r w:rsidR="001D7756" w:rsidRPr="00B63BD5">
        <w:rPr>
          <w:b/>
          <w:color w:val="00B0F0"/>
          <w:lang w:val="fr-CA"/>
        </w:rPr>
        <w:t>il est nécessaire d</w:t>
      </w:r>
      <w:r w:rsidR="00E4549F" w:rsidRPr="00B63BD5">
        <w:rPr>
          <w:b/>
          <w:color w:val="00B0F0"/>
          <w:lang w:val="fr-CA"/>
        </w:rPr>
        <w:t>e prévoir</w:t>
      </w:r>
      <w:r w:rsidR="001D7756" w:rsidRPr="00B63BD5">
        <w:rPr>
          <w:b/>
          <w:color w:val="00B0F0"/>
          <w:lang w:val="fr-CA"/>
        </w:rPr>
        <w:t xml:space="preserve"> des conditions préalables relatives à</w:t>
      </w:r>
      <w:r w:rsidR="00363F9D" w:rsidRPr="00B63BD5">
        <w:rPr>
          <w:b/>
          <w:color w:val="00B0F0"/>
          <w:lang w:val="fr-CA"/>
        </w:rPr>
        <w:t> </w:t>
      </w:r>
      <w:r w:rsidR="001D7756" w:rsidRPr="00B63BD5">
        <w:rPr>
          <w:b/>
          <w:color w:val="00B0F0"/>
          <w:lang w:val="fr-CA"/>
        </w:rPr>
        <w:t>certains événements qui pourraient survenir. Les restrictions imposées à</w:t>
      </w:r>
      <w:r w:rsidR="00A712B4" w:rsidRPr="00B63BD5">
        <w:rPr>
          <w:b/>
          <w:color w:val="00B0F0"/>
          <w:lang w:val="fr-CA"/>
        </w:rPr>
        <w:t> </w:t>
      </w:r>
      <w:r w:rsidR="001D7756" w:rsidRPr="00B63BD5">
        <w:rPr>
          <w:b/>
          <w:color w:val="00B0F0"/>
          <w:lang w:val="fr-CA"/>
        </w:rPr>
        <w:t>l</w:t>
      </w:r>
      <w:r w:rsidR="00564B0C" w:rsidRPr="00B63BD5">
        <w:rPr>
          <w:b/>
          <w:color w:val="00B0F0"/>
          <w:lang w:val="fr-CA"/>
        </w:rPr>
        <w:t>’</w:t>
      </w:r>
      <w:r w:rsidR="001D7756" w:rsidRPr="00B63BD5">
        <w:rPr>
          <w:b/>
          <w:color w:val="00B0F0"/>
          <w:lang w:val="fr-CA"/>
        </w:rPr>
        <w:t>Emprunteur qui s</w:t>
      </w:r>
      <w:r w:rsidR="00564B0C" w:rsidRPr="00B63BD5">
        <w:rPr>
          <w:b/>
          <w:color w:val="00B0F0"/>
          <w:lang w:val="fr-CA"/>
        </w:rPr>
        <w:t>’</w:t>
      </w:r>
      <w:r w:rsidR="001D7756" w:rsidRPr="00B63BD5">
        <w:rPr>
          <w:b/>
          <w:color w:val="00B0F0"/>
          <w:lang w:val="fr-CA"/>
        </w:rPr>
        <w:t xml:space="preserve">appliquent après la date à laquelle un prêt </w:t>
      </w:r>
      <w:r w:rsidR="00E4549F" w:rsidRPr="00B63BD5">
        <w:rPr>
          <w:b/>
          <w:color w:val="00B0F0"/>
          <w:lang w:val="fr-CA"/>
        </w:rPr>
        <w:t>lui a</w:t>
      </w:r>
      <w:r w:rsidR="001D7756" w:rsidRPr="00B63BD5">
        <w:rPr>
          <w:b/>
          <w:color w:val="00B0F0"/>
          <w:lang w:val="fr-CA"/>
        </w:rPr>
        <w:t xml:space="preserve"> été </w:t>
      </w:r>
      <w:r w:rsidR="0097096F" w:rsidRPr="00B63BD5">
        <w:rPr>
          <w:b/>
          <w:color w:val="00B0F0"/>
          <w:lang w:val="fr-CA"/>
        </w:rPr>
        <w:t>consenti</w:t>
      </w:r>
      <w:r w:rsidR="001D7756" w:rsidRPr="00B63BD5">
        <w:rPr>
          <w:b/>
          <w:color w:val="00B0F0"/>
          <w:lang w:val="fr-CA"/>
        </w:rPr>
        <w:t xml:space="preserve"> </w:t>
      </w:r>
      <w:r w:rsidR="00E4549F" w:rsidRPr="00B63BD5">
        <w:rPr>
          <w:b/>
          <w:color w:val="00B0F0"/>
          <w:lang w:val="fr-CA"/>
        </w:rPr>
        <w:t xml:space="preserve">doivent </w:t>
      </w:r>
      <w:r w:rsidR="001D7756" w:rsidRPr="00B63BD5">
        <w:rPr>
          <w:b/>
          <w:color w:val="00B0F0"/>
          <w:lang w:val="fr-CA"/>
        </w:rPr>
        <w:t>être</w:t>
      </w:r>
      <w:r w:rsidR="00A712B4" w:rsidRPr="00B63BD5">
        <w:rPr>
          <w:b/>
          <w:color w:val="00B0F0"/>
          <w:lang w:val="fr-CA"/>
        </w:rPr>
        <w:t> </w:t>
      </w:r>
      <w:r w:rsidR="00E14989" w:rsidRPr="00B63BD5">
        <w:rPr>
          <w:b/>
          <w:color w:val="00B0F0"/>
          <w:lang w:val="fr-CA"/>
        </w:rPr>
        <w:t>inclu</w:t>
      </w:r>
      <w:r w:rsidR="00A518C6" w:rsidRPr="00B63BD5">
        <w:rPr>
          <w:b/>
          <w:color w:val="00B0F0"/>
          <w:lang w:val="fr-CA"/>
        </w:rPr>
        <w:t>s</w:t>
      </w:r>
      <w:r w:rsidR="00E14989" w:rsidRPr="00B63BD5">
        <w:rPr>
          <w:b/>
          <w:color w:val="00B0F0"/>
          <w:lang w:val="fr-CA"/>
        </w:rPr>
        <w:t>es</w:t>
      </w:r>
      <w:r w:rsidR="001D7756" w:rsidRPr="00B63BD5">
        <w:rPr>
          <w:b/>
          <w:color w:val="00B0F0"/>
          <w:lang w:val="fr-CA"/>
        </w:rPr>
        <w:t xml:space="preserve"> </w:t>
      </w:r>
      <w:r w:rsidR="00E4549F" w:rsidRPr="00B63BD5">
        <w:rPr>
          <w:b/>
          <w:color w:val="00B0F0"/>
          <w:lang w:val="fr-CA"/>
        </w:rPr>
        <w:t>à</w:t>
      </w:r>
      <w:r w:rsidR="001D7756" w:rsidRPr="00B63BD5">
        <w:rPr>
          <w:b/>
          <w:color w:val="00B0F0"/>
          <w:lang w:val="fr-CA"/>
        </w:rPr>
        <w:t xml:space="preserve"> l</w:t>
      </w:r>
      <w:r w:rsidR="00564B0C" w:rsidRPr="00B63BD5">
        <w:rPr>
          <w:b/>
          <w:color w:val="00B0F0"/>
          <w:lang w:val="fr-CA"/>
        </w:rPr>
        <w:t>’</w:t>
      </w:r>
      <w:r w:rsidR="001D7756" w:rsidRPr="00B63BD5">
        <w:rPr>
          <w:b/>
          <w:color w:val="00B0F0"/>
          <w:lang w:val="fr-CA"/>
        </w:rPr>
        <w:t>article</w:t>
      </w:r>
      <w:r w:rsidR="00B056F9" w:rsidRPr="00B63BD5">
        <w:rPr>
          <w:b/>
          <w:color w:val="00B0F0"/>
          <w:lang w:val="fr-CA"/>
        </w:rPr>
        <w:t> </w:t>
      </w:r>
      <w:r w:rsidR="001D7756" w:rsidRPr="00B63BD5">
        <w:rPr>
          <w:b/>
          <w:color w:val="00B0F0"/>
          <w:lang w:val="fr-CA"/>
        </w:rPr>
        <w:t>1</w:t>
      </w:r>
      <w:r w:rsidR="00396C15" w:rsidRPr="00B63BD5">
        <w:rPr>
          <w:b/>
          <w:color w:val="00B0F0"/>
          <w:lang w:val="fr-CA"/>
        </w:rPr>
        <w:t>1</w:t>
      </w:r>
      <w:r w:rsidR="001D7756" w:rsidRPr="00B63BD5">
        <w:rPr>
          <w:b/>
          <w:color w:val="00B0F0"/>
          <w:lang w:val="fr-CA"/>
        </w:rPr>
        <w:t>.</w:t>
      </w:r>
      <w:r w:rsidRPr="00B63BD5">
        <w:rPr>
          <w:b/>
          <w:color w:val="00B0F0"/>
          <w:lang w:val="fr-CA"/>
        </w:rPr>
        <w:t>]</w:t>
      </w:r>
    </w:p>
    <w:p w14:paraId="655562D5" w14:textId="23D9D6DE" w:rsidR="009926E7" w:rsidRPr="00B63BD5" w:rsidRDefault="002F781B" w:rsidP="00632863">
      <w:pPr>
        <w:spacing w:after="240"/>
        <w:jc w:val="both"/>
        <w:rPr>
          <w:lang w:val="fr-CA"/>
        </w:rPr>
      </w:pPr>
      <w:r w:rsidRPr="00B63BD5">
        <w:rPr>
          <w:lang w:val="fr-CA"/>
        </w:rPr>
        <w:t>Outre les conditions préala</w:t>
      </w:r>
      <w:r w:rsidR="007C791D" w:rsidRPr="00B63BD5">
        <w:rPr>
          <w:lang w:val="fr-CA"/>
        </w:rPr>
        <w:t>bles</w:t>
      </w:r>
      <w:r w:rsidR="0017435C" w:rsidRPr="00B63BD5">
        <w:rPr>
          <w:lang w:val="fr-CA"/>
        </w:rPr>
        <w:t xml:space="preserve"> qui sont énoncées</w:t>
      </w:r>
      <w:r w:rsidR="007C791D" w:rsidRPr="00B63BD5">
        <w:rPr>
          <w:lang w:val="fr-CA"/>
        </w:rPr>
        <w:t xml:space="preserve"> </w:t>
      </w:r>
      <w:r w:rsidRPr="00B63BD5">
        <w:rPr>
          <w:lang w:val="fr-CA"/>
        </w:rPr>
        <w:t>à l</w:t>
      </w:r>
      <w:r w:rsidR="00564B0C" w:rsidRPr="00B63BD5">
        <w:rPr>
          <w:lang w:val="fr-CA"/>
        </w:rPr>
        <w:t>’</w:t>
      </w:r>
      <w:r w:rsidRPr="00B63BD5">
        <w:rPr>
          <w:lang w:val="fr-CA"/>
        </w:rPr>
        <w:t>Annexe</w:t>
      </w:r>
      <w:r w:rsidR="00AC4107" w:rsidRPr="00B63BD5">
        <w:rPr>
          <w:lang w:val="fr-CA"/>
        </w:rPr>
        <w:t xml:space="preserve"> </w:t>
      </w:r>
      <w:r w:rsidRPr="00B63BD5">
        <w:rPr>
          <w:lang w:val="fr-CA"/>
        </w:rPr>
        <w:t>A,</w:t>
      </w:r>
      <w:r w:rsidR="0017435C" w:rsidRPr="00B63BD5">
        <w:rPr>
          <w:lang w:val="fr-CA"/>
        </w:rPr>
        <w:t xml:space="preserve"> la Banque doit, à titre de</w:t>
      </w:r>
      <w:r w:rsidRPr="00B63BD5">
        <w:rPr>
          <w:lang w:val="fr-CA"/>
        </w:rPr>
        <w:t xml:space="preserve"> condition préalable</w:t>
      </w:r>
      <w:r w:rsidR="00F827C2" w:rsidRPr="00B63BD5">
        <w:rPr>
          <w:lang w:val="fr-CA"/>
        </w:rPr>
        <w:t xml:space="preserve"> à</w:t>
      </w:r>
      <w:r w:rsidR="00363F9D" w:rsidRPr="00B63BD5">
        <w:rPr>
          <w:lang w:val="fr-CA"/>
        </w:rPr>
        <w:t> </w:t>
      </w:r>
      <w:r w:rsidR="00F827C2" w:rsidRPr="00B63BD5">
        <w:rPr>
          <w:lang w:val="fr-CA"/>
        </w:rPr>
        <w:t>la [première</w:t>
      </w:r>
      <w:r w:rsidR="00B67E21" w:rsidRPr="00B63BD5">
        <w:rPr>
          <w:lang w:val="fr-CA"/>
        </w:rPr>
        <w:t xml:space="preserve"> </w:t>
      </w:r>
      <w:r w:rsidR="001934B0" w:rsidRPr="00B63BD5">
        <w:rPr>
          <w:b/>
          <w:color w:val="00B0F0"/>
          <w:highlight w:val="yellow"/>
          <w:lang w:val="fr-CA"/>
        </w:rPr>
        <w:t>OU</w:t>
      </w:r>
      <w:r w:rsidR="00B67E21" w:rsidRPr="00B63BD5">
        <w:rPr>
          <w:lang w:val="fr-CA"/>
        </w:rPr>
        <w:t xml:space="preserve"> </w:t>
      </w:r>
      <w:r w:rsidR="00F827C2" w:rsidRPr="00B63BD5">
        <w:rPr>
          <w:lang w:val="fr-CA"/>
        </w:rPr>
        <w:t>prochaine] avance et</w:t>
      </w:r>
      <w:r w:rsidR="0017435C" w:rsidRPr="00B63BD5">
        <w:rPr>
          <w:lang w:val="fr-CA"/>
        </w:rPr>
        <w:t xml:space="preserve"> à l</w:t>
      </w:r>
      <w:r w:rsidR="00564B0C" w:rsidRPr="00B63BD5">
        <w:rPr>
          <w:lang w:val="fr-CA"/>
        </w:rPr>
        <w:t>’</w:t>
      </w:r>
      <w:r w:rsidR="0017435C" w:rsidRPr="00B63BD5">
        <w:rPr>
          <w:lang w:val="fr-CA"/>
        </w:rPr>
        <w:t xml:space="preserve">octroi </w:t>
      </w:r>
      <w:r w:rsidRPr="00B63BD5">
        <w:rPr>
          <w:lang w:val="fr-CA"/>
        </w:rPr>
        <w:t xml:space="preserve">et </w:t>
      </w:r>
      <w:r w:rsidR="0017435C" w:rsidRPr="00B63BD5">
        <w:rPr>
          <w:lang w:val="fr-CA"/>
        </w:rPr>
        <w:t>à</w:t>
      </w:r>
      <w:r w:rsidRPr="00B63BD5">
        <w:rPr>
          <w:lang w:val="fr-CA"/>
        </w:rPr>
        <w:t xml:space="preserve"> la disponibilité </w:t>
      </w:r>
      <w:r w:rsidR="00067E69" w:rsidRPr="00B63BD5">
        <w:rPr>
          <w:lang w:val="fr-CA"/>
        </w:rPr>
        <w:t>continue</w:t>
      </w:r>
      <w:r w:rsidRPr="00B63BD5">
        <w:rPr>
          <w:lang w:val="fr-CA"/>
        </w:rPr>
        <w:t xml:space="preserve"> des F</w:t>
      </w:r>
      <w:r w:rsidR="007C791D" w:rsidRPr="00B63BD5">
        <w:rPr>
          <w:lang w:val="fr-CA"/>
        </w:rPr>
        <w:t>acilités</w:t>
      </w:r>
      <w:r w:rsidRPr="00B63BD5">
        <w:rPr>
          <w:lang w:val="fr-CA"/>
        </w:rPr>
        <w:t xml:space="preserve"> de</w:t>
      </w:r>
      <w:r w:rsidR="00A712B4" w:rsidRPr="00B63BD5">
        <w:rPr>
          <w:lang w:val="fr-CA"/>
        </w:rPr>
        <w:t> </w:t>
      </w:r>
      <w:r w:rsidRPr="00B63BD5">
        <w:rPr>
          <w:lang w:val="fr-CA"/>
        </w:rPr>
        <w:t>c</w:t>
      </w:r>
      <w:r w:rsidR="007C791D" w:rsidRPr="00B63BD5">
        <w:rPr>
          <w:lang w:val="fr-CA"/>
        </w:rPr>
        <w:t>r</w:t>
      </w:r>
      <w:r w:rsidRPr="00B63BD5">
        <w:rPr>
          <w:lang w:val="fr-CA"/>
        </w:rPr>
        <w:t>éd</w:t>
      </w:r>
      <w:r w:rsidR="007C791D" w:rsidRPr="00B63BD5">
        <w:rPr>
          <w:lang w:val="fr-CA"/>
        </w:rPr>
        <w:t>i</w:t>
      </w:r>
      <w:r w:rsidRPr="00B63BD5">
        <w:rPr>
          <w:lang w:val="fr-CA"/>
        </w:rPr>
        <w:t>t</w:t>
      </w:r>
      <w:r w:rsidR="0017435C" w:rsidRPr="00B63BD5">
        <w:rPr>
          <w:lang w:val="fr-CA"/>
        </w:rPr>
        <w:t xml:space="preserve">, avoir </w:t>
      </w:r>
      <w:r w:rsidRPr="00B63BD5">
        <w:rPr>
          <w:lang w:val="fr-CA"/>
        </w:rPr>
        <w:t>reçu les documents suivants</w:t>
      </w:r>
      <w:r w:rsidR="0017435C" w:rsidRPr="00B63BD5">
        <w:rPr>
          <w:lang w:val="fr-CA"/>
        </w:rPr>
        <w:t xml:space="preserve"> </w:t>
      </w:r>
      <w:r w:rsidR="00612B12" w:rsidRPr="00B63BD5">
        <w:rPr>
          <w:lang w:val="fr-CA"/>
        </w:rPr>
        <w:t xml:space="preserve">à sa satisfaction </w:t>
      </w:r>
      <w:r w:rsidR="0017435C" w:rsidRPr="00B63BD5">
        <w:rPr>
          <w:lang w:val="fr-CA"/>
        </w:rPr>
        <w:t>quant à la forme et au fond</w:t>
      </w:r>
      <w:r w:rsidR="00AC4107" w:rsidRPr="00B63BD5">
        <w:rPr>
          <w:lang w:val="fr-CA"/>
        </w:rPr>
        <w:t xml:space="preserve"> </w:t>
      </w:r>
      <w:r w:rsidRPr="00B63BD5">
        <w:rPr>
          <w:lang w:val="fr-CA"/>
        </w:rPr>
        <w:t>:</w:t>
      </w:r>
      <w:r w:rsidR="009926E7" w:rsidRPr="00B63BD5">
        <w:rPr>
          <w:lang w:val="fr-CA"/>
        </w:rPr>
        <w:t xml:space="preserve"> </w:t>
      </w:r>
    </w:p>
    <w:p w14:paraId="17BD6DC2" w14:textId="16640899" w:rsidR="008702F5" w:rsidRPr="000B7739" w:rsidRDefault="002F781B" w:rsidP="000B7739">
      <w:pPr>
        <w:pStyle w:val="04LOLglNew3"/>
        <w:numPr>
          <w:ilvl w:val="2"/>
          <w:numId w:val="36"/>
        </w:numPr>
        <w:rPr>
          <w:lang w:val="fr-CA"/>
        </w:rPr>
      </w:pPr>
      <w:r w:rsidRPr="000B7739">
        <w:rPr>
          <w:lang w:val="fr-CA"/>
        </w:rPr>
        <w:t xml:space="preserve">les Documents de prêt, dûment autorisés, signés et remis et, au besoin, dûment </w:t>
      </w:r>
      <w:r w:rsidR="00612B12" w:rsidRPr="000B7739">
        <w:rPr>
          <w:lang w:val="fr-CA"/>
        </w:rPr>
        <w:t>publiés</w:t>
      </w:r>
      <w:r w:rsidR="008702F5" w:rsidRPr="000B7739">
        <w:rPr>
          <w:lang w:val="fr-CA"/>
        </w:rPr>
        <w:t>;</w:t>
      </w:r>
    </w:p>
    <w:p w14:paraId="59285FED" w14:textId="1684359B" w:rsidR="001D13E4" w:rsidRPr="000B7739" w:rsidRDefault="001D13E4" w:rsidP="000B7739">
      <w:pPr>
        <w:pStyle w:val="04LOLglNew3"/>
        <w:numPr>
          <w:ilvl w:val="2"/>
          <w:numId w:val="36"/>
        </w:numPr>
        <w:rPr>
          <w:lang w:val="fr-CA"/>
        </w:rPr>
      </w:pPr>
      <w:r w:rsidRPr="000B7739">
        <w:rPr>
          <w:lang w:val="fr-CA"/>
        </w:rPr>
        <w:t>des copies de toutes les Conventions importantes (s</w:t>
      </w:r>
      <w:r w:rsidR="00564B0C" w:rsidRPr="000B7739">
        <w:rPr>
          <w:lang w:val="fr-CA"/>
        </w:rPr>
        <w:t>’</w:t>
      </w:r>
      <w:r w:rsidRPr="000B7739">
        <w:rPr>
          <w:lang w:val="fr-CA"/>
        </w:rPr>
        <w:t>il y a lieu) et de tous les autres documents que la Banque pourrait raisonnablement demander;</w:t>
      </w:r>
    </w:p>
    <w:p w14:paraId="7CF4E6A1" w14:textId="1C305C14" w:rsidR="009926E7" w:rsidRPr="000B7739" w:rsidRDefault="002F781B" w:rsidP="000B7739">
      <w:pPr>
        <w:pStyle w:val="04LOLglNew3"/>
        <w:numPr>
          <w:ilvl w:val="2"/>
          <w:numId w:val="36"/>
        </w:numPr>
        <w:rPr>
          <w:lang w:val="fr-CA"/>
        </w:rPr>
      </w:pPr>
      <w:r w:rsidRPr="000B7739">
        <w:rPr>
          <w:lang w:val="fr-CA"/>
        </w:rPr>
        <w:t>les états financiers personnels de ●;</w:t>
      </w:r>
    </w:p>
    <w:p w14:paraId="5A409F08" w14:textId="4AA768FF" w:rsidR="00897A1A" w:rsidRPr="000B7739" w:rsidRDefault="002F781B" w:rsidP="000B7739">
      <w:pPr>
        <w:pStyle w:val="04LOLglNew3"/>
        <w:numPr>
          <w:ilvl w:val="2"/>
          <w:numId w:val="36"/>
        </w:numPr>
        <w:rPr>
          <w:lang w:val="fr-CA"/>
        </w:rPr>
      </w:pPr>
      <w:r w:rsidRPr="000B7739">
        <w:rPr>
          <w:lang w:val="fr-CA"/>
        </w:rPr>
        <w:lastRenderedPageBreak/>
        <w:t xml:space="preserve">les états financiers </w:t>
      </w:r>
      <w:r w:rsidR="00D5110C" w:rsidRPr="000B7739">
        <w:rPr>
          <w:lang w:val="fr-CA"/>
        </w:rPr>
        <w:t xml:space="preserve">dressés </w:t>
      </w:r>
      <w:r w:rsidRPr="000B7739">
        <w:rPr>
          <w:lang w:val="fr-CA"/>
        </w:rPr>
        <w:t>à l</w:t>
      </w:r>
      <w:r w:rsidR="00564B0C" w:rsidRPr="000B7739">
        <w:rPr>
          <w:lang w:val="fr-CA"/>
        </w:rPr>
        <w:t>’</w:t>
      </w:r>
      <w:r w:rsidR="007C791D" w:rsidRPr="000B7739">
        <w:rPr>
          <w:lang w:val="fr-CA"/>
        </w:rPr>
        <w:t>i</w:t>
      </w:r>
      <w:r w:rsidRPr="000B7739">
        <w:rPr>
          <w:lang w:val="fr-CA"/>
        </w:rPr>
        <w:t>nterne</w:t>
      </w:r>
      <w:r w:rsidR="00F827C2" w:rsidRPr="000B7739">
        <w:rPr>
          <w:lang w:val="fr-CA"/>
        </w:rPr>
        <w:t xml:space="preserve"> [</w:t>
      </w:r>
      <w:r w:rsidRPr="000B7739">
        <w:rPr>
          <w:lang w:val="fr-CA"/>
        </w:rPr>
        <w:t>de l</w:t>
      </w:r>
      <w:r w:rsidR="00564B0C" w:rsidRPr="000B7739">
        <w:rPr>
          <w:lang w:val="fr-CA"/>
        </w:rPr>
        <w:t>’</w:t>
      </w:r>
      <w:r w:rsidRPr="000B7739">
        <w:rPr>
          <w:lang w:val="fr-CA"/>
        </w:rPr>
        <w:t>E</w:t>
      </w:r>
      <w:r w:rsidR="007C791D" w:rsidRPr="000B7739">
        <w:rPr>
          <w:lang w:val="fr-CA"/>
        </w:rPr>
        <w:t>mprunteur</w:t>
      </w:r>
      <w:r w:rsidR="00B67E21" w:rsidRPr="000B7739">
        <w:rPr>
          <w:lang w:val="fr-CA"/>
        </w:rPr>
        <w:t xml:space="preserve"> </w:t>
      </w:r>
      <w:r w:rsidR="001934B0" w:rsidRPr="000B7739">
        <w:rPr>
          <w:b/>
          <w:color w:val="00B0F0"/>
          <w:highlight w:val="yellow"/>
          <w:lang w:val="fr-CA"/>
        </w:rPr>
        <w:t>OU</w:t>
      </w:r>
      <w:r w:rsidR="00B67E21" w:rsidRPr="000B7739">
        <w:rPr>
          <w:lang w:val="fr-CA"/>
        </w:rPr>
        <w:t xml:space="preserve"> </w:t>
      </w:r>
      <w:r w:rsidR="00F827C2" w:rsidRPr="000B7739">
        <w:rPr>
          <w:lang w:val="fr-CA"/>
        </w:rPr>
        <w:t>des Emprunteurs]</w:t>
      </w:r>
      <w:r w:rsidR="007C791D" w:rsidRPr="000B7739">
        <w:rPr>
          <w:lang w:val="fr-CA"/>
        </w:rPr>
        <w:t xml:space="preserve"> pour</w:t>
      </w:r>
      <w:r w:rsidR="00A712B4" w:rsidRPr="000B7739">
        <w:rPr>
          <w:lang w:val="fr-CA"/>
        </w:rPr>
        <w:t> </w:t>
      </w:r>
      <w:r w:rsidR="00F827C2" w:rsidRPr="000B7739">
        <w:rPr>
          <w:lang w:val="fr-CA"/>
        </w:rPr>
        <w:t>[le</w:t>
      </w:r>
      <w:r w:rsidR="00A712B4" w:rsidRPr="000B7739">
        <w:rPr>
          <w:lang w:val="fr-CA"/>
        </w:rPr>
        <w:t> </w:t>
      </w:r>
      <w:r w:rsidR="00F827C2" w:rsidRPr="000B7739">
        <w:rPr>
          <w:lang w:val="fr-CA"/>
        </w:rPr>
        <w:t>mois</w:t>
      </w:r>
      <w:r w:rsidR="00A712B4" w:rsidRPr="000B7739">
        <w:rPr>
          <w:lang w:val="fr-CA"/>
        </w:rPr>
        <w:t> </w:t>
      </w:r>
      <w:r w:rsidR="00F827C2" w:rsidRPr="000B7739">
        <w:rPr>
          <w:lang w:val="fr-CA"/>
        </w:rPr>
        <w:t>terminé</w:t>
      </w:r>
      <w:r w:rsidR="00A712B4" w:rsidRPr="000B7739">
        <w:rPr>
          <w:lang w:val="fr-CA"/>
        </w:rPr>
        <w:t> </w:t>
      </w:r>
      <w:r w:rsidR="00F827C2" w:rsidRPr="000B7739">
        <w:rPr>
          <w:lang w:val="fr-CA"/>
        </w:rPr>
        <w:t>le plus récent</w:t>
      </w:r>
      <w:r w:rsidR="007539F0" w:rsidRPr="000B7739">
        <w:rPr>
          <w:lang w:val="fr-CA"/>
        </w:rPr>
        <w:t>]</w:t>
      </w:r>
      <w:r w:rsidR="00B67E21" w:rsidRPr="000B7739">
        <w:rPr>
          <w:lang w:val="fr-CA"/>
        </w:rPr>
        <w:t xml:space="preserve"> </w:t>
      </w:r>
      <w:r w:rsidR="007539F0" w:rsidRPr="000B7739">
        <w:rPr>
          <w:lang w:val="fr-CA"/>
        </w:rPr>
        <w:t>[</w:t>
      </w:r>
      <w:r w:rsidR="00F827C2" w:rsidRPr="000B7739">
        <w:rPr>
          <w:lang w:val="fr-CA"/>
        </w:rPr>
        <w:t>l</w:t>
      </w:r>
      <w:r w:rsidR="00564B0C" w:rsidRPr="000B7739">
        <w:rPr>
          <w:lang w:val="fr-CA"/>
        </w:rPr>
        <w:t>’</w:t>
      </w:r>
      <w:r w:rsidR="00F827C2" w:rsidRPr="000B7739">
        <w:rPr>
          <w:lang w:val="fr-CA"/>
        </w:rPr>
        <w:t>exercice terminé le plus récent</w:t>
      </w:r>
      <w:r w:rsidR="007539F0" w:rsidRPr="000B7739">
        <w:rPr>
          <w:lang w:val="fr-CA"/>
        </w:rPr>
        <w:t>]</w:t>
      </w:r>
      <w:r w:rsidR="00B67E21" w:rsidRPr="000B7739">
        <w:rPr>
          <w:lang w:val="fr-CA"/>
        </w:rPr>
        <w:t xml:space="preserve"> </w:t>
      </w:r>
      <w:r w:rsidR="007539F0" w:rsidRPr="000B7739">
        <w:rPr>
          <w:lang w:val="fr-CA"/>
        </w:rPr>
        <w:t>[</w:t>
      </w:r>
      <w:r w:rsidRPr="000B7739">
        <w:rPr>
          <w:lang w:val="fr-CA"/>
        </w:rPr>
        <w:t>la période terminée le ●</w:t>
      </w:r>
      <w:r w:rsidR="00B67E21" w:rsidRPr="000B7739">
        <w:rPr>
          <w:lang w:val="fr-CA"/>
        </w:rPr>
        <w:t xml:space="preserve"> </w:t>
      </w:r>
      <w:r w:rsidR="007539F0" w:rsidRPr="000B7739">
        <w:rPr>
          <w:lang w:val="fr-CA"/>
        </w:rPr>
        <w:t>]</w:t>
      </w:r>
      <w:r w:rsidR="00B67E21" w:rsidRPr="000B7739">
        <w:rPr>
          <w:lang w:val="fr-CA"/>
        </w:rPr>
        <w:t xml:space="preserve"> </w:t>
      </w:r>
      <w:r w:rsidR="007539F0" w:rsidRPr="000B7739">
        <w:rPr>
          <w:lang w:val="fr-CA"/>
        </w:rPr>
        <w:t>[</w:t>
      </w:r>
      <w:r w:rsidRPr="000B7739">
        <w:rPr>
          <w:lang w:val="fr-CA"/>
        </w:rPr>
        <w:t>chacun</w:t>
      </w:r>
      <w:r w:rsidR="00A712B4" w:rsidRPr="000B7739">
        <w:rPr>
          <w:lang w:val="fr-CA"/>
        </w:rPr>
        <w:t> </w:t>
      </w:r>
      <w:r w:rsidRPr="000B7739">
        <w:rPr>
          <w:lang w:val="fr-CA"/>
        </w:rPr>
        <w:t>des</w:t>
      </w:r>
      <w:r w:rsidR="00A712B4" w:rsidRPr="000B7739">
        <w:rPr>
          <w:lang w:val="fr-CA"/>
        </w:rPr>
        <w:t> </w:t>
      </w:r>
      <w:r w:rsidRPr="000B7739">
        <w:rPr>
          <w:lang w:val="fr-CA"/>
        </w:rPr>
        <w:t>trois</w:t>
      </w:r>
      <w:r w:rsidR="00A712B4" w:rsidRPr="000B7739">
        <w:rPr>
          <w:lang w:val="fr-CA"/>
        </w:rPr>
        <w:t> </w:t>
      </w:r>
      <w:r w:rsidRPr="000B7739">
        <w:rPr>
          <w:lang w:val="fr-CA"/>
        </w:rPr>
        <w:t>mois précédents termin</w:t>
      </w:r>
      <w:r w:rsidR="00D15FBE" w:rsidRPr="000B7739">
        <w:rPr>
          <w:lang w:val="fr-CA"/>
        </w:rPr>
        <w:t>és le ●</w:t>
      </w:r>
      <w:r w:rsidR="00EF795B" w:rsidRPr="000B7739">
        <w:rPr>
          <w:lang w:val="fr-CA"/>
        </w:rPr>
        <w:t xml:space="preserve">] </w:t>
      </w:r>
      <w:r w:rsidR="00D5110C" w:rsidRPr="000B7739">
        <w:rPr>
          <w:lang w:val="fr-CA"/>
        </w:rPr>
        <w:t xml:space="preserve">attestant </w:t>
      </w:r>
      <w:r w:rsidR="00612B12" w:rsidRPr="000B7739">
        <w:rPr>
          <w:lang w:val="fr-CA"/>
        </w:rPr>
        <w:t xml:space="preserve">que les </w:t>
      </w:r>
      <w:r w:rsidR="00D15FBE" w:rsidRPr="000B7739">
        <w:rPr>
          <w:lang w:val="fr-CA"/>
        </w:rPr>
        <w:t>résultats d</w:t>
      </w:r>
      <w:r w:rsidR="00564B0C" w:rsidRPr="000B7739">
        <w:rPr>
          <w:lang w:val="fr-CA"/>
        </w:rPr>
        <w:t>’</w:t>
      </w:r>
      <w:r w:rsidR="00D15FBE" w:rsidRPr="000B7739">
        <w:rPr>
          <w:lang w:val="fr-CA"/>
        </w:rPr>
        <w:t>exploitatio</w:t>
      </w:r>
      <w:r w:rsidR="00067E69" w:rsidRPr="000B7739">
        <w:rPr>
          <w:lang w:val="fr-CA"/>
        </w:rPr>
        <w:t>n</w:t>
      </w:r>
      <w:r w:rsidR="00D15FBE" w:rsidRPr="000B7739">
        <w:rPr>
          <w:lang w:val="fr-CA"/>
        </w:rPr>
        <w:t xml:space="preserve"> </w:t>
      </w:r>
      <w:r w:rsidR="00612B12" w:rsidRPr="000B7739">
        <w:rPr>
          <w:lang w:val="fr-CA"/>
        </w:rPr>
        <w:t>sont</w:t>
      </w:r>
      <w:r w:rsidR="00A712B4" w:rsidRPr="000B7739">
        <w:rPr>
          <w:lang w:val="fr-CA"/>
        </w:rPr>
        <w:t> </w:t>
      </w:r>
      <w:r w:rsidR="00612B12" w:rsidRPr="000B7739">
        <w:rPr>
          <w:lang w:val="fr-CA"/>
        </w:rPr>
        <w:t>acceptables pour</w:t>
      </w:r>
      <w:r w:rsidR="00A712B4" w:rsidRPr="000B7739">
        <w:rPr>
          <w:lang w:val="fr-CA"/>
        </w:rPr>
        <w:t> </w:t>
      </w:r>
      <w:r w:rsidR="00D15FBE" w:rsidRPr="000B7739">
        <w:rPr>
          <w:lang w:val="fr-CA"/>
        </w:rPr>
        <w:t>la</w:t>
      </w:r>
      <w:r w:rsidR="00A712B4" w:rsidRPr="000B7739">
        <w:rPr>
          <w:lang w:val="fr-CA"/>
        </w:rPr>
        <w:t> </w:t>
      </w:r>
      <w:r w:rsidR="00D15FBE" w:rsidRPr="000B7739">
        <w:rPr>
          <w:lang w:val="fr-CA"/>
        </w:rPr>
        <w:t>Banque</w:t>
      </w:r>
      <w:r w:rsidR="00FE7B73" w:rsidRPr="000B7739">
        <w:rPr>
          <w:lang w:val="fr-CA"/>
        </w:rPr>
        <w:t>;</w:t>
      </w:r>
    </w:p>
    <w:p w14:paraId="7C21C926" w14:textId="3410225B" w:rsidR="00766DDB" w:rsidRPr="000B7739" w:rsidRDefault="00D5110C" w:rsidP="000B7739">
      <w:pPr>
        <w:pStyle w:val="04LOLglNew3"/>
        <w:numPr>
          <w:ilvl w:val="2"/>
          <w:numId w:val="36"/>
        </w:numPr>
        <w:rPr>
          <w:lang w:val="fr-CA"/>
        </w:rPr>
      </w:pPr>
      <w:r w:rsidRPr="000B7739">
        <w:rPr>
          <w:lang w:val="fr-CA"/>
        </w:rPr>
        <w:t>l</w:t>
      </w:r>
      <w:r w:rsidR="00D15FBE" w:rsidRPr="000B7739">
        <w:rPr>
          <w:lang w:val="fr-CA"/>
        </w:rPr>
        <w:t xml:space="preserve">es </w:t>
      </w:r>
      <w:r w:rsidR="00612B12" w:rsidRPr="000B7739">
        <w:rPr>
          <w:lang w:val="fr-CA"/>
        </w:rPr>
        <w:t>documents</w:t>
      </w:r>
      <w:r w:rsidR="0011404F" w:rsidRPr="000B7739">
        <w:rPr>
          <w:lang w:val="fr-CA"/>
        </w:rPr>
        <w:t xml:space="preserve"> financiers</w:t>
      </w:r>
      <w:r w:rsidR="00612B12" w:rsidRPr="000B7739">
        <w:rPr>
          <w:lang w:val="fr-CA"/>
        </w:rPr>
        <w:t xml:space="preserve"> </w:t>
      </w:r>
      <w:r w:rsidRPr="000B7739">
        <w:rPr>
          <w:lang w:val="fr-CA"/>
        </w:rPr>
        <w:t>de l</w:t>
      </w:r>
      <w:r w:rsidR="00564B0C" w:rsidRPr="000B7739">
        <w:rPr>
          <w:lang w:val="fr-CA"/>
        </w:rPr>
        <w:t>’</w:t>
      </w:r>
      <w:r w:rsidRPr="000B7739">
        <w:rPr>
          <w:lang w:val="fr-CA"/>
        </w:rPr>
        <w:t xml:space="preserve">Emprunteur [et de tout autre </w:t>
      </w:r>
      <w:r w:rsidR="008121D8" w:rsidRPr="000B7739">
        <w:rPr>
          <w:lang w:val="fr-CA"/>
        </w:rPr>
        <w:t>Bénéficiaire du crédit</w:t>
      </w:r>
      <w:r w:rsidRPr="000B7739">
        <w:rPr>
          <w:lang w:val="fr-CA"/>
        </w:rPr>
        <w:t xml:space="preserve">] pour </w:t>
      </w:r>
      <w:r w:rsidR="00D15FBE" w:rsidRPr="000B7739">
        <w:rPr>
          <w:lang w:val="fr-CA"/>
        </w:rPr>
        <w:t>la</w:t>
      </w:r>
      <w:r w:rsidRPr="000B7739">
        <w:rPr>
          <w:lang w:val="fr-CA"/>
        </w:rPr>
        <w:t xml:space="preserve"> dernière</w:t>
      </w:r>
      <w:r w:rsidR="00D15FBE" w:rsidRPr="000B7739">
        <w:rPr>
          <w:lang w:val="fr-CA"/>
        </w:rPr>
        <w:t xml:space="preserve"> période de décl</w:t>
      </w:r>
      <w:r w:rsidR="00067E69" w:rsidRPr="000B7739">
        <w:rPr>
          <w:lang w:val="fr-CA"/>
        </w:rPr>
        <w:t>a</w:t>
      </w:r>
      <w:r w:rsidR="00D15FBE" w:rsidRPr="000B7739">
        <w:rPr>
          <w:lang w:val="fr-CA"/>
        </w:rPr>
        <w:t>ration applicable</w:t>
      </w:r>
      <w:r w:rsidRPr="000B7739">
        <w:rPr>
          <w:lang w:val="fr-CA"/>
        </w:rPr>
        <w:t xml:space="preserve"> indiqué</w:t>
      </w:r>
      <w:r w:rsidR="007539F0" w:rsidRPr="000B7739">
        <w:rPr>
          <w:lang w:val="fr-CA"/>
        </w:rPr>
        <w:t>s</w:t>
      </w:r>
      <w:r w:rsidRPr="000B7739">
        <w:rPr>
          <w:lang w:val="fr-CA"/>
        </w:rPr>
        <w:t xml:space="preserve"> </w:t>
      </w:r>
      <w:r w:rsidR="00D15FBE" w:rsidRPr="000B7739">
        <w:rPr>
          <w:lang w:val="fr-CA"/>
        </w:rPr>
        <w:t>à</w:t>
      </w:r>
      <w:r w:rsidR="00067E69" w:rsidRPr="000B7739">
        <w:rPr>
          <w:lang w:val="fr-CA"/>
        </w:rPr>
        <w:t xml:space="preserve"> </w:t>
      </w:r>
      <w:r w:rsidR="00D15FBE" w:rsidRPr="000B7739">
        <w:rPr>
          <w:lang w:val="fr-CA"/>
        </w:rPr>
        <w:t>l</w:t>
      </w:r>
      <w:r w:rsidR="00564B0C" w:rsidRPr="000B7739">
        <w:rPr>
          <w:lang w:val="fr-CA"/>
        </w:rPr>
        <w:t>’</w:t>
      </w:r>
      <w:r w:rsidR="00D15FBE" w:rsidRPr="000B7739">
        <w:rPr>
          <w:lang w:val="fr-CA"/>
        </w:rPr>
        <w:t>article</w:t>
      </w:r>
      <w:r w:rsidR="00AC4107" w:rsidRPr="000B7739">
        <w:rPr>
          <w:lang w:val="fr-CA"/>
        </w:rPr>
        <w:t xml:space="preserve"> </w:t>
      </w:r>
      <w:r w:rsidR="00766DDB" w:rsidRPr="000B7739">
        <w:rPr>
          <w:lang w:val="fr-CA"/>
        </w:rPr>
        <w:t>[</w:t>
      </w:r>
      <w:r w:rsidR="001D13E4" w:rsidRPr="000B7739">
        <w:rPr>
          <w:lang w:val="fr-CA"/>
        </w:rPr>
        <w:t>12</w:t>
      </w:r>
      <w:r w:rsidR="00EF795B" w:rsidRPr="000B7739">
        <w:rPr>
          <w:lang w:val="fr-CA"/>
        </w:rPr>
        <w:t>]</w:t>
      </w:r>
      <w:r w:rsidR="00966FC9" w:rsidRPr="000B7739">
        <w:rPr>
          <w:lang w:val="fr-CA"/>
        </w:rPr>
        <w:t>;</w:t>
      </w:r>
    </w:p>
    <w:p w14:paraId="372EAF71" w14:textId="7288419C" w:rsidR="00D5110C" w:rsidRPr="000B7739" w:rsidRDefault="00D5110C" w:rsidP="000B7739">
      <w:pPr>
        <w:pStyle w:val="04LOLglNew3"/>
        <w:numPr>
          <w:ilvl w:val="2"/>
          <w:numId w:val="36"/>
        </w:numPr>
        <w:rPr>
          <w:lang w:val="fr-CA"/>
        </w:rPr>
      </w:pPr>
      <w:r w:rsidRPr="000B7739">
        <w:rPr>
          <w:lang w:val="fr-CA"/>
        </w:rPr>
        <w:t>l</w:t>
      </w:r>
      <w:r w:rsidR="00D15FBE" w:rsidRPr="000B7739">
        <w:rPr>
          <w:lang w:val="fr-CA"/>
        </w:rPr>
        <w:t>es rel</w:t>
      </w:r>
      <w:r w:rsidR="00067E69" w:rsidRPr="000B7739">
        <w:rPr>
          <w:lang w:val="fr-CA"/>
        </w:rPr>
        <w:t>e</w:t>
      </w:r>
      <w:r w:rsidR="00D15FBE" w:rsidRPr="000B7739">
        <w:rPr>
          <w:lang w:val="fr-CA"/>
        </w:rPr>
        <w:t xml:space="preserve">vés bancaires, </w:t>
      </w:r>
      <w:r w:rsidRPr="000B7739">
        <w:rPr>
          <w:lang w:val="fr-CA"/>
        </w:rPr>
        <w:t>l</w:t>
      </w:r>
      <w:r w:rsidR="00D15FBE" w:rsidRPr="000B7739">
        <w:rPr>
          <w:lang w:val="fr-CA"/>
        </w:rPr>
        <w:t xml:space="preserve">es listes de </w:t>
      </w:r>
      <w:r w:rsidR="00580BA8" w:rsidRPr="000B7739">
        <w:rPr>
          <w:lang w:val="fr-CA"/>
        </w:rPr>
        <w:t>Comptes clients</w:t>
      </w:r>
      <w:r w:rsidR="00D15FBE" w:rsidRPr="000B7739">
        <w:rPr>
          <w:lang w:val="fr-CA"/>
        </w:rPr>
        <w:t xml:space="preserve"> et d</w:t>
      </w:r>
      <w:r w:rsidR="00564B0C" w:rsidRPr="000B7739">
        <w:rPr>
          <w:lang w:val="fr-CA"/>
        </w:rPr>
        <w:t>’</w:t>
      </w:r>
      <w:r w:rsidR="00D15FBE" w:rsidRPr="000B7739">
        <w:rPr>
          <w:lang w:val="fr-CA"/>
        </w:rPr>
        <w:t>autres renseignements sur l</w:t>
      </w:r>
      <w:r w:rsidR="00067E69" w:rsidRPr="000B7739">
        <w:rPr>
          <w:lang w:val="fr-CA"/>
        </w:rPr>
        <w:t>e</w:t>
      </w:r>
      <w:r w:rsidR="00D15FBE" w:rsidRPr="000B7739">
        <w:rPr>
          <w:lang w:val="fr-CA"/>
        </w:rPr>
        <w:t xml:space="preserve">s marges </w:t>
      </w:r>
      <w:r w:rsidR="00F827C2" w:rsidRPr="000B7739">
        <w:rPr>
          <w:lang w:val="fr-CA"/>
        </w:rPr>
        <w:t>[</w:t>
      </w:r>
      <w:r w:rsidR="00D15FBE" w:rsidRPr="000B7739">
        <w:rPr>
          <w:lang w:val="fr-CA"/>
        </w:rPr>
        <w:t>de</w:t>
      </w:r>
      <w:r w:rsidR="00A712B4" w:rsidRPr="000B7739">
        <w:rPr>
          <w:lang w:val="fr-CA"/>
        </w:rPr>
        <w:t> </w:t>
      </w:r>
      <w:r w:rsidR="00D15FBE" w:rsidRPr="000B7739">
        <w:rPr>
          <w:lang w:val="fr-CA"/>
        </w:rPr>
        <w:t>l</w:t>
      </w:r>
      <w:r w:rsidR="00564B0C" w:rsidRPr="000B7739">
        <w:rPr>
          <w:lang w:val="fr-CA"/>
        </w:rPr>
        <w:t>’</w:t>
      </w:r>
      <w:r w:rsidR="00D15FBE" w:rsidRPr="000B7739">
        <w:rPr>
          <w:lang w:val="fr-CA"/>
        </w:rPr>
        <w:t>E</w:t>
      </w:r>
      <w:r w:rsidR="00067E69" w:rsidRPr="000B7739">
        <w:rPr>
          <w:lang w:val="fr-CA"/>
        </w:rPr>
        <w:t>mprunteur</w:t>
      </w:r>
      <w:r w:rsidR="00B67E21" w:rsidRPr="000B7739">
        <w:rPr>
          <w:lang w:val="fr-CA"/>
        </w:rPr>
        <w:t xml:space="preserve"> </w:t>
      </w:r>
      <w:r w:rsidR="001934B0" w:rsidRPr="000B7739">
        <w:rPr>
          <w:b/>
          <w:color w:val="00B0F0"/>
          <w:highlight w:val="yellow"/>
          <w:lang w:val="fr-CA"/>
        </w:rPr>
        <w:t>OU</w:t>
      </w:r>
      <w:r w:rsidR="00B67E21" w:rsidRPr="000B7739">
        <w:rPr>
          <w:lang w:val="fr-CA"/>
        </w:rPr>
        <w:t xml:space="preserve"> </w:t>
      </w:r>
      <w:r w:rsidR="00F827C2" w:rsidRPr="000B7739">
        <w:rPr>
          <w:lang w:val="fr-CA"/>
        </w:rPr>
        <w:t>des Emprunteurs]</w:t>
      </w:r>
      <w:r w:rsidR="00D15FBE" w:rsidRPr="000B7739">
        <w:rPr>
          <w:lang w:val="fr-CA"/>
        </w:rPr>
        <w:t xml:space="preserve"> pour chacun des trois</w:t>
      </w:r>
      <w:r w:rsidR="00AC4107" w:rsidRPr="000B7739">
        <w:rPr>
          <w:lang w:val="fr-CA"/>
        </w:rPr>
        <w:t xml:space="preserve"> </w:t>
      </w:r>
      <w:r w:rsidR="00D15FBE" w:rsidRPr="000B7739">
        <w:rPr>
          <w:lang w:val="fr-CA"/>
        </w:rPr>
        <w:t>mois</w:t>
      </w:r>
      <w:r w:rsidR="00437314" w:rsidRPr="000B7739">
        <w:rPr>
          <w:lang w:val="fr-CA"/>
        </w:rPr>
        <w:t xml:space="preserve"> précédant le déboursement</w:t>
      </w:r>
      <w:r w:rsidR="00D15FBE" w:rsidRPr="000B7739">
        <w:rPr>
          <w:lang w:val="fr-CA"/>
        </w:rPr>
        <w:t>;</w:t>
      </w:r>
      <w:r w:rsidRPr="000B7739">
        <w:rPr>
          <w:lang w:val="fr-CA"/>
        </w:rPr>
        <w:t xml:space="preserve"> </w:t>
      </w:r>
    </w:p>
    <w:p w14:paraId="150D469D" w14:textId="72E16289" w:rsidR="009926E7" w:rsidRPr="000B7739" w:rsidRDefault="00D15FBE" w:rsidP="000B7739">
      <w:pPr>
        <w:pStyle w:val="04LOLglNew3"/>
        <w:numPr>
          <w:ilvl w:val="2"/>
          <w:numId w:val="36"/>
        </w:numPr>
        <w:rPr>
          <w:lang w:val="fr-CA"/>
        </w:rPr>
      </w:pPr>
      <w:r w:rsidRPr="000B7739">
        <w:rPr>
          <w:lang w:val="fr-CA"/>
        </w:rPr>
        <w:t>un plan d</w:t>
      </w:r>
      <w:r w:rsidR="00564B0C" w:rsidRPr="000B7739">
        <w:rPr>
          <w:lang w:val="fr-CA"/>
        </w:rPr>
        <w:t>’</w:t>
      </w:r>
      <w:r w:rsidRPr="000B7739">
        <w:rPr>
          <w:lang w:val="fr-CA"/>
        </w:rPr>
        <w:t>affaire</w:t>
      </w:r>
      <w:r w:rsidR="00052CB0" w:rsidRPr="000B7739">
        <w:rPr>
          <w:lang w:val="fr-CA"/>
        </w:rPr>
        <w:t>s</w:t>
      </w:r>
      <w:r w:rsidRPr="000B7739">
        <w:rPr>
          <w:lang w:val="fr-CA"/>
        </w:rPr>
        <w:t xml:space="preserve"> comprenant </w:t>
      </w:r>
      <w:r w:rsidR="00A656E7" w:rsidRPr="000B7739">
        <w:rPr>
          <w:lang w:val="fr-CA"/>
        </w:rPr>
        <w:t>l</w:t>
      </w:r>
      <w:r w:rsidRPr="000B7739">
        <w:rPr>
          <w:lang w:val="fr-CA"/>
        </w:rPr>
        <w:t xml:space="preserve">es prévisions de trésorerie </w:t>
      </w:r>
      <w:r w:rsidR="00F827C2" w:rsidRPr="000B7739">
        <w:rPr>
          <w:lang w:val="fr-CA"/>
        </w:rPr>
        <w:t>[</w:t>
      </w:r>
      <w:r w:rsidRPr="000B7739">
        <w:rPr>
          <w:lang w:val="fr-CA"/>
        </w:rPr>
        <w:t>de l</w:t>
      </w:r>
      <w:r w:rsidR="00564B0C" w:rsidRPr="000B7739">
        <w:rPr>
          <w:lang w:val="fr-CA"/>
        </w:rPr>
        <w:t>’</w:t>
      </w:r>
      <w:r w:rsidRPr="000B7739">
        <w:rPr>
          <w:lang w:val="fr-CA"/>
        </w:rPr>
        <w:t>E</w:t>
      </w:r>
      <w:r w:rsidR="00067E69" w:rsidRPr="000B7739">
        <w:rPr>
          <w:lang w:val="fr-CA"/>
        </w:rPr>
        <w:t>mprunteur</w:t>
      </w:r>
      <w:r w:rsidR="00B67E21" w:rsidRPr="000B7739">
        <w:rPr>
          <w:lang w:val="fr-CA"/>
        </w:rPr>
        <w:t xml:space="preserve"> </w:t>
      </w:r>
      <w:r w:rsidR="001934B0" w:rsidRPr="000B7739">
        <w:rPr>
          <w:b/>
          <w:color w:val="00B0F0"/>
          <w:highlight w:val="yellow"/>
          <w:lang w:val="fr-CA"/>
        </w:rPr>
        <w:t>OU</w:t>
      </w:r>
      <w:r w:rsidR="00B67E21" w:rsidRPr="000B7739">
        <w:rPr>
          <w:lang w:val="fr-CA"/>
        </w:rPr>
        <w:t xml:space="preserve"> </w:t>
      </w:r>
      <w:r w:rsidR="00F827C2" w:rsidRPr="000B7739">
        <w:rPr>
          <w:lang w:val="fr-CA"/>
        </w:rPr>
        <w:t>des Emprunteurs]</w:t>
      </w:r>
      <w:r w:rsidRPr="000B7739">
        <w:rPr>
          <w:lang w:val="fr-CA"/>
        </w:rPr>
        <w:t xml:space="preserve"> pour l</w:t>
      </w:r>
      <w:r w:rsidR="00564B0C" w:rsidRPr="000B7739">
        <w:rPr>
          <w:lang w:val="fr-CA"/>
        </w:rPr>
        <w:t>’</w:t>
      </w:r>
      <w:r w:rsidRPr="000B7739">
        <w:rPr>
          <w:lang w:val="fr-CA"/>
        </w:rPr>
        <w:t>exercice</w:t>
      </w:r>
      <w:r w:rsidR="00F827C2" w:rsidRPr="000B7739">
        <w:rPr>
          <w:lang w:val="fr-CA"/>
        </w:rPr>
        <w:t xml:space="preserve"> se terminant le </w:t>
      </w:r>
      <w:r w:rsidRPr="000B7739">
        <w:rPr>
          <w:lang w:val="fr-CA"/>
        </w:rPr>
        <w:t xml:space="preserve">●, </w:t>
      </w:r>
      <w:r w:rsidR="00612B12" w:rsidRPr="000B7739">
        <w:rPr>
          <w:lang w:val="fr-CA"/>
        </w:rPr>
        <w:t xml:space="preserve">démontrant </w:t>
      </w:r>
      <w:r w:rsidRPr="000B7739">
        <w:rPr>
          <w:lang w:val="fr-CA"/>
        </w:rPr>
        <w:t xml:space="preserve">que </w:t>
      </w:r>
      <w:r w:rsidR="00F827C2" w:rsidRPr="000B7739">
        <w:rPr>
          <w:lang w:val="fr-CA"/>
        </w:rPr>
        <w:t>[</w:t>
      </w:r>
      <w:r w:rsidRPr="000B7739">
        <w:rPr>
          <w:lang w:val="fr-CA"/>
        </w:rPr>
        <w:t>celu</w:t>
      </w:r>
      <w:r w:rsidR="00067E69" w:rsidRPr="000B7739">
        <w:rPr>
          <w:lang w:val="fr-CA"/>
        </w:rPr>
        <w:t>i</w:t>
      </w:r>
      <w:r w:rsidRPr="000B7739">
        <w:rPr>
          <w:lang w:val="fr-CA"/>
        </w:rPr>
        <w:noBreakHyphen/>
        <w:t>c</w:t>
      </w:r>
      <w:r w:rsidR="007A6048" w:rsidRPr="000B7739">
        <w:rPr>
          <w:lang w:val="fr-CA"/>
        </w:rPr>
        <w:t>i est</w:t>
      </w:r>
      <w:r w:rsidR="00B67E21" w:rsidRPr="000B7739">
        <w:rPr>
          <w:lang w:val="fr-CA"/>
        </w:rPr>
        <w:t xml:space="preserve"> </w:t>
      </w:r>
      <w:r w:rsidR="001934B0" w:rsidRPr="000B7739">
        <w:rPr>
          <w:b/>
          <w:color w:val="00B0F0"/>
          <w:highlight w:val="yellow"/>
          <w:lang w:val="fr-CA"/>
        </w:rPr>
        <w:t>OU</w:t>
      </w:r>
      <w:r w:rsidR="00B67E21" w:rsidRPr="000B7739">
        <w:rPr>
          <w:lang w:val="fr-CA"/>
        </w:rPr>
        <w:t xml:space="preserve"> </w:t>
      </w:r>
      <w:r w:rsidR="00F827C2" w:rsidRPr="000B7739">
        <w:rPr>
          <w:lang w:val="fr-CA"/>
        </w:rPr>
        <w:t>ceux</w:t>
      </w:r>
      <w:r w:rsidR="00F827C2" w:rsidRPr="000B7739">
        <w:rPr>
          <w:lang w:val="fr-CA"/>
        </w:rPr>
        <w:noBreakHyphen/>
        <w:t>ci sont]</w:t>
      </w:r>
      <w:r w:rsidRPr="000B7739">
        <w:rPr>
          <w:lang w:val="fr-CA"/>
        </w:rPr>
        <w:t xml:space="preserve"> en mesure de</w:t>
      </w:r>
      <w:r w:rsidR="00A712B4" w:rsidRPr="000B7739">
        <w:rPr>
          <w:lang w:val="fr-CA"/>
        </w:rPr>
        <w:t> </w:t>
      </w:r>
      <w:r w:rsidRPr="000B7739">
        <w:rPr>
          <w:lang w:val="fr-CA"/>
        </w:rPr>
        <w:t>se</w:t>
      </w:r>
      <w:r w:rsidR="00A712B4" w:rsidRPr="000B7739">
        <w:rPr>
          <w:lang w:val="fr-CA"/>
        </w:rPr>
        <w:t> </w:t>
      </w:r>
      <w:r w:rsidRPr="000B7739">
        <w:rPr>
          <w:lang w:val="fr-CA"/>
        </w:rPr>
        <w:t>conformer, chaque mois, aux modalités des Facilités de crédit;</w:t>
      </w:r>
      <w:r w:rsidR="00966FC9" w:rsidRPr="000B7739">
        <w:rPr>
          <w:lang w:val="fr-CA"/>
        </w:rPr>
        <w:t xml:space="preserve"> </w:t>
      </w:r>
    </w:p>
    <w:p w14:paraId="395AB03B" w14:textId="4533905F" w:rsidR="00966FC9" w:rsidRPr="000B7739" w:rsidRDefault="00D15FBE" w:rsidP="000B7739">
      <w:pPr>
        <w:pStyle w:val="04LOLglNew3"/>
        <w:numPr>
          <w:ilvl w:val="2"/>
          <w:numId w:val="36"/>
        </w:numPr>
        <w:rPr>
          <w:rStyle w:val="Prompt"/>
          <w:color w:val="auto"/>
          <w:lang w:val="fr-CA"/>
        </w:rPr>
      </w:pPr>
      <w:r w:rsidRPr="000B7739">
        <w:rPr>
          <w:lang w:val="fr-CA"/>
        </w:rPr>
        <w:t>une lettre d</w:t>
      </w:r>
      <w:r w:rsidR="00564B0C" w:rsidRPr="000B7739">
        <w:rPr>
          <w:lang w:val="fr-CA"/>
        </w:rPr>
        <w:t>’</w:t>
      </w:r>
      <w:r w:rsidRPr="000B7739">
        <w:rPr>
          <w:lang w:val="fr-CA"/>
        </w:rPr>
        <w:t xml:space="preserve">évaluation ou de </w:t>
      </w:r>
      <w:r w:rsidR="00612B12" w:rsidRPr="000B7739">
        <w:rPr>
          <w:lang w:val="fr-CA"/>
        </w:rPr>
        <w:t xml:space="preserve">déclaration </w:t>
      </w:r>
      <w:r w:rsidRPr="000B7739">
        <w:rPr>
          <w:lang w:val="fr-CA"/>
        </w:rPr>
        <w:t xml:space="preserve">adressée à la Banque </w:t>
      </w:r>
      <w:r w:rsidR="00612B12" w:rsidRPr="000B7739">
        <w:rPr>
          <w:lang w:val="fr-CA"/>
        </w:rPr>
        <w:t xml:space="preserve">par </w:t>
      </w:r>
      <w:r w:rsidRPr="000B7739">
        <w:rPr>
          <w:lang w:val="fr-CA"/>
        </w:rPr>
        <w:t xml:space="preserve">un </w:t>
      </w:r>
      <w:r w:rsidR="00A656E7" w:rsidRPr="000B7739">
        <w:rPr>
          <w:lang w:val="fr-CA"/>
        </w:rPr>
        <w:t xml:space="preserve">expert approuvé </w:t>
      </w:r>
      <w:r w:rsidR="00052CB0" w:rsidRPr="000B7739">
        <w:rPr>
          <w:lang w:val="fr-CA"/>
        </w:rPr>
        <w:t>par</w:t>
      </w:r>
      <w:r w:rsidR="00A712B4" w:rsidRPr="000B7739">
        <w:rPr>
          <w:lang w:val="fr-CA"/>
        </w:rPr>
        <w:t> </w:t>
      </w:r>
      <w:r w:rsidR="00A656E7" w:rsidRPr="000B7739">
        <w:rPr>
          <w:lang w:val="fr-CA"/>
        </w:rPr>
        <w:t>cette</w:t>
      </w:r>
      <w:r w:rsidR="00A712B4" w:rsidRPr="000B7739">
        <w:rPr>
          <w:lang w:val="fr-CA"/>
        </w:rPr>
        <w:t> </w:t>
      </w:r>
      <w:r w:rsidR="00A656E7" w:rsidRPr="000B7739">
        <w:rPr>
          <w:lang w:val="fr-CA"/>
        </w:rPr>
        <w:t>dernière</w:t>
      </w:r>
      <w:r w:rsidR="001E4619" w:rsidRPr="000B7739">
        <w:rPr>
          <w:lang w:val="fr-CA"/>
        </w:rPr>
        <w:t xml:space="preserve"> </w:t>
      </w:r>
      <w:r w:rsidR="00A656E7" w:rsidRPr="000B7739">
        <w:rPr>
          <w:lang w:val="fr-CA"/>
        </w:rPr>
        <w:t xml:space="preserve">qui </w:t>
      </w:r>
      <w:r w:rsidRPr="000B7739">
        <w:rPr>
          <w:lang w:val="fr-CA"/>
        </w:rPr>
        <w:t>attest</w:t>
      </w:r>
      <w:r w:rsidR="00A656E7" w:rsidRPr="000B7739">
        <w:rPr>
          <w:lang w:val="fr-CA"/>
        </w:rPr>
        <w:t>e</w:t>
      </w:r>
      <w:r w:rsidRPr="000B7739">
        <w:rPr>
          <w:lang w:val="fr-CA"/>
        </w:rPr>
        <w:t xml:space="preserve"> </w:t>
      </w:r>
      <w:r w:rsidR="00A656E7" w:rsidRPr="000B7739">
        <w:rPr>
          <w:lang w:val="fr-CA"/>
        </w:rPr>
        <w:t>que la</w:t>
      </w:r>
      <w:r w:rsidRPr="000B7739">
        <w:rPr>
          <w:lang w:val="fr-CA"/>
        </w:rPr>
        <w:t xml:space="preserve"> juste valeur marchande actuelle</w:t>
      </w:r>
      <w:r w:rsidR="00437314" w:rsidRPr="000B7739">
        <w:rPr>
          <w:lang w:val="fr-CA"/>
        </w:rPr>
        <w:t xml:space="preserve"> de la Propriété</w:t>
      </w:r>
      <w:r w:rsidRPr="000B7739">
        <w:rPr>
          <w:lang w:val="fr-CA"/>
        </w:rPr>
        <w:t xml:space="preserve"> </w:t>
      </w:r>
      <w:r w:rsidR="00A656E7" w:rsidRPr="000B7739">
        <w:rPr>
          <w:lang w:val="fr-CA"/>
        </w:rPr>
        <w:t>s</w:t>
      </w:r>
      <w:r w:rsidR="00564B0C" w:rsidRPr="000B7739">
        <w:rPr>
          <w:lang w:val="fr-CA"/>
        </w:rPr>
        <w:t>’</w:t>
      </w:r>
      <w:r w:rsidR="00A656E7" w:rsidRPr="000B7739">
        <w:rPr>
          <w:lang w:val="fr-CA"/>
        </w:rPr>
        <w:t xml:space="preserve">établit </w:t>
      </w:r>
      <w:r w:rsidRPr="000B7739">
        <w:rPr>
          <w:lang w:val="fr-CA"/>
        </w:rPr>
        <w:t>au</w:t>
      </w:r>
      <w:r w:rsidR="00A712B4" w:rsidRPr="000B7739">
        <w:rPr>
          <w:lang w:val="fr-CA"/>
        </w:rPr>
        <w:t> </w:t>
      </w:r>
      <w:r w:rsidRPr="000B7739">
        <w:rPr>
          <w:lang w:val="fr-CA"/>
        </w:rPr>
        <w:t>moins</w:t>
      </w:r>
      <w:r w:rsidR="00A656E7" w:rsidRPr="000B7739">
        <w:rPr>
          <w:lang w:val="fr-CA"/>
        </w:rPr>
        <w:t xml:space="preserve"> à</w:t>
      </w:r>
      <w:r w:rsidR="00363F9D" w:rsidRPr="000B7739">
        <w:rPr>
          <w:lang w:val="fr-CA"/>
        </w:rPr>
        <w:t> </w:t>
      </w:r>
      <w:r w:rsidR="002F781B" w:rsidRPr="000B7739">
        <w:rPr>
          <w:lang w:val="fr-CA"/>
        </w:rPr>
        <w:t>●</w:t>
      </w:r>
      <w:r w:rsidR="00AC4107" w:rsidRPr="000B7739">
        <w:rPr>
          <w:lang w:val="fr-CA"/>
        </w:rPr>
        <w:t xml:space="preserve"> </w:t>
      </w:r>
      <w:r w:rsidR="002F781B" w:rsidRPr="000B7739">
        <w:rPr>
          <w:lang w:val="fr-CA"/>
        </w:rPr>
        <w:t>$</w:t>
      </w:r>
      <w:r w:rsidR="00AC4107" w:rsidRPr="000B7739">
        <w:rPr>
          <w:lang w:val="fr-CA"/>
        </w:rPr>
        <w:t xml:space="preserve"> </w:t>
      </w:r>
      <w:r w:rsidR="002F781B" w:rsidRPr="000B7739">
        <w:rPr>
          <w:lang w:val="fr-CA"/>
        </w:rPr>
        <w:t>CA</w:t>
      </w:r>
      <w:r w:rsidR="0051185E" w:rsidRPr="000B7739">
        <w:rPr>
          <w:rStyle w:val="Prompt"/>
          <w:color w:val="auto"/>
          <w:lang w:val="fr-CA"/>
        </w:rPr>
        <w:t>;</w:t>
      </w:r>
    </w:p>
    <w:p w14:paraId="67278DF0" w14:textId="268B6CF5" w:rsidR="00A6118D" w:rsidRPr="000B7739" w:rsidRDefault="00D15FBE" w:rsidP="000B7739">
      <w:pPr>
        <w:pStyle w:val="04LOLglNew3"/>
        <w:numPr>
          <w:ilvl w:val="2"/>
          <w:numId w:val="36"/>
        </w:numPr>
        <w:rPr>
          <w:lang w:val="fr-CA"/>
        </w:rPr>
      </w:pPr>
      <w:r w:rsidRPr="000B7739">
        <w:rPr>
          <w:lang w:val="fr-CA"/>
        </w:rPr>
        <w:t xml:space="preserve">des </w:t>
      </w:r>
      <w:r w:rsidR="00C16D39" w:rsidRPr="000B7739">
        <w:rPr>
          <w:lang w:val="fr-CA"/>
        </w:rPr>
        <w:t xml:space="preserve">copies </w:t>
      </w:r>
      <w:r w:rsidRPr="000B7739">
        <w:rPr>
          <w:lang w:val="fr-CA"/>
        </w:rPr>
        <w:t xml:space="preserve">de tous les documents </w:t>
      </w:r>
      <w:r w:rsidR="00612B12" w:rsidRPr="000B7739">
        <w:rPr>
          <w:lang w:val="fr-CA"/>
        </w:rPr>
        <w:t xml:space="preserve">pertinents se rapportant </w:t>
      </w:r>
      <w:r w:rsidRPr="000B7739">
        <w:rPr>
          <w:lang w:val="fr-CA"/>
        </w:rPr>
        <w:t>au titre et à l</w:t>
      </w:r>
      <w:r w:rsidR="00564B0C" w:rsidRPr="000B7739">
        <w:rPr>
          <w:lang w:val="fr-CA"/>
        </w:rPr>
        <w:t>’</w:t>
      </w:r>
      <w:r w:rsidRPr="000B7739">
        <w:rPr>
          <w:lang w:val="fr-CA"/>
        </w:rPr>
        <w:t>utilisation</w:t>
      </w:r>
      <w:r w:rsidR="00437314" w:rsidRPr="000B7739">
        <w:rPr>
          <w:lang w:val="fr-CA"/>
        </w:rPr>
        <w:t xml:space="preserve"> de la Propriété</w:t>
      </w:r>
      <w:r w:rsidRPr="000B7739">
        <w:rPr>
          <w:lang w:val="fr-CA"/>
        </w:rPr>
        <w:t>, y</w:t>
      </w:r>
      <w:r w:rsidR="00363F9D" w:rsidRPr="000B7739">
        <w:rPr>
          <w:lang w:val="fr-CA"/>
        </w:rPr>
        <w:t> </w:t>
      </w:r>
      <w:r w:rsidRPr="000B7739">
        <w:rPr>
          <w:lang w:val="fr-CA"/>
        </w:rPr>
        <w:t>compris (i)</w:t>
      </w:r>
      <w:r w:rsidR="00AC4107" w:rsidRPr="000B7739">
        <w:rPr>
          <w:lang w:val="fr-CA"/>
        </w:rPr>
        <w:t xml:space="preserve"> </w:t>
      </w:r>
      <w:r w:rsidRPr="000B7739">
        <w:rPr>
          <w:lang w:val="fr-CA"/>
        </w:rPr>
        <w:t xml:space="preserve">un </w:t>
      </w:r>
      <w:r w:rsidR="00395D08" w:rsidRPr="000B7739">
        <w:rPr>
          <w:lang w:val="fr-CA"/>
        </w:rPr>
        <w:t>certificat de localisation</w:t>
      </w:r>
      <w:r w:rsidRPr="000B7739">
        <w:rPr>
          <w:lang w:val="fr-CA"/>
        </w:rPr>
        <w:t xml:space="preserve"> à jour, (ii)</w:t>
      </w:r>
      <w:r w:rsidR="00AC4107" w:rsidRPr="000B7739">
        <w:rPr>
          <w:lang w:val="fr-CA"/>
        </w:rPr>
        <w:t xml:space="preserve"> </w:t>
      </w:r>
      <w:r w:rsidRPr="000B7739">
        <w:rPr>
          <w:lang w:val="fr-CA"/>
        </w:rPr>
        <w:t xml:space="preserve">des copies des </w:t>
      </w:r>
      <w:r w:rsidR="002C3BC6" w:rsidRPr="000B7739">
        <w:rPr>
          <w:lang w:val="fr-CA"/>
        </w:rPr>
        <w:t>Charges autorisées</w:t>
      </w:r>
      <w:r w:rsidRPr="000B7739">
        <w:rPr>
          <w:lang w:val="fr-CA"/>
        </w:rPr>
        <w:t xml:space="preserve"> et</w:t>
      </w:r>
      <w:r w:rsidR="00A712B4" w:rsidRPr="000B7739">
        <w:rPr>
          <w:lang w:val="fr-CA"/>
        </w:rPr>
        <w:t> </w:t>
      </w:r>
      <w:r w:rsidR="00A656E7" w:rsidRPr="000B7739">
        <w:rPr>
          <w:lang w:val="fr-CA"/>
        </w:rPr>
        <w:t>des</w:t>
      </w:r>
      <w:r w:rsidR="00A712B4" w:rsidRPr="000B7739">
        <w:rPr>
          <w:lang w:val="fr-CA"/>
        </w:rPr>
        <w:t> </w:t>
      </w:r>
      <w:r w:rsidR="00A656E7" w:rsidRPr="000B7739">
        <w:rPr>
          <w:lang w:val="fr-CA"/>
        </w:rPr>
        <w:t xml:space="preserve">preuves </w:t>
      </w:r>
      <w:r w:rsidRPr="000B7739">
        <w:rPr>
          <w:lang w:val="fr-CA"/>
        </w:rPr>
        <w:t>attesta</w:t>
      </w:r>
      <w:r w:rsidR="00A656E7" w:rsidRPr="000B7739">
        <w:rPr>
          <w:lang w:val="fr-CA"/>
        </w:rPr>
        <w:t>nt que celles</w:t>
      </w:r>
      <w:r w:rsidR="00A656E7" w:rsidRPr="000B7739">
        <w:rPr>
          <w:lang w:val="fr-CA"/>
        </w:rPr>
        <w:noBreakHyphen/>
        <w:t>ci sont en règle</w:t>
      </w:r>
      <w:r w:rsidRPr="000B7739">
        <w:rPr>
          <w:lang w:val="fr-CA"/>
        </w:rPr>
        <w:t>, (iii)</w:t>
      </w:r>
      <w:r w:rsidR="00AC4107" w:rsidRPr="000B7739">
        <w:rPr>
          <w:lang w:val="fr-CA"/>
        </w:rPr>
        <w:t xml:space="preserve"> </w:t>
      </w:r>
      <w:r w:rsidRPr="000B7739">
        <w:rPr>
          <w:lang w:val="fr-CA"/>
        </w:rPr>
        <w:t>des copies de tous les baux relatifs</w:t>
      </w:r>
      <w:r w:rsidR="00437314" w:rsidRPr="000B7739">
        <w:rPr>
          <w:lang w:val="fr-CA"/>
        </w:rPr>
        <w:t xml:space="preserve"> à</w:t>
      </w:r>
      <w:r w:rsidR="00A712B4" w:rsidRPr="000B7739">
        <w:rPr>
          <w:lang w:val="fr-CA"/>
        </w:rPr>
        <w:t> </w:t>
      </w:r>
      <w:r w:rsidR="00437314" w:rsidRPr="000B7739">
        <w:rPr>
          <w:lang w:val="fr-CA"/>
        </w:rPr>
        <w:t>la</w:t>
      </w:r>
      <w:r w:rsidR="00A712B4" w:rsidRPr="000B7739">
        <w:rPr>
          <w:lang w:val="fr-CA"/>
        </w:rPr>
        <w:t> </w:t>
      </w:r>
      <w:r w:rsidR="00437314" w:rsidRPr="000B7739">
        <w:rPr>
          <w:lang w:val="fr-CA"/>
        </w:rPr>
        <w:t>Propriété</w:t>
      </w:r>
      <w:r w:rsidRPr="000B7739">
        <w:rPr>
          <w:lang w:val="fr-CA"/>
        </w:rPr>
        <w:t xml:space="preserve"> et un </w:t>
      </w:r>
      <w:r w:rsidR="00612B12" w:rsidRPr="000B7739">
        <w:rPr>
          <w:lang w:val="fr-CA"/>
        </w:rPr>
        <w:t xml:space="preserve">registre </w:t>
      </w:r>
      <w:r w:rsidRPr="000B7739">
        <w:rPr>
          <w:lang w:val="fr-CA"/>
        </w:rPr>
        <w:t>des loyers à jour, (iv)</w:t>
      </w:r>
      <w:r w:rsidR="00AC4107" w:rsidRPr="000B7739">
        <w:rPr>
          <w:lang w:val="fr-CA"/>
        </w:rPr>
        <w:t xml:space="preserve"> </w:t>
      </w:r>
      <w:r w:rsidRPr="000B7739">
        <w:rPr>
          <w:lang w:val="fr-CA"/>
        </w:rPr>
        <w:t xml:space="preserve">une attestation </w:t>
      </w:r>
      <w:r w:rsidR="00C24194" w:rsidRPr="000B7739">
        <w:rPr>
          <w:lang w:val="fr-CA"/>
        </w:rPr>
        <w:t>relative aux</w:t>
      </w:r>
      <w:r w:rsidRPr="000B7739">
        <w:rPr>
          <w:lang w:val="fr-CA"/>
        </w:rPr>
        <w:t xml:space="preserve"> taxes </w:t>
      </w:r>
      <w:r w:rsidR="007C791D" w:rsidRPr="000B7739">
        <w:rPr>
          <w:lang w:val="fr-CA"/>
        </w:rPr>
        <w:t>f</w:t>
      </w:r>
      <w:r w:rsidRPr="000B7739">
        <w:rPr>
          <w:lang w:val="fr-CA"/>
        </w:rPr>
        <w:t>oncières ou</w:t>
      </w:r>
      <w:r w:rsidR="00A712B4" w:rsidRPr="000B7739">
        <w:rPr>
          <w:lang w:val="fr-CA"/>
        </w:rPr>
        <w:t> </w:t>
      </w:r>
      <w:r w:rsidRPr="000B7739">
        <w:rPr>
          <w:lang w:val="fr-CA"/>
        </w:rPr>
        <w:t>une</w:t>
      </w:r>
      <w:r w:rsidR="00A712B4" w:rsidRPr="000B7739">
        <w:rPr>
          <w:lang w:val="fr-CA"/>
        </w:rPr>
        <w:t> </w:t>
      </w:r>
      <w:r w:rsidRPr="000B7739">
        <w:rPr>
          <w:lang w:val="fr-CA"/>
        </w:rPr>
        <w:t>autre</w:t>
      </w:r>
      <w:r w:rsidR="00C24194" w:rsidRPr="000B7739">
        <w:rPr>
          <w:lang w:val="fr-CA"/>
        </w:rPr>
        <w:t xml:space="preserve"> preuve confirmant le</w:t>
      </w:r>
      <w:r w:rsidRPr="000B7739">
        <w:rPr>
          <w:lang w:val="fr-CA"/>
        </w:rPr>
        <w:t xml:space="preserve"> paiement de</w:t>
      </w:r>
      <w:r w:rsidR="00C24194" w:rsidRPr="000B7739">
        <w:rPr>
          <w:lang w:val="fr-CA"/>
        </w:rPr>
        <w:t xml:space="preserve"> celles-ci</w:t>
      </w:r>
      <w:r w:rsidRPr="000B7739">
        <w:rPr>
          <w:lang w:val="fr-CA"/>
        </w:rPr>
        <w:t>, (v)</w:t>
      </w:r>
      <w:r w:rsidR="00AC4107" w:rsidRPr="000B7739">
        <w:rPr>
          <w:lang w:val="fr-CA"/>
        </w:rPr>
        <w:t xml:space="preserve"> </w:t>
      </w:r>
      <w:r w:rsidRPr="000B7739">
        <w:rPr>
          <w:lang w:val="fr-CA"/>
        </w:rPr>
        <w:t>si la Banque l</w:t>
      </w:r>
      <w:r w:rsidR="00564B0C" w:rsidRPr="000B7739">
        <w:rPr>
          <w:lang w:val="fr-CA"/>
        </w:rPr>
        <w:t>’</w:t>
      </w:r>
      <w:r w:rsidRPr="000B7739">
        <w:rPr>
          <w:lang w:val="fr-CA"/>
        </w:rPr>
        <w:t>estime nécessaire, un</w:t>
      </w:r>
      <w:r w:rsidR="00A712B4" w:rsidRPr="000B7739">
        <w:rPr>
          <w:lang w:val="fr-CA"/>
        </w:rPr>
        <w:t> </w:t>
      </w:r>
      <w:r w:rsidRPr="000B7739">
        <w:rPr>
          <w:lang w:val="fr-CA"/>
        </w:rPr>
        <w:t xml:space="preserve">rapport </w:t>
      </w:r>
      <w:r w:rsidR="00612B12" w:rsidRPr="000B7739">
        <w:rPr>
          <w:lang w:val="fr-CA"/>
        </w:rPr>
        <w:t xml:space="preserve">de vérification </w:t>
      </w:r>
      <w:r w:rsidRPr="000B7739">
        <w:rPr>
          <w:lang w:val="fr-CA"/>
        </w:rPr>
        <w:t>environnemental</w:t>
      </w:r>
      <w:r w:rsidR="00612B12" w:rsidRPr="000B7739">
        <w:rPr>
          <w:lang w:val="fr-CA"/>
        </w:rPr>
        <w:t>e</w:t>
      </w:r>
      <w:r w:rsidRPr="000B7739">
        <w:rPr>
          <w:lang w:val="fr-CA"/>
        </w:rPr>
        <w:t xml:space="preserve"> relatif </w:t>
      </w:r>
      <w:r w:rsidR="00437314" w:rsidRPr="000B7739">
        <w:rPr>
          <w:lang w:val="fr-CA"/>
        </w:rPr>
        <w:t>à la Propriété</w:t>
      </w:r>
      <w:r w:rsidR="0085603F" w:rsidRPr="000B7739">
        <w:rPr>
          <w:lang w:val="fr-CA"/>
        </w:rPr>
        <w:t xml:space="preserve"> d</w:t>
      </w:r>
      <w:r w:rsidR="00437314" w:rsidRPr="000B7739">
        <w:rPr>
          <w:lang w:val="fr-CA"/>
        </w:rPr>
        <w:t xml:space="preserve">e type </w:t>
      </w:r>
      <w:r w:rsidRPr="000B7739">
        <w:rPr>
          <w:lang w:val="fr-CA"/>
        </w:rPr>
        <w:t>phase</w:t>
      </w:r>
      <w:r w:rsidR="00AC4107" w:rsidRPr="000B7739">
        <w:rPr>
          <w:lang w:val="fr-CA"/>
        </w:rPr>
        <w:t xml:space="preserve"> </w:t>
      </w:r>
      <w:r w:rsidR="007C791D" w:rsidRPr="000B7739">
        <w:rPr>
          <w:lang w:val="fr-CA"/>
        </w:rPr>
        <w:t>1</w:t>
      </w:r>
      <w:r w:rsidRPr="000B7739">
        <w:rPr>
          <w:lang w:val="fr-CA"/>
        </w:rPr>
        <w:t xml:space="preserve"> ou</w:t>
      </w:r>
      <w:r w:rsidR="00C24194" w:rsidRPr="000B7739">
        <w:rPr>
          <w:lang w:val="fr-CA"/>
        </w:rPr>
        <w:t xml:space="preserve"> </w:t>
      </w:r>
      <w:r w:rsidR="007C791D" w:rsidRPr="000B7739">
        <w:rPr>
          <w:lang w:val="fr-CA"/>
        </w:rPr>
        <w:t>phase</w:t>
      </w:r>
      <w:r w:rsidR="00B056F9" w:rsidRPr="000B7739">
        <w:rPr>
          <w:lang w:val="fr-CA"/>
        </w:rPr>
        <w:t> </w:t>
      </w:r>
      <w:r w:rsidR="007C791D" w:rsidRPr="000B7739">
        <w:rPr>
          <w:lang w:val="fr-CA"/>
        </w:rPr>
        <w:t>2</w:t>
      </w:r>
      <w:r w:rsidRPr="000B7739">
        <w:rPr>
          <w:lang w:val="fr-CA"/>
        </w:rPr>
        <w:t>, selon le cas</w:t>
      </w:r>
      <w:r w:rsidR="007C791D" w:rsidRPr="000B7739">
        <w:rPr>
          <w:lang w:val="fr-CA"/>
        </w:rPr>
        <w:t>)</w:t>
      </w:r>
      <w:r w:rsidRPr="000B7739">
        <w:rPr>
          <w:lang w:val="fr-CA"/>
        </w:rPr>
        <w:t xml:space="preserve"> </w:t>
      </w:r>
      <w:r w:rsidR="00052CB0" w:rsidRPr="000B7739">
        <w:rPr>
          <w:lang w:val="fr-CA"/>
        </w:rPr>
        <w:t xml:space="preserve">qui a été </w:t>
      </w:r>
      <w:r w:rsidRPr="000B7739">
        <w:rPr>
          <w:lang w:val="fr-CA"/>
        </w:rPr>
        <w:t xml:space="preserve">dressé par un </w:t>
      </w:r>
      <w:r w:rsidR="003377BD" w:rsidRPr="000B7739">
        <w:rPr>
          <w:lang w:val="fr-CA"/>
        </w:rPr>
        <w:t>expert-conseil en</w:t>
      </w:r>
      <w:r w:rsidRPr="000B7739">
        <w:rPr>
          <w:lang w:val="fr-CA"/>
        </w:rPr>
        <w:t xml:space="preserve"> environnement que la Banque ju</w:t>
      </w:r>
      <w:r w:rsidR="00C24194" w:rsidRPr="000B7739">
        <w:rPr>
          <w:lang w:val="fr-CA"/>
        </w:rPr>
        <w:t>g</w:t>
      </w:r>
      <w:r w:rsidRPr="000B7739">
        <w:rPr>
          <w:lang w:val="fr-CA"/>
        </w:rPr>
        <w:t>e satisfaisant</w:t>
      </w:r>
      <w:r w:rsidR="00D33152" w:rsidRPr="000B7739">
        <w:rPr>
          <w:lang w:val="fr-CA"/>
        </w:rPr>
        <w:t xml:space="preserve">, établis, dans tous les cas, </w:t>
      </w:r>
      <w:r w:rsidR="00612B12" w:rsidRPr="000B7739">
        <w:rPr>
          <w:lang w:val="fr-CA"/>
        </w:rPr>
        <w:t xml:space="preserve">à la satisfaction de la Banque </w:t>
      </w:r>
      <w:r w:rsidR="00C24194" w:rsidRPr="000B7739">
        <w:rPr>
          <w:lang w:val="fr-CA"/>
        </w:rPr>
        <w:t xml:space="preserve">quant à la forme et au fond, </w:t>
      </w:r>
      <w:r w:rsidRPr="000B7739">
        <w:rPr>
          <w:lang w:val="fr-CA"/>
        </w:rPr>
        <w:t>ains</w:t>
      </w:r>
      <w:r w:rsidR="007C791D" w:rsidRPr="000B7739">
        <w:rPr>
          <w:lang w:val="fr-CA"/>
        </w:rPr>
        <w:t>i</w:t>
      </w:r>
      <w:r w:rsidRPr="000B7739">
        <w:rPr>
          <w:lang w:val="fr-CA"/>
        </w:rPr>
        <w:t xml:space="preserve"> que tous les autres</w:t>
      </w:r>
      <w:r w:rsidR="007C791D" w:rsidRPr="000B7739">
        <w:rPr>
          <w:lang w:val="fr-CA"/>
        </w:rPr>
        <w:t xml:space="preserve"> documents pertinents</w:t>
      </w:r>
      <w:r w:rsidRPr="000B7739">
        <w:rPr>
          <w:lang w:val="fr-CA"/>
        </w:rPr>
        <w:t xml:space="preserve"> </w:t>
      </w:r>
      <w:r w:rsidR="00612B12" w:rsidRPr="000B7739">
        <w:rPr>
          <w:lang w:val="fr-CA"/>
        </w:rPr>
        <w:t xml:space="preserve">demandés par la Banque </w:t>
      </w:r>
      <w:r w:rsidRPr="000B7739">
        <w:rPr>
          <w:lang w:val="fr-CA"/>
        </w:rPr>
        <w:t>ou ses avocats</w:t>
      </w:r>
      <w:r w:rsidR="00A6118D" w:rsidRPr="000B7739">
        <w:rPr>
          <w:lang w:val="fr-CA"/>
        </w:rPr>
        <w:t>;</w:t>
      </w:r>
    </w:p>
    <w:p w14:paraId="737D2D77" w14:textId="4FA57AA5" w:rsidR="00CF5923" w:rsidRPr="000B7739" w:rsidRDefault="00FB267B" w:rsidP="000B7739">
      <w:pPr>
        <w:pStyle w:val="04LOLglNew3"/>
        <w:numPr>
          <w:ilvl w:val="2"/>
          <w:numId w:val="36"/>
        </w:numPr>
        <w:rPr>
          <w:lang w:val="fr-CA"/>
        </w:rPr>
      </w:pPr>
      <w:r w:rsidRPr="000B7739">
        <w:rPr>
          <w:lang w:val="fr-CA"/>
        </w:rPr>
        <w:t xml:space="preserve">une </w:t>
      </w:r>
      <w:r w:rsidR="009926E7" w:rsidRPr="000B7739">
        <w:rPr>
          <w:lang w:val="fr-CA"/>
        </w:rPr>
        <w:t xml:space="preserve">confirmation </w:t>
      </w:r>
      <w:r w:rsidRPr="000B7739">
        <w:rPr>
          <w:lang w:val="fr-CA"/>
        </w:rPr>
        <w:t>d</w:t>
      </w:r>
      <w:r w:rsidR="00730206" w:rsidRPr="000B7739">
        <w:rPr>
          <w:lang w:val="fr-CA"/>
        </w:rPr>
        <w:t>e l</w:t>
      </w:r>
      <w:r w:rsidR="00564B0C" w:rsidRPr="000B7739">
        <w:rPr>
          <w:lang w:val="fr-CA"/>
        </w:rPr>
        <w:t>’</w:t>
      </w:r>
      <w:r w:rsidRPr="000B7739">
        <w:rPr>
          <w:lang w:val="fr-CA"/>
        </w:rPr>
        <w:t xml:space="preserve">assurance </w:t>
      </w:r>
      <w:r w:rsidR="00730206" w:rsidRPr="000B7739">
        <w:rPr>
          <w:lang w:val="fr-CA"/>
        </w:rPr>
        <w:t xml:space="preserve">souscrite </w:t>
      </w:r>
      <w:r w:rsidRPr="000B7739">
        <w:rPr>
          <w:lang w:val="fr-CA"/>
        </w:rPr>
        <w:t>à l</w:t>
      </w:r>
      <w:r w:rsidR="00564B0C" w:rsidRPr="000B7739">
        <w:rPr>
          <w:lang w:val="fr-CA"/>
        </w:rPr>
        <w:t>’</w:t>
      </w:r>
      <w:r w:rsidRPr="000B7739">
        <w:rPr>
          <w:lang w:val="fr-CA"/>
        </w:rPr>
        <w:t xml:space="preserve">égard des </w:t>
      </w:r>
      <w:r w:rsidR="00580BA8" w:rsidRPr="000B7739">
        <w:rPr>
          <w:lang w:val="fr-CA"/>
        </w:rPr>
        <w:t>Comptes clients</w:t>
      </w:r>
      <w:r w:rsidRPr="000B7739">
        <w:rPr>
          <w:lang w:val="fr-CA"/>
        </w:rPr>
        <w:t xml:space="preserve"> </w:t>
      </w:r>
      <w:r w:rsidR="00730206" w:rsidRPr="000B7739">
        <w:rPr>
          <w:lang w:val="fr-CA"/>
        </w:rPr>
        <w:t>par</w:t>
      </w:r>
      <w:r w:rsidRPr="000B7739">
        <w:rPr>
          <w:lang w:val="fr-CA"/>
        </w:rPr>
        <w:t xml:space="preserve"> </w:t>
      </w:r>
      <w:r w:rsidR="007A6048" w:rsidRPr="000B7739">
        <w:rPr>
          <w:lang w:val="fr-CA"/>
        </w:rPr>
        <w:t>[</w:t>
      </w:r>
      <w:r w:rsidRPr="000B7739">
        <w:rPr>
          <w:lang w:val="fr-CA"/>
        </w:rPr>
        <w:t>l</w:t>
      </w:r>
      <w:r w:rsidR="00564B0C" w:rsidRPr="000B7739">
        <w:rPr>
          <w:lang w:val="fr-CA"/>
        </w:rPr>
        <w:t>’</w:t>
      </w:r>
      <w:r w:rsidRPr="000B7739">
        <w:rPr>
          <w:lang w:val="fr-CA"/>
        </w:rPr>
        <w:t>E</w:t>
      </w:r>
      <w:r w:rsidR="0081392A" w:rsidRPr="000B7739">
        <w:rPr>
          <w:lang w:val="fr-CA"/>
        </w:rPr>
        <w:t>mprunteur</w:t>
      </w:r>
      <w:r w:rsidR="00B67E21" w:rsidRPr="000B7739">
        <w:rPr>
          <w:lang w:val="fr-CA"/>
        </w:rPr>
        <w:t xml:space="preserve"> </w:t>
      </w:r>
      <w:r w:rsidR="001934B0" w:rsidRPr="000B7739">
        <w:rPr>
          <w:b/>
          <w:color w:val="00B0F0"/>
          <w:highlight w:val="yellow"/>
          <w:lang w:val="fr-CA"/>
        </w:rPr>
        <w:t>OU</w:t>
      </w:r>
      <w:r w:rsidR="00A712B4" w:rsidRPr="000B7739">
        <w:rPr>
          <w:lang w:val="fr-CA"/>
        </w:rPr>
        <w:t> </w:t>
      </w:r>
      <w:r w:rsidR="007A6048" w:rsidRPr="000B7739">
        <w:rPr>
          <w:lang w:val="fr-CA"/>
        </w:rPr>
        <w:t>les</w:t>
      </w:r>
      <w:r w:rsidR="00A712B4" w:rsidRPr="000B7739">
        <w:rPr>
          <w:lang w:val="fr-CA"/>
        </w:rPr>
        <w:t> </w:t>
      </w:r>
      <w:r w:rsidR="007A6048" w:rsidRPr="000B7739">
        <w:rPr>
          <w:lang w:val="fr-CA"/>
        </w:rPr>
        <w:t>Emprunteurs]</w:t>
      </w:r>
      <w:r w:rsidRPr="000B7739">
        <w:rPr>
          <w:lang w:val="fr-CA"/>
        </w:rPr>
        <w:t xml:space="preserve"> (avec un avenant en faveur de la B</w:t>
      </w:r>
      <w:r w:rsidR="0081392A" w:rsidRPr="000B7739">
        <w:rPr>
          <w:lang w:val="fr-CA"/>
        </w:rPr>
        <w:t>anque</w:t>
      </w:r>
      <w:r w:rsidR="00C75D59" w:rsidRPr="000B7739">
        <w:rPr>
          <w:lang w:val="fr-CA"/>
        </w:rPr>
        <w:t>)</w:t>
      </w:r>
      <w:r w:rsidR="00F135DE" w:rsidRPr="000B7739">
        <w:rPr>
          <w:lang w:val="fr-CA"/>
        </w:rPr>
        <w:t>;</w:t>
      </w:r>
    </w:p>
    <w:p w14:paraId="2446230C" w14:textId="7F98766E" w:rsidR="00F135DE" w:rsidRPr="000B7739" w:rsidRDefault="005C3065" w:rsidP="000B7739">
      <w:pPr>
        <w:pStyle w:val="04LOLglNew3"/>
        <w:numPr>
          <w:ilvl w:val="2"/>
          <w:numId w:val="36"/>
        </w:numPr>
        <w:rPr>
          <w:lang w:val="fr-CA"/>
        </w:rPr>
      </w:pPr>
      <w:r w:rsidRPr="000B7739">
        <w:rPr>
          <w:lang w:val="fr-CA"/>
        </w:rPr>
        <w:t xml:space="preserve">une </w:t>
      </w:r>
      <w:r w:rsidR="00C16D39" w:rsidRPr="000B7739">
        <w:rPr>
          <w:lang w:val="fr-CA"/>
        </w:rPr>
        <w:t>confirmation</w:t>
      </w:r>
      <w:r w:rsidR="007A6048" w:rsidRPr="000B7739">
        <w:rPr>
          <w:lang w:val="fr-CA"/>
        </w:rPr>
        <w:t>,</w:t>
      </w:r>
      <w:r w:rsidR="00CF5923" w:rsidRPr="000B7739">
        <w:rPr>
          <w:lang w:val="fr-CA"/>
        </w:rPr>
        <w:t xml:space="preserve"> </w:t>
      </w:r>
      <w:r w:rsidRPr="000B7739">
        <w:rPr>
          <w:lang w:val="fr-CA"/>
        </w:rPr>
        <w:t xml:space="preserve">donnée </w:t>
      </w:r>
      <w:r w:rsidR="0046138F" w:rsidRPr="000B7739">
        <w:rPr>
          <w:lang w:val="fr-CA"/>
        </w:rPr>
        <w:t>selon le modèle</w:t>
      </w:r>
      <w:r w:rsidR="00F827C2" w:rsidRPr="000B7739">
        <w:rPr>
          <w:lang w:val="fr-CA"/>
        </w:rPr>
        <w:t xml:space="preserve"> </w:t>
      </w:r>
      <w:r w:rsidR="007A6048" w:rsidRPr="000B7739">
        <w:rPr>
          <w:lang w:val="fr-CA"/>
        </w:rPr>
        <w:t xml:space="preserve">que </w:t>
      </w:r>
      <w:r w:rsidR="00F827C2" w:rsidRPr="000B7739">
        <w:rPr>
          <w:lang w:val="fr-CA"/>
        </w:rPr>
        <w:t>la Banque</w:t>
      </w:r>
      <w:r w:rsidR="00F827C2" w:rsidRPr="000B7739">
        <w:rPr>
          <w:b/>
          <w:lang w:val="fr-CA"/>
        </w:rPr>
        <w:t xml:space="preserve"> </w:t>
      </w:r>
      <w:r w:rsidR="007A6048" w:rsidRPr="000B7739">
        <w:rPr>
          <w:lang w:val="fr-CA"/>
        </w:rPr>
        <w:t>juge satisfaisant,</w:t>
      </w:r>
      <w:r w:rsidR="00437314" w:rsidRPr="000B7739">
        <w:rPr>
          <w:lang w:val="fr-CA"/>
        </w:rPr>
        <w:t xml:space="preserve"> de la dette subordonnée et du capital-actions</w:t>
      </w:r>
      <w:r w:rsidR="0085603F" w:rsidRPr="000B7739">
        <w:rPr>
          <w:lang w:val="fr-CA"/>
        </w:rPr>
        <w:t xml:space="preserve"> </w:t>
      </w:r>
      <w:r w:rsidR="00730206" w:rsidRPr="000B7739">
        <w:rPr>
          <w:lang w:val="fr-CA"/>
        </w:rPr>
        <w:t xml:space="preserve">selon des </w:t>
      </w:r>
      <w:r w:rsidRPr="000B7739">
        <w:rPr>
          <w:lang w:val="fr-CA"/>
        </w:rPr>
        <w:t>montant</w:t>
      </w:r>
      <w:r w:rsidR="00730206" w:rsidRPr="000B7739">
        <w:rPr>
          <w:lang w:val="fr-CA"/>
        </w:rPr>
        <w:t>s</w:t>
      </w:r>
      <w:r w:rsidRPr="000B7739">
        <w:rPr>
          <w:lang w:val="fr-CA"/>
        </w:rPr>
        <w:t xml:space="preserve"> que la B</w:t>
      </w:r>
      <w:r w:rsidR="0081392A" w:rsidRPr="000B7739">
        <w:rPr>
          <w:lang w:val="fr-CA"/>
        </w:rPr>
        <w:t>anque</w:t>
      </w:r>
      <w:r w:rsidRPr="000B7739">
        <w:rPr>
          <w:lang w:val="fr-CA"/>
        </w:rPr>
        <w:t xml:space="preserve"> ju</w:t>
      </w:r>
      <w:r w:rsidR="0081392A" w:rsidRPr="000B7739">
        <w:rPr>
          <w:lang w:val="fr-CA"/>
        </w:rPr>
        <w:t>ge</w:t>
      </w:r>
      <w:r w:rsidRPr="000B7739">
        <w:rPr>
          <w:lang w:val="fr-CA"/>
        </w:rPr>
        <w:t xml:space="preserve"> satisfaisant</w:t>
      </w:r>
      <w:r w:rsidR="00730206" w:rsidRPr="000B7739">
        <w:rPr>
          <w:lang w:val="fr-CA"/>
        </w:rPr>
        <w:t>s</w:t>
      </w:r>
      <w:r w:rsidR="00B970BF" w:rsidRPr="000B7739">
        <w:rPr>
          <w:lang w:val="fr-CA"/>
        </w:rPr>
        <w:t>;</w:t>
      </w:r>
      <w:r w:rsidR="00966FC9" w:rsidRPr="000B7739">
        <w:rPr>
          <w:lang w:val="fr-CA"/>
        </w:rPr>
        <w:t xml:space="preserve"> </w:t>
      </w:r>
    </w:p>
    <w:p w14:paraId="31BB3DBB" w14:textId="52A39BDF" w:rsidR="00333860" w:rsidRPr="000B7739" w:rsidRDefault="005C3065" w:rsidP="000B7739">
      <w:pPr>
        <w:pStyle w:val="04LOLglNew3"/>
        <w:numPr>
          <w:ilvl w:val="2"/>
          <w:numId w:val="36"/>
        </w:numPr>
        <w:rPr>
          <w:lang w:val="fr-CA"/>
        </w:rPr>
      </w:pPr>
      <w:r w:rsidRPr="000B7739">
        <w:rPr>
          <w:lang w:val="fr-CA"/>
        </w:rPr>
        <w:t>un</w:t>
      </w:r>
      <w:r w:rsidR="007539F0" w:rsidRPr="000B7739">
        <w:rPr>
          <w:lang w:val="fr-CA"/>
        </w:rPr>
        <w:t xml:space="preserve"> certificat de </w:t>
      </w:r>
      <w:r w:rsidRPr="000B7739">
        <w:rPr>
          <w:lang w:val="fr-CA"/>
        </w:rPr>
        <w:t xml:space="preserve">conformité et un rapport sur la </w:t>
      </w:r>
      <w:r w:rsidR="007539F0" w:rsidRPr="000B7739">
        <w:rPr>
          <w:lang w:val="fr-CA"/>
        </w:rPr>
        <w:t>valeur des garanties</w:t>
      </w:r>
      <w:r w:rsidRPr="000B7739">
        <w:rPr>
          <w:lang w:val="fr-CA"/>
        </w:rPr>
        <w:t xml:space="preserve"> établi</w:t>
      </w:r>
      <w:r w:rsidR="008412F1" w:rsidRPr="000B7739">
        <w:rPr>
          <w:lang w:val="fr-CA"/>
        </w:rPr>
        <w:t>s</w:t>
      </w:r>
      <w:r w:rsidRPr="000B7739">
        <w:rPr>
          <w:lang w:val="fr-CA"/>
        </w:rPr>
        <w:t xml:space="preserve"> selon le m</w:t>
      </w:r>
      <w:r w:rsidR="0081392A" w:rsidRPr="000B7739">
        <w:rPr>
          <w:lang w:val="fr-CA"/>
        </w:rPr>
        <w:t>odèle</w:t>
      </w:r>
      <w:r w:rsidRPr="000B7739">
        <w:rPr>
          <w:lang w:val="fr-CA"/>
        </w:rPr>
        <w:t xml:space="preserve"> que</w:t>
      </w:r>
      <w:r w:rsidR="00A712B4" w:rsidRPr="000B7739">
        <w:rPr>
          <w:lang w:val="fr-CA"/>
        </w:rPr>
        <w:t> </w:t>
      </w:r>
      <w:r w:rsidRPr="000B7739">
        <w:rPr>
          <w:lang w:val="fr-CA"/>
        </w:rPr>
        <w:t>la</w:t>
      </w:r>
      <w:r w:rsidR="00A712B4" w:rsidRPr="000B7739">
        <w:rPr>
          <w:lang w:val="fr-CA"/>
        </w:rPr>
        <w:t> </w:t>
      </w:r>
      <w:r w:rsidRPr="000B7739">
        <w:rPr>
          <w:lang w:val="fr-CA"/>
        </w:rPr>
        <w:t>B</w:t>
      </w:r>
      <w:r w:rsidR="0081392A" w:rsidRPr="000B7739">
        <w:rPr>
          <w:lang w:val="fr-CA"/>
        </w:rPr>
        <w:t>anque</w:t>
      </w:r>
      <w:r w:rsidRPr="000B7739">
        <w:rPr>
          <w:lang w:val="fr-CA"/>
        </w:rPr>
        <w:t xml:space="preserve"> </w:t>
      </w:r>
      <w:r w:rsidR="0081392A" w:rsidRPr="000B7739">
        <w:rPr>
          <w:lang w:val="fr-CA"/>
        </w:rPr>
        <w:t>juge</w:t>
      </w:r>
      <w:r w:rsidRPr="000B7739">
        <w:rPr>
          <w:lang w:val="fr-CA"/>
        </w:rPr>
        <w:t xml:space="preserve"> </w:t>
      </w:r>
      <w:r w:rsidR="008B26FF" w:rsidRPr="000B7739">
        <w:rPr>
          <w:lang w:val="fr-CA"/>
        </w:rPr>
        <w:t>satisfaisant</w:t>
      </w:r>
      <w:r w:rsidR="00333860" w:rsidRPr="000B7739">
        <w:rPr>
          <w:lang w:val="fr-CA"/>
        </w:rPr>
        <w:t>;</w:t>
      </w:r>
    </w:p>
    <w:p w14:paraId="773BF583" w14:textId="641F9B36" w:rsidR="00E34F30" w:rsidRPr="000B7739" w:rsidRDefault="00E34F30" w:rsidP="000B7739">
      <w:pPr>
        <w:pStyle w:val="04LOLglNew3"/>
        <w:numPr>
          <w:ilvl w:val="2"/>
          <w:numId w:val="36"/>
        </w:numPr>
        <w:rPr>
          <w:lang w:val="fr-CA"/>
        </w:rPr>
      </w:pPr>
      <w:r w:rsidRPr="000B7739">
        <w:rPr>
          <w:lang w:val="fr-CA"/>
        </w:rPr>
        <w:t>[</w:t>
      </w:r>
      <w:r w:rsidR="005C3065" w:rsidRPr="000B7739">
        <w:rPr>
          <w:lang w:val="fr-CA"/>
        </w:rPr>
        <w:t xml:space="preserve">indiquer les documents particuliers à produire si la Facilité de </w:t>
      </w:r>
      <w:r w:rsidR="00612B12" w:rsidRPr="000B7739">
        <w:rPr>
          <w:lang w:val="fr-CA"/>
        </w:rPr>
        <w:t>prêt relative aux</w:t>
      </w:r>
      <w:r w:rsidR="00A712B4" w:rsidRPr="000B7739">
        <w:rPr>
          <w:lang w:val="fr-CA"/>
        </w:rPr>
        <w:t> </w:t>
      </w:r>
      <w:r w:rsidR="005C3065" w:rsidRPr="000B7739">
        <w:rPr>
          <w:lang w:val="fr-CA"/>
        </w:rPr>
        <w:t>immobilisations prévoit des avances subséquentes</w:t>
      </w:r>
      <w:r w:rsidRPr="000B7739">
        <w:rPr>
          <w:lang w:val="fr-CA"/>
        </w:rPr>
        <w:t>.]</w:t>
      </w:r>
    </w:p>
    <w:p w14:paraId="5246A6D6" w14:textId="1FA9AD88" w:rsidR="009926E7" w:rsidRPr="00B63BD5" w:rsidRDefault="005C3065" w:rsidP="009027EF">
      <w:pPr>
        <w:pStyle w:val="04LOLglNew1"/>
        <w:rPr>
          <w:lang w:val="fr-CA"/>
        </w:rPr>
      </w:pPr>
      <w:bookmarkStart w:id="8" w:name="_Ref476230270"/>
      <w:r w:rsidRPr="00B63BD5">
        <w:rPr>
          <w:lang w:val="fr-CA"/>
        </w:rPr>
        <w:t>Engagements et c</w:t>
      </w:r>
      <w:r w:rsidR="005A6B52" w:rsidRPr="00B63BD5">
        <w:rPr>
          <w:lang w:val="fr-CA"/>
        </w:rPr>
        <w:t>onditions</w:t>
      </w:r>
      <w:bookmarkEnd w:id="8"/>
    </w:p>
    <w:p w14:paraId="7B7B5082" w14:textId="20D3FD24" w:rsidR="00B34FD8" w:rsidRPr="00B63BD5" w:rsidRDefault="00B34FD8" w:rsidP="00AF7C93">
      <w:pPr>
        <w:spacing w:after="240"/>
        <w:jc w:val="both"/>
        <w:rPr>
          <w:b/>
          <w:color w:val="00B0F0"/>
          <w:lang w:val="fr-CA"/>
        </w:rPr>
      </w:pPr>
      <w:r w:rsidRPr="00B63BD5">
        <w:rPr>
          <w:b/>
          <w:color w:val="00B0F0"/>
          <w:lang w:val="fr-CA"/>
        </w:rPr>
        <w:t>[N</w:t>
      </w:r>
      <w:r w:rsidR="00CD384F" w:rsidRPr="00B63BD5">
        <w:rPr>
          <w:b/>
          <w:color w:val="00B0F0"/>
          <w:lang w:val="fr-CA"/>
        </w:rPr>
        <w:t>.B.</w:t>
      </w:r>
      <w:r w:rsidR="00AF7C93" w:rsidRPr="00B63BD5">
        <w:rPr>
          <w:b/>
          <w:color w:val="00B0F0"/>
          <w:lang w:val="fr-CA"/>
        </w:rPr>
        <w:t xml:space="preserve"> </w:t>
      </w:r>
      <w:r w:rsidRPr="00B63BD5">
        <w:rPr>
          <w:b/>
          <w:color w:val="00B0F0"/>
          <w:lang w:val="fr-CA"/>
        </w:rPr>
        <w:t>:</w:t>
      </w:r>
      <w:r w:rsidR="00AF7C93" w:rsidRPr="00B63BD5">
        <w:rPr>
          <w:b/>
          <w:color w:val="00B0F0"/>
          <w:lang w:val="fr-CA"/>
        </w:rPr>
        <w:t xml:space="preserve"> </w:t>
      </w:r>
      <w:r w:rsidR="005C3065" w:rsidRPr="00B63BD5">
        <w:rPr>
          <w:b/>
          <w:color w:val="00B0F0"/>
          <w:lang w:val="fr-CA"/>
        </w:rPr>
        <w:t>S</w:t>
      </w:r>
      <w:r w:rsidR="00564B0C" w:rsidRPr="00B63BD5">
        <w:rPr>
          <w:b/>
          <w:color w:val="00B0F0"/>
          <w:lang w:val="fr-CA"/>
        </w:rPr>
        <w:t>’</w:t>
      </w:r>
      <w:r w:rsidR="005C3065" w:rsidRPr="00B63BD5">
        <w:rPr>
          <w:b/>
          <w:color w:val="00B0F0"/>
          <w:lang w:val="fr-CA"/>
        </w:rPr>
        <w:t>assure</w:t>
      </w:r>
      <w:r w:rsidR="0081392A" w:rsidRPr="00B63BD5">
        <w:rPr>
          <w:b/>
          <w:color w:val="00B0F0"/>
          <w:lang w:val="fr-CA"/>
        </w:rPr>
        <w:t>r</w:t>
      </w:r>
      <w:r w:rsidR="005C3065" w:rsidRPr="00B63BD5">
        <w:rPr>
          <w:b/>
          <w:color w:val="00B0F0"/>
          <w:lang w:val="fr-CA"/>
        </w:rPr>
        <w:t xml:space="preserve"> </w:t>
      </w:r>
      <w:r w:rsidR="008B26FF" w:rsidRPr="00B63BD5">
        <w:rPr>
          <w:b/>
          <w:color w:val="00B0F0"/>
          <w:lang w:val="fr-CA"/>
        </w:rPr>
        <w:t>que</w:t>
      </w:r>
      <w:r w:rsidR="005C3065" w:rsidRPr="00B63BD5">
        <w:rPr>
          <w:b/>
          <w:color w:val="00B0F0"/>
          <w:lang w:val="fr-CA"/>
        </w:rPr>
        <w:t xml:space="preserve"> </w:t>
      </w:r>
      <w:r w:rsidR="008C3103" w:rsidRPr="00B63BD5">
        <w:rPr>
          <w:b/>
          <w:color w:val="00B0F0"/>
          <w:lang w:val="fr-CA"/>
        </w:rPr>
        <w:t>le présent article</w:t>
      </w:r>
      <w:r w:rsidR="00DC718F" w:rsidRPr="00B63BD5">
        <w:rPr>
          <w:b/>
          <w:color w:val="00B0F0"/>
          <w:lang w:val="fr-CA"/>
        </w:rPr>
        <w:t xml:space="preserve"> est conforme</w:t>
      </w:r>
      <w:r w:rsidR="00535F58" w:rsidRPr="00B63BD5">
        <w:rPr>
          <w:b/>
          <w:color w:val="00B0F0"/>
          <w:lang w:val="fr-CA"/>
        </w:rPr>
        <w:t xml:space="preserve"> </w:t>
      </w:r>
      <w:r w:rsidR="00043876" w:rsidRPr="00B63BD5">
        <w:rPr>
          <w:b/>
          <w:color w:val="00B0F0"/>
          <w:lang w:val="fr-CA"/>
        </w:rPr>
        <w:t>à la feuille de conditions approuvée</w:t>
      </w:r>
      <w:r w:rsidR="00535F58" w:rsidRPr="00B63BD5">
        <w:rPr>
          <w:b/>
          <w:color w:val="00B0F0"/>
          <w:lang w:val="fr-CA"/>
        </w:rPr>
        <w:t>.</w:t>
      </w:r>
      <w:r w:rsidR="00AF7C93" w:rsidRPr="00B63BD5">
        <w:rPr>
          <w:b/>
          <w:color w:val="00B0F0"/>
          <w:lang w:val="fr-CA"/>
        </w:rPr>
        <w:t xml:space="preserve"> </w:t>
      </w:r>
      <w:r w:rsidR="00535F58" w:rsidRPr="00B63BD5">
        <w:rPr>
          <w:b/>
          <w:color w:val="00B0F0"/>
          <w:lang w:val="fr-CA"/>
        </w:rPr>
        <w:t>Plus</w:t>
      </w:r>
      <w:r w:rsidR="00A712B4" w:rsidRPr="00B63BD5">
        <w:rPr>
          <w:b/>
          <w:color w:val="00B0F0"/>
          <w:lang w:val="fr-CA"/>
        </w:rPr>
        <w:t> </w:t>
      </w:r>
      <w:r w:rsidR="00DC718F" w:rsidRPr="00B63BD5">
        <w:rPr>
          <w:b/>
          <w:color w:val="00B0F0"/>
          <w:lang w:val="fr-CA"/>
        </w:rPr>
        <w:t>précisément</w:t>
      </w:r>
      <w:r w:rsidR="00535F58" w:rsidRPr="00B63BD5">
        <w:rPr>
          <w:b/>
          <w:color w:val="00B0F0"/>
          <w:lang w:val="fr-CA"/>
        </w:rPr>
        <w:t xml:space="preserve">, </w:t>
      </w:r>
      <w:r w:rsidR="00B06E1B" w:rsidRPr="00B63BD5">
        <w:rPr>
          <w:b/>
          <w:color w:val="00B0F0"/>
          <w:lang w:val="fr-CA"/>
        </w:rPr>
        <w:t>s</w:t>
      </w:r>
      <w:r w:rsidR="00564B0C" w:rsidRPr="00B63BD5">
        <w:rPr>
          <w:b/>
          <w:color w:val="00B0F0"/>
          <w:lang w:val="fr-CA"/>
        </w:rPr>
        <w:t>’</w:t>
      </w:r>
      <w:r w:rsidR="00B06E1B" w:rsidRPr="00B63BD5">
        <w:rPr>
          <w:b/>
          <w:color w:val="00B0F0"/>
          <w:lang w:val="fr-CA"/>
        </w:rPr>
        <w:t xml:space="preserve">assurer de modifier </w:t>
      </w:r>
      <w:r w:rsidR="00535F58" w:rsidRPr="00B63BD5">
        <w:rPr>
          <w:b/>
          <w:color w:val="00B0F0"/>
          <w:lang w:val="fr-CA"/>
        </w:rPr>
        <w:t xml:space="preserve">la formulation </w:t>
      </w:r>
      <w:r w:rsidR="00B06E1B" w:rsidRPr="00B63BD5">
        <w:rPr>
          <w:b/>
          <w:color w:val="00B0F0"/>
          <w:lang w:val="fr-CA"/>
        </w:rPr>
        <w:t>si</w:t>
      </w:r>
      <w:r w:rsidR="00535F58" w:rsidRPr="00B63BD5">
        <w:rPr>
          <w:b/>
          <w:color w:val="00B0F0"/>
          <w:lang w:val="fr-CA"/>
        </w:rPr>
        <w:t xml:space="preserve"> les engagements sont </w:t>
      </w:r>
      <w:r w:rsidR="00B06E1B" w:rsidRPr="00B63BD5">
        <w:rPr>
          <w:b/>
          <w:color w:val="00B0F0"/>
          <w:lang w:val="fr-CA"/>
        </w:rPr>
        <w:t>assujettis à</w:t>
      </w:r>
      <w:r w:rsidR="00A712B4" w:rsidRPr="00B63BD5">
        <w:rPr>
          <w:b/>
          <w:color w:val="00B0F0"/>
          <w:lang w:val="fr-CA"/>
        </w:rPr>
        <w:t> </w:t>
      </w:r>
      <w:r w:rsidR="00B06E1B" w:rsidRPr="00B63BD5">
        <w:rPr>
          <w:b/>
          <w:color w:val="00B0F0"/>
          <w:lang w:val="fr-CA"/>
        </w:rPr>
        <w:t>des</w:t>
      </w:r>
      <w:r w:rsidR="00A712B4" w:rsidRPr="00B63BD5">
        <w:rPr>
          <w:b/>
          <w:color w:val="00B0F0"/>
          <w:lang w:val="fr-CA"/>
        </w:rPr>
        <w:t> </w:t>
      </w:r>
      <w:r w:rsidR="00B06E1B" w:rsidRPr="00B63BD5">
        <w:rPr>
          <w:b/>
          <w:color w:val="00B0F0"/>
          <w:lang w:val="fr-CA"/>
        </w:rPr>
        <w:t xml:space="preserve">critères liés aux </w:t>
      </w:r>
      <w:r w:rsidR="00535F58" w:rsidRPr="00B63BD5">
        <w:rPr>
          <w:b/>
          <w:color w:val="00B0F0"/>
          <w:lang w:val="fr-CA"/>
        </w:rPr>
        <w:t xml:space="preserve">résultats financiers combinés </w:t>
      </w:r>
      <w:r w:rsidR="00DC718F" w:rsidRPr="00B63BD5">
        <w:rPr>
          <w:b/>
          <w:color w:val="00B0F0"/>
          <w:lang w:val="fr-CA"/>
        </w:rPr>
        <w:t xml:space="preserve">ou </w:t>
      </w:r>
      <w:r w:rsidR="00B06E1B" w:rsidRPr="00B63BD5">
        <w:rPr>
          <w:b/>
          <w:color w:val="00B0F0"/>
          <w:lang w:val="fr-CA"/>
        </w:rPr>
        <w:t>s</w:t>
      </w:r>
      <w:r w:rsidR="00564B0C" w:rsidRPr="00B63BD5">
        <w:rPr>
          <w:b/>
          <w:color w:val="00B0F0"/>
          <w:lang w:val="fr-CA"/>
        </w:rPr>
        <w:t>’</w:t>
      </w:r>
      <w:r w:rsidR="00B06E1B" w:rsidRPr="00B63BD5">
        <w:rPr>
          <w:b/>
          <w:color w:val="00B0F0"/>
          <w:lang w:val="fr-CA"/>
        </w:rPr>
        <w:t>il</w:t>
      </w:r>
      <w:r w:rsidR="00535F58" w:rsidRPr="00B63BD5">
        <w:rPr>
          <w:b/>
          <w:color w:val="00B0F0"/>
          <w:lang w:val="fr-CA"/>
        </w:rPr>
        <w:t xml:space="preserve"> y</w:t>
      </w:r>
      <w:r w:rsidR="00AC4107" w:rsidRPr="00B63BD5">
        <w:rPr>
          <w:b/>
          <w:color w:val="00B0F0"/>
          <w:lang w:val="fr-CA"/>
        </w:rPr>
        <w:t xml:space="preserve"> </w:t>
      </w:r>
      <w:r w:rsidR="00535F58" w:rsidRPr="00B63BD5">
        <w:rPr>
          <w:b/>
          <w:color w:val="00B0F0"/>
          <w:lang w:val="fr-CA"/>
        </w:rPr>
        <w:t>a</w:t>
      </w:r>
      <w:r w:rsidR="00AC4107" w:rsidRPr="00B63BD5">
        <w:rPr>
          <w:b/>
          <w:color w:val="00B0F0"/>
          <w:lang w:val="fr-CA"/>
        </w:rPr>
        <w:t xml:space="preserve"> </w:t>
      </w:r>
      <w:r w:rsidR="00535F58" w:rsidRPr="00B63BD5">
        <w:rPr>
          <w:b/>
          <w:color w:val="00B0F0"/>
          <w:lang w:val="fr-CA"/>
        </w:rPr>
        <w:t>plusieurs Emprunteurs</w:t>
      </w:r>
      <w:r w:rsidR="00067C93" w:rsidRPr="00B63BD5">
        <w:rPr>
          <w:b/>
          <w:color w:val="00B0F0"/>
          <w:lang w:val="fr-CA"/>
        </w:rPr>
        <w:t>.</w:t>
      </w:r>
      <w:r w:rsidR="007A6048" w:rsidRPr="00B63BD5">
        <w:rPr>
          <w:b/>
          <w:color w:val="00B0F0"/>
          <w:lang w:val="fr-CA"/>
        </w:rPr>
        <w:t xml:space="preserve"> </w:t>
      </w:r>
      <w:r w:rsidR="00142D9B" w:rsidRPr="00B63BD5">
        <w:rPr>
          <w:b/>
          <w:color w:val="00B0F0"/>
          <w:lang w:val="fr-CA"/>
        </w:rPr>
        <w:t>L</w:t>
      </w:r>
      <w:r w:rsidR="002037D6" w:rsidRPr="00B63BD5">
        <w:rPr>
          <w:b/>
          <w:color w:val="00B0F0"/>
          <w:lang w:val="fr-CA"/>
        </w:rPr>
        <w:t>es</w:t>
      </w:r>
      <w:r w:rsidR="00A712B4" w:rsidRPr="00B63BD5">
        <w:rPr>
          <w:b/>
          <w:color w:val="00B0F0"/>
          <w:lang w:val="fr-CA"/>
        </w:rPr>
        <w:t> </w:t>
      </w:r>
      <w:r w:rsidR="002037D6" w:rsidRPr="00B63BD5">
        <w:rPr>
          <w:b/>
          <w:color w:val="00B0F0"/>
          <w:lang w:val="fr-CA"/>
        </w:rPr>
        <w:t xml:space="preserve">définitions de certains termes utilisés dans </w:t>
      </w:r>
      <w:r w:rsidR="008C3103" w:rsidRPr="00B63BD5">
        <w:rPr>
          <w:b/>
          <w:color w:val="00B0F0"/>
          <w:lang w:val="fr-CA"/>
        </w:rPr>
        <w:t>le présent article</w:t>
      </w:r>
      <w:r w:rsidR="0091562C" w:rsidRPr="00B63BD5">
        <w:rPr>
          <w:b/>
          <w:color w:val="00B0F0"/>
          <w:lang w:val="fr-CA"/>
        </w:rPr>
        <w:t xml:space="preserve"> sont présentées à l</w:t>
      </w:r>
      <w:r w:rsidR="00564B0C" w:rsidRPr="00B63BD5">
        <w:rPr>
          <w:b/>
          <w:color w:val="00B0F0"/>
          <w:lang w:val="fr-CA"/>
        </w:rPr>
        <w:t>’</w:t>
      </w:r>
      <w:r w:rsidR="0091562C" w:rsidRPr="00B63BD5">
        <w:rPr>
          <w:b/>
          <w:color w:val="00B0F0"/>
          <w:lang w:val="fr-CA"/>
        </w:rPr>
        <w:t>A</w:t>
      </w:r>
      <w:r w:rsidR="002037D6" w:rsidRPr="00B63BD5">
        <w:rPr>
          <w:b/>
          <w:color w:val="00B0F0"/>
          <w:lang w:val="fr-CA"/>
        </w:rPr>
        <w:t>nnexe</w:t>
      </w:r>
      <w:r w:rsidR="00AC4107" w:rsidRPr="00B63BD5">
        <w:rPr>
          <w:b/>
          <w:color w:val="00B0F0"/>
          <w:lang w:val="fr-CA"/>
        </w:rPr>
        <w:t xml:space="preserve"> </w:t>
      </w:r>
      <w:r w:rsidR="002037D6" w:rsidRPr="00B63BD5">
        <w:rPr>
          <w:b/>
          <w:color w:val="00B0F0"/>
          <w:lang w:val="fr-CA"/>
        </w:rPr>
        <w:t>A.</w:t>
      </w:r>
      <w:r w:rsidR="00DC718F" w:rsidRPr="00B63BD5">
        <w:rPr>
          <w:b/>
          <w:color w:val="00B0F0"/>
          <w:lang w:val="fr-CA"/>
        </w:rPr>
        <w:t xml:space="preserve"> Modifier les définitions </w:t>
      </w:r>
      <w:r w:rsidR="00B06E1B" w:rsidRPr="00B63BD5">
        <w:rPr>
          <w:b/>
          <w:color w:val="00B0F0"/>
          <w:lang w:val="fr-CA"/>
        </w:rPr>
        <w:t>de</w:t>
      </w:r>
      <w:r w:rsidR="00DC718F" w:rsidRPr="00B63BD5">
        <w:rPr>
          <w:b/>
          <w:color w:val="00B0F0"/>
          <w:lang w:val="fr-CA"/>
        </w:rPr>
        <w:t xml:space="preserve"> l</w:t>
      </w:r>
      <w:r w:rsidR="00564B0C" w:rsidRPr="00B63BD5">
        <w:rPr>
          <w:b/>
          <w:color w:val="00B0F0"/>
          <w:lang w:val="fr-CA"/>
        </w:rPr>
        <w:t>’</w:t>
      </w:r>
      <w:r w:rsidR="00DC718F" w:rsidRPr="00B63BD5">
        <w:rPr>
          <w:b/>
          <w:color w:val="00B0F0"/>
          <w:lang w:val="fr-CA"/>
        </w:rPr>
        <w:t>Annexe</w:t>
      </w:r>
      <w:r w:rsidR="00AC4107" w:rsidRPr="00B63BD5">
        <w:rPr>
          <w:b/>
          <w:color w:val="00B0F0"/>
          <w:lang w:val="fr-CA"/>
        </w:rPr>
        <w:t xml:space="preserve"> </w:t>
      </w:r>
      <w:r w:rsidR="00DC718F" w:rsidRPr="00B63BD5">
        <w:rPr>
          <w:b/>
          <w:color w:val="00B0F0"/>
          <w:lang w:val="fr-CA"/>
        </w:rPr>
        <w:t>A afin qu</w:t>
      </w:r>
      <w:r w:rsidR="00564B0C" w:rsidRPr="00B63BD5">
        <w:rPr>
          <w:b/>
          <w:color w:val="00B0F0"/>
          <w:lang w:val="fr-CA"/>
        </w:rPr>
        <w:t>’</w:t>
      </w:r>
      <w:r w:rsidR="00DC718F" w:rsidRPr="00B63BD5">
        <w:rPr>
          <w:b/>
          <w:color w:val="00B0F0"/>
          <w:lang w:val="fr-CA"/>
        </w:rPr>
        <w:t>elles correspondent à celles qui sont utilisées dans</w:t>
      </w:r>
      <w:r w:rsidR="00FD40ED" w:rsidRPr="00B63BD5">
        <w:rPr>
          <w:b/>
          <w:color w:val="00B0F0"/>
          <w:lang w:val="fr-CA"/>
        </w:rPr>
        <w:t> </w:t>
      </w:r>
      <w:r w:rsidR="00043876" w:rsidRPr="00B63BD5">
        <w:rPr>
          <w:b/>
          <w:color w:val="00B0F0"/>
          <w:lang w:val="fr-CA"/>
        </w:rPr>
        <w:t>la</w:t>
      </w:r>
      <w:r w:rsidR="00FD40ED" w:rsidRPr="00B63BD5">
        <w:rPr>
          <w:b/>
          <w:color w:val="00B0F0"/>
          <w:lang w:val="fr-CA"/>
        </w:rPr>
        <w:t> </w:t>
      </w:r>
      <w:r w:rsidR="00043876" w:rsidRPr="00B63BD5">
        <w:rPr>
          <w:b/>
          <w:color w:val="00B0F0"/>
          <w:lang w:val="fr-CA"/>
        </w:rPr>
        <w:t>feuille de conditions approuvée</w:t>
      </w:r>
      <w:r w:rsidR="00DC718F" w:rsidRPr="00B63BD5">
        <w:rPr>
          <w:b/>
          <w:color w:val="00B0F0"/>
          <w:lang w:val="fr-CA"/>
        </w:rPr>
        <w:t xml:space="preserve">. Il </w:t>
      </w:r>
      <w:r w:rsidR="00DC718F" w:rsidRPr="00B63BD5">
        <w:rPr>
          <w:b/>
          <w:color w:val="00B0F0"/>
          <w:u w:val="single"/>
          <w:lang w:val="fr-CA"/>
        </w:rPr>
        <w:t>n</w:t>
      </w:r>
      <w:r w:rsidR="00564B0C" w:rsidRPr="00B63BD5">
        <w:rPr>
          <w:b/>
          <w:color w:val="00B0F0"/>
          <w:u w:val="single"/>
          <w:lang w:val="fr-CA"/>
        </w:rPr>
        <w:t>’</w:t>
      </w:r>
      <w:r w:rsidR="00DC718F" w:rsidRPr="00B63BD5">
        <w:rPr>
          <w:b/>
          <w:color w:val="00B0F0"/>
          <w:u w:val="single"/>
          <w:lang w:val="fr-CA"/>
        </w:rPr>
        <w:t>est pas</w:t>
      </w:r>
      <w:r w:rsidR="00DC718F" w:rsidRPr="00B63BD5">
        <w:rPr>
          <w:b/>
          <w:color w:val="00B0F0"/>
          <w:lang w:val="fr-CA"/>
        </w:rPr>
        <w:t xml:space="preserve"> nécessaire d</w:t>
      </w:r>
      <w:r w:rsidR="00564B0C" w:rsidRPr="00B63BD5">
        <w:rPr>
          <w:b/>
          <w:color w:val="00B0F0"/>
          <w:lang w:val="fr-CA"/>
        </w:rPr>
        <w:t>’</w:t>
      </w:r>
      <w:r w:rsidR="00DC718F" w:rsidRPr="00B63BD5">
        <w:rPr>
          <w:b/>
          <w:color w:val="00B0F0"/>
          <w:lang w:val="fr-CA"/>
        </w:rPr>
        <w:t>in</w:t>
      </w:r>
      <w:r w:rsidR="00B06E1B" w:rsidRPr="00B63BD5">
        <w:rPr>
          <w:b/>
          <w:color w:val="00B0F0"/>
          <w:lang w:val="fr-CA"/>
        </w:rPr>
        <w:t>diquer la fréquence de</w:t>
      </w:r>
      <w:r w:rsidR="00FD40ED" w:rsidRPr="00B63BD5">
        <w:rPr>
          <w:b/>
          <w:color w:val="00B0F0"/>
          <w:lang w:val="fr-CA"/>
        </w:rPr>
        <w:t> </w:t>
      </w:r>
      <w:r w:rsidR="00B06E1B" w:rsidRPr="00B63BD5">
        <w:rPr>
          <w:b/>
          <w:color w:val="00B0F0"/>
          <w:lang w:val="fr-CA"/>
        </w:rPr>
        <w:t>vérification</w:t>
      </w:r>
      <w:r w:rsidR="00DC718F" w:rsidRPr="00B63BD5">
        <w:rPr>
          <w:b/>
          <w:color w:val="00B0F0"/>
          <w:lang w:val="fr-CA"/>
        </w:rPr>
        <w:t xml:space="preserve"> </w:t>
      </w:r>
      <w:r w:rsidR="00B06E1B" w:rsidRPr="00B63BD5">
        <w:rPr>
          <w:b/>
          <w:color w:val="00B0F0"/>
          <w:lang w:val="fr-CA"/>
        </w:rPr>
        <w:t>des</w:t>
      </w:r>
      <w:r w:rsidR="00DC718F" w:rsidRPr="00B63BD5">
        <w:rPr>
          <w:b/>
          <w:color w:val="00B0F0"/>
          <w:lang w:val="fr-CA"/>
        </w:rPr>
        <w:t xml:space="preserve"> engagements.]</w:t>
      </w:r>
    </w:p>
    <w:p w14:paraId="44CC733A" w14:textId="20FC4AE0" w:rsidR="00711AF5" w:rsidRPr="00B63BD5" w:rsidRDefault="00B34FD8" w:rsidP="00632863">
      <w:pPr>
        <w:spacing w:after="240"/>
        <w:jc w:val="both"/>
        <w:rPr>
          <w:b/>
          <w:color w:val="00B0F0"/>
          <w:lang w:val="fr-CA"/>
        </w:rPr>
      </w:pPr>
      <w:r w:rsidRPr="00B63BD5">
        <w:rPr>
          <w:b/>
          <w:color w:val="00B0F0"/>
          <w:highlight w:val="yellow"/>
          <w:lang w:val="fr-CA"/>
        </w:rPr>
        <w:t>[</w:t>
      </w:r>
      <w:r w:rsidR="00EC3CB5" w:rsidRPr="00B63BD5">
        <w:rPr>
          <w:b/>
          <w:color w:val="00B0F0"/>
          <w:highlight w:val="yellow"/>
          <w:lang w:val="fr-CA"/>
        </w:rPr>
        <w:t>N.B. :</w:t>
      </w:r>
      <w:r w:rsidR="009B61B1" w:rsidRPr="00B63BD5">
        <w:rPr>
          <w:b/>
          <w:color w:val="00B0F0"/>
          <w:highlight w:val="yellow"/>
          <w:lang w:val="fr-CA"/>
        </w:rPr>
        <w:t xml:space="preserve"> </w:t>
      </w:r>
      <w:r w:rsidR="005C3065" w:rsidRPr="00B63BD5">
        <w:rPr>
          <w:b/>
          <w:color w:val="00B0F0"/>
          <w:highlight w:val="yellow"/>
          <w:u w:val="single"/>
          <w:lang w:val="fr-CA"/>
        </w:rPr>
        <w:t>Ne pas</w:t>
      </w:r>
      <w:r w:rsidR="005C3065" w:rsidRPr="00B63BD5">
        <w:rPr>
          <w:b/>
          <w:color w:val="00B0F0"/>
          <w:highlight w:val="yellow"/>
          <w:lang w:val="fr-CA"/>
        </w:rPr>
        <w:t xml:space="preserve"> modifier l</w:t>
      </w:r>
      <w:r w:rsidR="008412F1" w:rsidRPr="00B63BD5">
        <w:rPr>
          <w:b/>
          <w:color w:val="00B0F0"/>
          <w:highlight w:val="yellow"/>
          <w:lang w:val="fr-CA"/>
        </w:rPr>
        <w:t xml:space="preserve">a </w:t>
      </w:r>
      <w:r w:rsidR="00612B12" w:rsidRPr="00B63BD5">
        <w:rPr>
          <w:b/>
          <w:color w:val="00B0F0"/>
          <w:highlight w:val="yellow"/>
          <w:lang w:val="fr-CA"/>
        </w:rPr>
        <w:t xml:space="preserve">substance </w:t>
      </w:r>
      <w:r w:rsidR="002F145B" w:rsidRPr="00B63BD5">
        <w:rPr>
          <w:b/>
          <w:color w:val="00B0F0"/>
          <w:highlight w:val="yellow"/>
          <w:lang w:val="fr-CA"/>
        </w:rPr>
        <w:t>de l</w:t>
      </w:r>
      <w:r w:rsidR="00564B0C" w:rsidRPr="00B63BD5">
        <w:rPr>
          <w:b/>
          <w:color w:val="00B0F0"/>
          <w:highlight w:val="yellow"/>
          <w:lang w:val="fr-CA"/>
        </w:rPr>
        <w:t>’</w:t>
      </w:r>
      <w:r w:rsidR="002F145B" w:rsidRPr="00B63BD5">
        <w:rPr>
          <w:b/>
          <w:color w:val="00B0F0"/>
          <w:highlight w:val="yellow"/>
          <w:lang w:val="fr-CA"/>
        </w:rPr>
        <w:t>alinéa</w:t>
      </w:r>
      <w:r w:rsidR="00AC4107" w:rsidRPr="00B63BD5">
        <w:rPr>
          <w:b/>
          <w:color w:val="00B0F0"/>
          <w:highlight w:val="yellow"/>
          <w:lang w:val="fr-CA"/>
        </w:rPr>
        <w:t xml:space="preserve"> </w:t>
      </w:r>
      <w:r w:rsidR="00067C93" w:rsidRPr="00B63BD5">
        <w:rPr>
          <w:b/>
          <w:color w:val="00B0F0"/>
          <w:highlight w:val="yellow"/>
          <w:lang w:val="fr-CA"/>
        </w:rPr>
        <w:t>a</w:t>
      </w:r>
      <w:r w:rsidR="005C3065" w:rsidRPr="00B63BD5">
        <w:rPr>
          <w:b/>
          <w:color w:val="00B0F0"/>
          <w:highlight w:val="yellow"/>
          <w:lang w:val="fr-CA"/>
        </w:rPr>
        <w:t>) sans le consentement préalable du</w:t>
      </w:r>
      <w:r w:rsidR="00FD40ED" w:rsidRPr="00B63BD5">
        <w:rPr>
          <w:b/>
          <w:color w:val="00B0F0"/>
          <w:highlight w:val="yellow"/>
          <w:lang w:val="fr-CA"/>
        </w:rPr>
        <w:t xml:space="preserve"> </w:t>
      </w:r>
      <w:r w:rsidR="005C3065" w:rsidRPr="00B63BD5">
        <w:rPr>
          <w:b/>
          <w:color w:val="00B0F0"/>
          <w:highlight w:val="yellow"/>
          <w:lang w:val="fr-CA"/>
        </w:rPr>
        <w:t>service</w:t>
      </w:r>
      <w:r w:rsidR="00FD40ED" w:rsidRPr="00B63BD5">
        <w:rPr>
          <w:b/>
          <w:color w:val="00B0F0"/>
          <w:highlight w:val="yellow"/>
          <w:lang w:val="fr-CA"/>
        </w:rPr>
        <w:t xml:space="preserve"> </w:t>
      </w:r>
      <w:r w:rsidR="005C3065" w:rsidRPr="00B63BD5">
        <w:rPr>
          <w:b/>
          <w:color w:val="00B0F0"/>
          <w:highlight w:val="yellow"/>
          <w:lang w:val="fr-CA"/>
        </w:rPr>
        <w:t>du</w:t>
      </w:r>
      <w:r w:rsidR="00FD40ED" w:rsidRPr="00B63BD5">
        <w:rPr>
          <w:b/>
          <w:color w:val="00B0F0"/>
          <w:highlight w:val="yellow"/>
          <w:lang w:val="fr-CA"/>
        </w:rPr>
        <w:t> </w:t>
      </w:r>
      <w:r w:rsidR="005C3065" w:rsidRPr="00B63BD5">
        <w:rPr>
          <w:b/>
          <w:color w:val="00B0F0"/>
          <w:highlight w:val="yellow"/>
          <w:lang w:val="fr-CA"/>
        </w:rPr>
        <w:t>crédit</w:t>
      </w:r>
      <w:r w:rsidR="00711AF5" w:rsidRPr="00B63BD5">
        <w:rPr>
          <w:b/>
          <w:color w:val="00B0F0"/>
          <w:highlight w:val="yellow"/>
          <w:lang w:val="fr-CA"/>
        </w:rPr>
        <w:t>.]</w:t>
      </w:r>
    </w:p>
    <w:p w14:paraId="726D5667" w14:textId="4467844D" w:rsidR="009A47CD" w:rsidRPr="000B7739" w:rsidRDefault="005C3065" w:rsidP="000B7739">
      <w:pPr>
        <w:pStyle w:val="04LOLglNew3"/>
        <w:numPr>
          <w:ilvl w:val="2"/>
          <w:numId w:val="37"/>
        </w:numPr>
        <w:rPr>
          <w:lang w:val="fr-CA"/>
        </w:rPr>
      </w:pPr>
      <w:r w:rsidRPr="000B7739">
        <w:rPr>
          <w:lang w:val="fr-CA"/>
        </w:rPr>
        <w:t>Sans restreindre le droit de la B</w:t>
      </w:r>
      <w:r w:rsidR="0081392A" w:rsidRPr="000B7739">
        <w:rPr>
          <w:lang w:val="fr-CA"/>
        </w:rPr>
        <w:t>anque</w:t>
      </w:r>
      <w:r w:rsidRPr="000B7739">
        <w:rPr>
          <w:lang w:val="fr-CA"/>
        </w:rPr>
        <w:t xml:space="preserve"> de demander le remboursement de</w:t>
      </w:r>
      <w:r w:rsidR="00437314" w:rsidRPr="000B7739">
        <w:rPr>
          <w:lang w:val="fr-CA"/>
        </w:rPr>
        <w:t xml:space="preserve"> toute</w:t>
      </w:r>
      <w:r w:rsidR="00612B12" w:rsidRPr="000B7739">
        <w:rPr>
          <w:lang w:val="fr-CA"/>
        </w:rPr>
        <w:t xml:space="preserve"> </w:t>
      </w:r>
      <w:r w:rsidRPr="000B7739">
        <w:rPr>
          <w:lang w:val="fr-CA"/>
        </w:rPr>
        <w:t>somme impayée, l</w:t>
      </w:r>
      <w:r w:rsidR="00564B0C" w:rsidRPr="000B7739">
        <w:rPr>
          <w:lang w:val="fr-CA"/>
        </w:rPr>
        <w:t>’</w:t>
      </w:r>
      <w:r w:rsidRPr="000B7739">
        <w:rPr>
          <w:lang w:val="fr-CA"/>
        </w:rPr>
        <w:t>E</w:t>
      </w:r>
      <w:r w:rsidR="0081392A" w:rsidRPr="000B7739">
        <w:rPr>
          <w:lang w:val="fr-CA"/>
        </w:rPr>
        <w:t>mprunteur</w:t>
      </w:r>
      <w:r w:rsidRPr="000B7739">
        <w:rPr>
          <w:lang w:val="fr-CA"/>
        </w:rPr>
        <w:t xml:space="preserve"> s</w:t>
      </w:r>
      <w:r w:rsidR="00564B0C" w:rsidRPr="000B7739">
        <w:rPr>
          <w:lang w:val="fr-CA"/>
        </w:rPr>
        <w:t>’</w:t>
      </w:r>
      <w:r w:rsidRPr="000B7739">
        <w:rPr>
          <w:lang w:val="fr-CA"/>
        </w:rPr>
        <w:t>engage auprès de la B</w:t>
      </w:r>
      <w:r w:rsidR="0081392A" w:rsidRPr="000B7739">
        <w:rPr>
          <w:lang w:val="fr-CA"/>
        </w:rPr>
        <w:t>anque</w:t>
      </w:r>
      <w:r w:rsidRPr="000B7739">
        <w:rPr>
          <w:lang w:val="fr-CA"/>
        </w:rPr>
        <w:t xml:space="preserve"> </w:t>
      </w:r>
      <w:r w:rsidR="0064009F" w:rsidRPr="000B7739">
        <w:rPr>
          <w:lang w:val="fr-CA"/>
        </w:rPr>
        <w:t>à ne pas</w:t>
      </w:r>
      <w:r w:rsidR="002037D6" w:rsidRPr="000B7739">
        <w:rPr>
          <w:lang w:val="fr-CA"/>
        </w:rPr>
        <w:t xml:space="preserve"> faire ce qui suit</w:t>
      </w:r>
      <w:r w:rsidR="004701D2" w:rsidRPr="000B7739">
        <w:rPr>
          <w:lang w:val="fr-CA"/>
        </w:rPr>
        <w:t xml:space="preserve"> </w:t>
      </w:r>
      <w:r w:rsidRPr="000B7739">
        <w:rPr>
          <w:lang w:val="fr-CA"/>
        </w:rPr>
        <w:t xml:space="preserve">sans le </w:t>
      </w:r>
      <w:r w:rsidR="008B26FF" w:rsidRPr="000B7739">
        <w:rPr>
          <w:lang w:val="fr-CA"/>
        </w:rPr>
        <w:t>consentement</w:t>
      </w:r>
      <w:r w:rsidRPr="000B7739">
        <w:rPr>
          <w:lang w:val="fr-CA"/>
        </w:rPr>
        <w:t xml:space="preserve"> préala</w:t>
      </w:r>
      <w:r w:rsidR="0081392A" w:rsidRPr="000B7739">
        <w:rPr>
          <w:lang w:val="fr-CA"/>
        </w:rPr>
        <w:t>b</w:t>
      </w:r>
      <w:r w:rsidRPr="000B7739">
        <w:rPr>
          <w:lang w:val="fr-CA"/>
        </w:rPr>
        <w:t xml:space="preserve">le </w:t>
      </w:r>
      <w:r w:rsidR="00437314" w:rsidRPr="000B7739">
        <w:rPr>
          <w:lang w:val="fr-CA"/>
        </w:rPr>
        <w:t xml:space="preserve">écrit </w:t>
      </w:r>
      <w:r w:rsidRPr="000B7739">
        <w:rPr>
          <w:lang w:val="fr-CA"/>
        </w:rPr>
        <w:t>de la Banque</w:t>
      </w:r>
      <w:r w:rsidR="00AC4107" w:rsidRPr="000B7739">
        <w:rPr>
          <w:lang w:val="fr-CA"/>
        </w:rPr>
        <w:t xml:space="preserve"> </w:t>
      </w:r>
      <w:r w:rsidR="00130D87" w:rsidRPr="000B7739">
        <w:rPr>
          <w:lang w:val="fr-CA"/>
        </w:rPr>
        <w:t>:</w:t>
      </w:r>
    </w:p>
    <w:p w14:paraId="6798A18E" w14:textId="57405903" w:rsidR="00067B9D" w:rsidRPr="00B63BD5" w:rsidRDefault="005C3065" w:rsidP="00440A7E">
      <w:pPr>
        <w:pStyle w:val="04LOLglNew4"/>
        <w:rPr>
          <w:lang w:val="fr-CA"/>
        </w:rPr>
      </w:pPr>
      <w:r w:rsidRPr="00B63BD5">
        <w:rPr>
          <w:lang w:val="fr-CA"/>
        </w:rPr>
        <w:t xml:space="preserve">permettre que </w:t>
      </w:r>
      <w:r w:rsidR="00067C93" w:rsidRPr="00B63BD5">
        <w:rPr>
          <w:lang w:val="fr-CA"/>
        </w:rPr>
        <w:t>le</w:t>
      </w:r>
      <w:r w:rsidR="004701D2" w:rsidRPr="00B63BD5">
        <w:rPr>
          <w:lang w:val="fr-CA"/>
        </w:rPr>
        <w:t xml:space="preserve"> </w:t>
      </w:r>
      <w:r w:rsidR="00DC718F" w:rsidRPr="00B63BD5">
        <w:rPr>
          <w:lang w:val="fr-CA"/>
        </w:rPr>
        <w:t xml:space="preserve">ratio de la </w:t>
      </w:r>
      <w:r w:rsidR="00437314" w:rsidRPr="00B63BD5">
        <w:rPr>
          <w:bCs/>
          <w:lang w:val="fr-CA"/>
        </w:rPr>
        <w:t>Dette par rapport à la V</w:t>
      </w:r>
      <w:r w:rsidR="00E05CE4" w:rsidRPr="00B63BD5">
        <w:rPr>
          <w:bCs/>
          <w:lang w:val="fr-CA"/>
        </w:rPr>
        <w:t>aleur corporelle nette</w:t>
      </w:r>
      <w:r w:rsidR="001E1971" w:rsidRPr="00B63BD5">
        <w:rPr>
          <w:b/>
          <w:bCs/>
          <w:sz w:val="16"/>
          <w:szCs w:val="16"/>
          <w:lang w:val="fr-CA"/>
        </w:rPr>
        <w:t xml:space="preserve"> </w:t>
      </w:r>
      <w:r w:rsidR="00067C93" w:rsidRPr="00B63BD5">
        <w:rPr>
          <w:lang w:val="fr-CA"/>
        </w:rPr>
        <w:t>de l</w:t>
      </w:r>
      <w:r w:rsidR="00564B0C" w:rsidRPr="00B63BD5">
        <w:rPr>
          <w:lang w:val="fr-CA"/>
        </w:rPr>
        <w:t>’</w:t>
      </w:r>
      <w:r w:rsidR="00067C93" w:rsidRPr="00B63BD5">
        <w:rPr>
          <w:lang w:val="fr-CA"/>
        </w:rPr>
        <w:t>Emprunteur [et</w:t>
      </w:r>
      <w:r w:rsidR="00FD40ED" w:rsidRPr="00B63BD5">
        <w:rPr>
          <w:lang w:val="fr-CA"/>
        </w:rPr>
        <w:t> </w:t>
      </w:r>
      <w:r w:rsidR="00067C93" w:rsidRPr="00B63BD5">
        <w:rPr>
          <w:lang w:val="fr-CA"/>
        </w:rPr>
        <w:t>de</w:t>
      </w:r>
      <w:r w:rsidR="00FD40ED" w:rsidRPr="00B63BD5">
        <w:rPr>
          <w:lang w:val="fr-CA"/>
        </w:rPr>
        <w:t> </w:t>
      </w:r>
      <w:r w:rsidR="00067C93" w:rsidRPr="00B63BD5">
        <w:rPr>
          <w:lang w:val="fr-CA"/>
        </w:rPr>
        <w:t>● (sur une base combinée)]</w:t>
      </w:r>
      <w:r w:rsidR="00437314" w:rsidRPr="00B63BD5">
        <w:rPr>
          <w:lang w:val="fr-CA"/>
        </w:rPr>
        <w:t xml:space="preserve"> excède en tout temps</w:t>
      </w:r>
      <w:r w:rsidR="004701D2" w:rsidRPr="00B63BD5">
        <w:rPr>
          <w:lang w:val="fr-CA"/>
        </w:rPr>
        <w:t xml:space="preserve"> </w:t>
      </w:r>
      <w:r w:rsidR="009C796D" w:rsidRPr="00B63BD5">
        <w:rPr>
          <w:lang w:val="fr-CA"/>
        </w:rPr>
        <w:t>●</w:t>
      </w:r>
      <w:r w:rsidR="003D4211" w:rsidRPr="00B63BD5">
        <w:rPr>
          <w:lang w:val="fr-CA"/>
        </w:rPr>
        <w:t xml:space="preserve"> </w:t>
      </w:r>
      <w:r w:rsidR="00437314" w:rsidRPr="00B63BD5">
        <w:rPr>
          <w:rStyle w:val="Prompt"/>
          <w:color w:val="auto"/>
          <w:lang w:val="fr-CA"/>
        </w:rPr>
        <w:t>:</w:t>
      </w:r>
      <w:r w:rsidR="000A3471" w:rsidRPr="00B63BD5">
        <w:rPr>
          <w:rStyle w:val="Prompt"/>
          <w:color w:val="auto"/>
          <w:lang w:val="fr-CA"/>
        </w:rPr>
        <w:t xml:space="preserve"> </w:t>
      </w:r>
      <w:r w:rsidR="004701D2" w:rsidRPr="00B63BD5">
        <w:rPr>
          <w:lang w:val="fr-CA"/>
        </w:rPr>
        <w:t>1,</w:t>
      </w:r>
      <w:r w:rsidR="002037D6" w:rsidRPr="00B63BD5">
        <w:rPr>
          <w:lang w:val="fr-CA"/>
        </w:rPr>
        <w:t>0</w:t>
      </w:r>
      <w:r w:rsidR="004701D2" w:rsidRPr="00B63BD5">
        <w:rPr>
          <w:lang w:val="fr-CA"/>
        </w:rPr>
        <w:t>0</w:t>
      </w:r>
      <w:r w:rsidRPr="00B63BD5">
        <w:rPr>
          <w:lang w:val="fr-CA"/>
        </w:rPr>
        <w:t>;</w:t>
      </w:r>
    </w:p>
    <w:p w14:paraId="657AB367" w14:textId="05FF5CF9" w:rsidR="009926E7" w:rsidRPr="00B63BD5" w:rsidRDefault="005C3065" w:rsidP="00440A7E">
      <w:pPr>
        <w:pStyle w:val="04LOLglNew4"/>
        <w:rPr>
          <w:lang w:val="fr-CA"/>
        </w:rPr>
      </w:pPr>
      <w:r w:rsidRPr="00B63BD5">
        <w:rPr>
          <w:lang w:val="fr-CA"/>
        </w:rPr>
        <w:lastRenderedPageBreak/>
        <w:t xml:space="preserve">permettre que </w:t>
      </w:r>
      <w:r w:rsidR="00067C93" w:rsidRPr="00B63BD5">
        <w:rPr>
          <w:lang w:val="fr-CA"/>
        </w:rPr>
        <w:t>le</w:t>
      </w:r>
      <w:r w:rsidR="004701D2" w:rsidRPr="00B63BD5">
        <w:rPr>
          <w:lang w:val="fr-CA"/>
        </w:rPr>
        <w:t xml:space="preserve"> </w:t>
      </w:r>
      <w:r w:rsidRPr="00B63BD5">
        <w:rPr>
          <w:lang w:val="fr-CA"/>
        </w:rPr>
        <w:t>ratio de</w:t>
      </w:r>
      <w:r w:rsidR="004701D2" w:rsidRPr="00B63BD5">
        <w:rPr>
          <w:lang w:val="fr-CA"/>
        </w:rPr>
        <w:t xml:space="preserve"> l</w:t>
      </w:r>
      <w:r w:rsidR="00564B0C" w:rsidRPr="00B63BD5">
        <w:rPr>
          <w:lang w:val="fr-CA"/>
        </w:rPr>
        <w:t>’</w:t>
      </w:r>
      <w:r w:rsidRPr="00B63BD5">
        <w:rPr>
          <w:lang w:val="fr-CA"/>
        </w:rPr>
        <w:t xml:space="preserve">actif </w:t>
      </w:r>
      <w:r w:rsidR="005D7796" w:rsidRPr="00B63BD5">
        <w:rPr>
          <w:lang w:val="fr-CA"/>
        </w:rPr>
        <w:t>à court terme</w:t>
      </w:r>
      <w:r w:rsidRPr="00B63BD5">
        <w:rPr>
          <w:lang w:val="fr-CA"/>
        </w:rPr>
        <w:t xml:space="preserve"> sur le passif </w:t>
      </w:r>
      <w:r w:rsidR="005D7796" w:rsidRPr="00B63BD5">
        <w:rPr>
          <w:lang w:val="fr-CA"/>
        </w:rPr>
        <w:t>à court terme</w:t>
      </w:r>
      <w:r w:rsidRPr="00B63BD5">
        <w:rPr>
          <w:lang w:val="fr-CA"/>
        </w:rPr>
        <w:t xml:space="preserve"> </w:t>
      </w:r>
      <w:r w:rsidR="009926E7" w:rsidRPr="00B63BD5">
        <w:rPr>
          <w:lang w:val="fr-CA"/>
        </w:rPr>
        <w:t>[</w:t>
      </w:r>
      <w:r w:rsidR="0081392A" w:rsidRPr="00B63BD5">
        <w:rPr>
          <w:lang w:val="fr-CA"/>
        </w:rPr>
        <w:t>y</w:t>
      </w:r>
      <w:r w:rsidR="00363F9D" w:rsidRPr="00B63BD5">
        <w:rPr>
          <w:lang w:val="fr-CA"/>
        </w:rPr>
        <w:t> </w:t>
      </w:r>
      <w:r w:rsidR="0081392A" w:rsidRPr="00B63BD5">
        <w:rPr>
          <w:lang w:val="fr-CA"/>
        </w:rPr>
        <w:t>compris les</w:t>
      </w:r>
      <w:r w:rsidR="00FD40ED" w:rsidRPr="00B63BD5">
        <w:rPr>
          <w:lang w:val="fr-CA"/>
        </w:rPr>
        <w:t> </w:t>
      </w:r>
      <w:r w:rsidR="00437314" w:rsidRPr="00B63BD5">
        <w:rPr>
          <w:lang w:val="fr-CA"/>
        </w:rPr>
        <w:t>A</w:t>
      </w:r>
      <w:r w:rsidRPr="00B63BD5">
        <w:rPr>
          <w:lang w:val="fr-CA"/>
        </w:rPr>
        <w:t>rrangements hors</w:t>
      </w:r>
      <w:r w:rsidR="005D7796" w:rsidRPr="00B63BD5">
        <w:rPr>
          <w:lang w:val="fr-CA"/>
        </w:rPr>
        <w:t xml:space="preserve"> </w:t>
      </w:r>
      <w:r w:rsidRPr="00B63BD5">
        <w:rPr>
          <w:lang w:val="fr-CA"/>
        </w:rPr>
        <w:t>bilan</w:t>
      </w:r>
      <w:r w:rsidR="009926E7" w:rsidRPr="00B63BD5">
        <w:rPr>
          <w:lang w:val="fr-CA"/>
        </w:rPr>
        <w:t>]</w:t>
      </w:r>
      <w:r w:rsidR="00DC718F" w:rsidRPr="00B63BD5">
        <w:rPr>
          <w:lang w:val="fr-CA"/>
        </w:rPr>
        <w:t xml:space="preserve"> de l</w:t>
      </w:r>
      <w:r w:rsidR="00564B0C" w:rsidRPr="00B63BD5">
        <w:rPr>
          <w:lang w:val="fr-CA"/>
        </w:rPr>
        <w:t>’</w:t>
      </w:r>
      <w:r w:rsidR="00DC718F" w:rsidRPr="00B63BD5">
        <w:rPr>
          <w:lang w:val="fr-CA"/>
        </w:rPr>
        <w:t>Emprunteur</w:t>
      </w:r>
      <w:r w:rsidR="009926E7" w:rsidRPr="00B63BD5">
        <w:rPr>
          <w:lang w:val="fr-CA"/>
        </w:rPr>
        <w:t xml:space="preserve"> </w:t>
      </w:r>
      <w:r w:rsidR="00067C93" w:rsidRPr="00B63BD5">
        <w:rPr>
          <w:lang w:val="fr-CA"/>
        </w:rPr>
        <w:t xml:space="preserve">[et de ● (sur une base combinée)] </w:t>
      </w:r>
      <w:r w:rsidR="005D7796" w:rsidRPr="00B63BD5">
        <w:rPr>
          <w:lang w:val="fr-CA"/>
        </w:rPr>
        <w:t>soit</w:t>
      </w:r>
      <w:r w:rsidR="004701D2" w:rsidRPr="00B63BD5">
        <w:rPr>
          <w:lang w:val="fr-CA"/>
        </w:rPr>
        <w:t xml:space="preserve"> inférieur </w:t>
      </w:r>
      <w:r w:rsidR="00437314" w:rsidRPr="00B63BD5">
        <w:rPr>
          <w:lang w:val="fr-CA"/>
        </w:rPr>
        <w:t xml:space="preserve">en tout temps </w:t>
      </w:r>
      <w:r w:rsidR="004701D2" w:rsidRPr="00B63BD5">
        <w:rPr>
          <w:lang w:val="fr-CA"/>
        </w:rPr>
        <w:t xml:space="preserve">à </w:t>
      </w:r>
      <w:r w:rsidRPr="00B63BD5">
        <w:rPr>
          <w:lang w:val="fr-CA"/>
        </w:rPr>
        <w:t>●</w:t>
      </w:r>
      <w:r w:rsidR="00AC4107" w:rsidRPr="00B63BD5">
        <w:rPr>
          <w:lang w:val="fr-CA"/>
        </w:rPr>
        <w:t xml:space="preserve"> </w:t>
      </w:r>
      <w:r w:rsidR="00437314" w:rsidRPr="00B63BD5">
        <w:rPr>
          <w:lang w:val="fr-CA"/>
        </w:rPr>
        <w:t>:</w:t>
      </w:r>
      <w:r w:rsidRPr="00B63BD5">
        <w:rPr>
          <w:lang w:val="fr-CA"/>
        </w:rPr>
        <w:t xml:space="preserve"> 1,</w:t>
      </w:r>
      <w:r w:rsidR="002037D6" w:rsidRPr="00B63BD5">
        <w:rPr>
          <w:lang w:val="fr-CA"/>
        </w:rPr>
        <w:t>0</w:t>
      </w:r>
      <w:r w:rsidRPr="00B63BD5">
        <w:rPr>
          <w:lang w:val="fr-CA"/>
        </w:rPr>
        <w:t>0</w:t>
      </w:r>
      <w:r w:rsidR="0081392A" w:rsidRPr="00B63BD5">
        <w:rPr>
          <w:lang w:val="fr-CA"/>
        </w:rPr>
        <w:t>. A</w:t>
      </w:r>
      <w:r w:rsidRPr="00B63BD5">
        <w:rPr>
          <w:lang w:val="fr-CA"/>
        </w:rPr>
        <w:t xml:space="preserve">ux fins des présentes, </w:t>
      </w:r>
      <w:r w:rsidR="002037D6" w:rsidRPr="00B63BD5">
        <w:rPr>
          <w:lang w:val="fr-CA"/>
        </w:rPr>
        <w:t>[</w:t>
      </w:r>
      <w:r w:rsidRPr="00B63BD5">
        <w:rPr>
          <w:lang w:val="fr-CA"/>
        </w:rPr>
        <w:t>le montant de la dette d</w:t>
      </w:r>
      <w:r w:rsidR="005D7796" w:rsidRPr="00B63BD5">
        <w:rPr>
          <w:lang w:val="fr-CA"/>
        </w:rPr>
        <w:t>evant être</w:t>
      </w:r>
      <w:r w:rsidR="00FD40ED" w:rsidRPr="00B63BD5">
        <w:rPr>
          <w:lang w:val="fr-CA"/>
        </w:rPr>
        <w:t> </w:t>
      </w:r>
      <w:r w:rsidR="005D7796" w:rsidRPr="00B63BD5">
        <w:rPr>
          <w:lang w:val="fr-CA"/>
        </w:rPr>
        <w:t>remboursé</w:t>
      </w:r>
      <w:r w:rsidR="00137C93" w:rsidRPr="00B63BD5">
        <w:rPr>
          <w:lang w:val="fr-CA"/>
        </w:rPr>
        <w:t>e</w:t>
      </w:r>
      <w:r w:rsidR="005D7796" w:rsidRPr="00B63BD5">
        <w:rPr>
          <w:lang w:val="fr-CA"/>
        </w:rPr>
        <w:t xml:space="preserve"> pendant la période d</w:t>
      </w:r>
      <w:r w:rsidR="00564B0C" w:rsidRPr="00B63BD5">
        <w:rPr>
          <w:lang w:val="fr-CA"/>
        </w:rPr>
        <w:t>’</w:t>
      </w:r>
      <w:r w:rsidRPr="00B63BD5">
        <w:rPr>
          <w:lang w:val="fr-CA"/>
        </w:rPr>
        <w:t>au moins un</w:t>
      </w:r>
      <w:r w:rsidR="00AC4107" w:rsidRPr="00B63BD5">
        <w:rPr>
          <w:lang w:val="fr-CA"/>
        </w:rPr>
        <w:t xml:space="preserve"> </w:t>
      </w:r>
      <w:r w:rsidRPr="00B63BD5">
        <w:rPr>
          <w:lang w:val="fr-CA"/>
        </w:rPr>
        <w:t>an plus un</w:t>
      </w:r>
      <w:r w:rsidR="00AC4107" w:rsidRPr="00B63BD5">
        <w:rPr>
          <w:lang w:val="fr-CA"/>
        </w:rPr>
        <w:t xml:space="preserve"> </w:t>
      </w:r>
      <w:r w:rsidRPr="00B63BD5">
        <w:rPr>
          <w:lang w:val="fr-CA"/>
        </w:rPr>
        <w:t xml:space="preserve">jour </w:t>
      </w:r>
      <w:r w:rsidR="005D7796" w:rsidRPr="00B63BD5">
        <w:rPr>
          <w:lang w:val="fr-CA"/>
        </w:rPr>
        <w:t xml:space="preserve">suivant </w:t>
      </w:r>
      <w:r w:rsidRPr="00B63BD5">
        <w:rPr>
          <w:lang w:val="fr-CA"/>
        </w:rPr>
        <w:t xml:space="preserve">la date du bilan </w:t>
      </w:r>
      <w:r w:rsidR="004701D2" w:rsidRPr="00B63BD5">
        <w:rPr>
          <w:lang w:val="fr-CA"/>
        </w:rPr>
        <w:t xml:space="preserve">peut être exclu du </w:t>
      </w:r>
      <w:r w:rsidRPr="00B63BD5">
        <w:rPr>
          <w:lang w:val="fr-CA"/>
        </w:rPr>
        <w:t>passif à court terme.</w:t>
      </w:r>
      <w:r w:rsidR="0081392A" w:rsidRPr="00B63BD5">
        <w:rPr>
          <w:lang w:val="fr-CA"/>
        </w:rPr>
        <w:t xml:space="preserve"> L</w:t>
      </w:r>
      <w:r w:rsidR="00564B0C" w:rsidRPr="00B63BD5">
        <w:rPr>
          <w:lang w:val="fr-CA"/>
        </w:rPr>
        <w:t>’</w:t>
      </w:r>
      <w:r w:rsidR="0081392A" w:rsidRPr="00B63BD5">
        <w:rPr>
          <w:lang w:val="fr-CA"/>
        </w:rPr>
        <w:t xml:space="preserve">actif à court </w:t>
      </w:r>
      <w:r w:rsidR="008B26FF" w:rsidRPr="00B63BD5">
        <w:rPr>
          <w:lang w:val="fr-CA"/>
        </w:rPr>
        <w:t>terme</w:t>
      </w:r>
      <w:r w:rsidR="0081392A" w:rsidRPr="00B63BD5">
        <w:rPr>
          <w:lang w:val="fr-CA"/>
        </w:rPr>
        <w:t xml:space="preserve"> </w:t>
      </w:r>
      <w:r w:rsidR="004701D2" w:rsidRPr="00B63BD5">
        <w:rPr>
          <w:lang w:val="fr-CA"/>
        </w:rPr>
        <w:t xml:space="preserve">exclut </w:t>
      </w:r>
      <w:r w:rsidR="0081392A" w:rsidRPr="00B63BD5">
        <w:rPr>
          <w:lang w:val="fr-CA"/>
        </w:rPr>
        <w:t xml:space="preserve">les sommes </w:t>
      </w:r>
      <w:r w:rsidR="004701D2" w:rsidRPr="00B63BD5">
        <w:rPr>
          <w:lang w:val="fr-CA"/>
        </w:rPr>
        <w:t>dues par</w:t>
      </w:r>
      <w:r w:rsidR="00FD40ED" w:rsidRPr="00B63BD5">
        <w:rPr>
          <w:lang w:val="fr-CA"/>
        </w:rPr>
        <w:t> </w:t>
      </w:r>
      <w:r w:rsidR="005D7796" w:rsidRPr="00B63BD5">
        <w:rPr>
          <w:lang w:val="fr-CA"/>
        </w:rPr>
        <w:t>d</w:t>
      </w:r>
      <w:r w:rsidR="0081392A" w:rsidRPr="00B63BD5">
        <w:rPr>
          <w:lang w:val="fr-CA"/>
        </w:rPr>
        <w:t>es</w:t>
      </w:r>
      <w:r w:rsidR="00FD40ED" w:rsidRPr="00B63BD5">
        <w:rPr>
          <w:lang w:val="fr-CA"/>
        </w:rPr>
        <w:t> </w:t>
      </w:r>
      <w:r w:rsidR="00A71CA4" w:rsidRPr="00B63BD5">
        <w:rPr>
          <w:lang w:val="fr-CA"/>
        </w:rPr>
        <w:t>sociétés liées</w:t>
      </w:r>
      <w:r w:rsidR="0081392A" w:rsidRPr="00B63BD5">
        <w:rPr>
          <w:lang w:val="fr-CA"/>
        </w:rPr>
        <w:t xml:space="preserve"> et des membres d</w:t>
      </w:r>
      <w:r w:rsidR="005D7796" w:rsidRPr="00B63BD5">
        <w:rPr>
          <w:lang w:val="fr-CA"/>
        </w:rPr>
        <w:t>e son</w:t>
      </w:r>
      <w:r w:rsidR="0081392A" w:rsidRPr="00B63BD5">
        <w:rPr>
          <w:lang w:val="fr-CA"/>
        </w:rPr>
        <w:t xml:space="preserve"> groupe</w:t>
      </w:r>
      <w:r w:rsidR="002037D6" w:rsidRPr="00B63BD5">
        <w:rPr>
          <w:lang w:val="fr-CA"/>
        </w:rPr>
        <w:t xml:space="preserve">] </w:t>
      </w:r>
      <w:r w:rsidR="001934B0" w:rsidRPr="00B63BD5">
        <w:rPr>
          <w:b/>
          <w:color w:val="00B0F0"/>
          <w:highlight w:val="yellow"/>
          <w:lang w:val="fr-CA"/>
        </w:rPr>
        <w:t>OU</w:t>
      </w:r>
      <w:r w:rsidR="00142D9B" w:rsidRPr="00B63BD5">
        <w:rPr>
          <w:color w:val="00B0F0"/>
          <w:lang w:val="fr-CA"/>
        </w:rPr>
        <w:t xml:space="preserve"> </w:t>
      </w:r>
      <w:r w:rsidR="00C764F2" w:rsidRPr="00B63BD5">
        <w:rPr>
          <w:b/>
          <w:color w:val="00B0F0"/>
          <w:lang w:val="fr-CA"/>
        </w:rPr>
        <w:t>[</w:t>
      </w:r>
      <w:r w:rsidR="002037D6" w:rsidRPr="00B63BD5">
        <w:rPr>
          <w:b/>
          <w:color w:val="00B0F0"/>
          <w:lang w:val="fr-CA"/>
        </w:rPr>
        <w:t xml:space="preserve">personnaliser conformément </w:t>
      </w:r>
      <w:r w:rsidR="00043876" w:rsidRPr="00B63BD5">
        <w:rPr>
          <w:b/>
          <w:color w:val="00B0F0"/>
          <w:lang w:val="fr-CA"/>
        </w:rPr>
        <w:t>à</w:t>
      </w:r>
      <w:r w:rsidR="00FD40ED" w:rsidRPr="00B63BD5">
        <w:rPr>
          <w:b/>
          <w:color w:val="00B0F0"/>
          <w:lang w:val="fr-CA"/>
        </w:rPr>
        <w:t> </w:t>
      </w:r>
      <w:r w:rsidR="00043876" w:rsidRPr="00B63BD5">
        <w:rPr>
          <w:b/>
          <w:color w:val="00B0F0"/>
          <w:lang w:val="fr-CA"/>
        </w:rPr>
        <w:t>la feuille de conditions approuvée</w:t>
      </w:r>
      <w:r w:rsidR="002037D6" w:rsidRPr="00B63BD5">
        <w:rPr>
          <w:b/>
          <w:color w:val="00B0F0"/>
          <w:lang w:val="fr-CA"/>
        </w:rPr>
        <w:t>]</w:t>
      </w:r>
      <w:r w:rsidR="0081392A" w:rsidRPr="00B63BD5">
        <w:rPr>
          <w:lang w:val="fr-CA"/>
        </w:rPr>
        <w:t>;</w:t>
      </w:r>
    </w:p>
    <w:p w14:paraId="2F41690F" w14:textId="7C191CA8" w:rsidR="009926E7" w:rsidRPr="00B63BD5" w:rsidRDefault="0096109A" w:rsidP="00440A7E">
      <w:pPr>
        <w:pStyle w:val="04LOLglNew4"/>
        <w:rPr>
          <w:lang w:val="fr-CA"/>
        </w:rPr>
      </w:pPr>
      <w:r w:rsidRPr="00B63BD5">
        <w:rPr>
          <w:lang w:val="fr-CA"/>
        </w:rPr>
        <w:t xml:space="preserve">permettre que </w:t>
      </w:r>
      <w:r w:rsidR="00067C93" w:rsidRPr="00B63BD5">
        <w:rPr>
          <w:lang w:val="fr-CA"/>
        </w:rPr>
        <w:t>l</w:t>
      </w:r>
      <w:r w:rsidR="00DC718F" w:rsidRPr="00B63BD5">
        <w:rPr>
          <w:lang w:val="fr-CA"/>
        </w:rPr>
        <w:t xml:space="preserve">a </w:t>
      </w:r>
      <w:r w:rsidR="00A71CA4" w:rsidRPr="00B63BD5">
        <w:rPr>
          <w:lang w:val="fr-CA"/>
        </w:rPr>
        <w:t>Valeur corporelle nette</w:t>
      </w:r>
      <w:r w:rsidR="00DC718F" w:rsidRPr="00B63BD5">
        <w:rPr>
          <w:lang w:val="fr-CA"/>
        </w:rPr>
        <w:t xml:space="preserve"> de l</w:t>
      </w:r>
      <w:r w:rsidR="00564B0C" w:rsidRPr="00B63BD5">
        <w:rPr>
          <w:lang w:val="fr-CA"/>
        </w:rPr>
        <w:t>’</w:t>
      </w:r>
      <w:r w:rsidR="00DC718F" w:rsidRPr="00B63BD5">
        <w:rPr>
          <w:lang w:val="fr-CA"/>
        </w:rPr>
        <w:t>Emprunteur</w:t>
      </w:r>
      <w:r w:rsidRPr="00B63BD5">
        <w:rPr>
          <w:lang w:val="fr-CA"/>
        </w:rPr>
        <w:t xml:space="preserve"> </w:t>
      </w:r>
      <w:r w:rsidR="00067C93" w:rsidRPr="00B63BD5">
        <w:rPr>
          <w:lang w:val="fr-CA"/>
        </w:rPr>
        <w:t xml:space="preserve">[et de ● (sur une base combinée)] </w:t>
      </w:r>
      <w:r w:rsidRPr="00B63BD5">
        <w:rPr>
          <w:lang w:val="fr-CA"/>
        </w:rPr>
        <w:t xml:space="preserve">soit inférieure </w:t>
      </w:r>
      <w:r w:rsidR="00437314" w:rsidRPr="00B63BD5">
        <w:rPr>
          <w:lang w:val="fr-CA"/>
        </w:rPr>
        <w:t xml:space="preserve">en tout temps </w:t>
      </w:r>
      <w:r w:rsidRPr="00B63BD5">
        <w:rPr>
          <w:lang w:val="fr-CA"/>
        </w:rPr>
        <w:t xml:space="preserve">à </w:t>
      </w:r>
      <w:r w:rsidR="00D84D69" w:rsidRPr="00B63BD5">
        <w:rPr>
          <w:lang w:val="fr-CA"/>
        </w:rPr>
        <w:t>●</w:t>
      </w:r>
      <w:r w:rsidR="00AC4107" w:rsidRPr="00B63BD5">
        <w:rPr>
          <w:lang w:val="fr-CA"/>
        </w:rPr>
        <w:t xml:space="preserve"> </w:t>
      </w:r>
      <w:r w:rsidR="00D84D69" w:rsidRPr="00B63BD5">
        <w:rPr>
          <w:lang w:val="fr-CA"/>
        </w:rPr>
        <w:t>$</w:t>
      </w:r>
      <w:r w:rsidR="00AC4107" w:rsidRPr="00B63BD5">
        <w:rPr>
          <w:lang w:val="fr-CA"/>
        </w:rPr>
        <w:t xml:space="preserve"> </w:t>
      </w:r>
      <w:r w:rsidR="00D84D69" w:rsidRPr="00B63BD5">
        <w:rPr>
          <w:lang w:val="fr-CA"/>
        </w:rPr>
        <w:t>CA</w:t>
      </w:r>
      <w:r w:rsidR="009926E7" w:rsidRPr="00B63BD5">
        <w:rPr>
          <w:lang w:val="fr-CA"/>
        </w:rPr>
        <w:t>;</w:t>
      </w:r>
    </w:p>
    <w:p w14:paraId="7B683AD7" w14:textId="4CEDD5C1" w:rsidR="009926E7" w:rsidRPr="00B63BD5" w:rsidRDefault="0096109A" w:rsidP="00440A7E">
      <w:pPr>
        <w:pStyle w:val="04LOLglNew4"/>
        <w:rPr>
          <w:lang w:val="fr-CA"/>
        </w:rPr>
      </w:pPr>
      <w:r w:rsidRPr="00B63BD5">
        <w:rPr>
          <w:lang w:val="fr-CA"/>
        </w:rPr>
        <w:t>faire des dép</w:t>
      </w:r>
      <w:r w:rsidR="00A062F5" w:rsidRPr="00B63BD5">
        <w:rPr>
          <w:lang w:val="fr-CA"/>
        </w:rPr>
        <w:t xml:space="preserve">enses en immobilisations </w:t>
      </w:r>
      <w:r w:rsidR="004701D2" w:rsidRPr="00B63BD5">
        <w:rPr>
          <w:lang w:val="fr-CA"/>
        </w:rPr>
        <w:t>d</w:t>
      </w:r>
      <w:r w:rsidR="00564B0C" w:rsidRPr="00B63BD5">
        <w:rPr>
          <w:lang w:val="fr-CA"/>
        </w:rPr>
        <w:t>’</w:t>
      </w:r>
      <w:r w:rsidR="004701D2" w:rsidRPr="00B63BD5">
        <w:rPr>
          <w:lang w:val="fr-CA"/>
        </w:rPr>
        <w:t xml:space="preserve">un montant global </w:t>
      </w:r>
      <w:r w:rsidR="00A71CA4" w:rsidRPr="00B63BD5">
        <w:rPr>
          <w:lang w:val="fr-CA"/>
        </w:rPr>
        <w:t>supérieur à</w:t>
      </w:r>
      <w:r w:rsidR="004701D2" w:rsidRPr="00B63BD5">
        <w:rPr>
          <w:lang w:val="fr-CA"/>
        </w:rPr>
        <w:t xml:space="preserve"> </w:t>
      </w:r>
      <w:r w:rsidR="00D84D69" w:rsidRPr="00B63BD5">
        <w:rPr>
          <w:lang w:val="fr-CA"/>
        </w:rPr>
        <w:t>●</w:t>
      </w:r>
      <w:r w:rsidR="00AC4107" w:rsidRPr="00B63BD5">
        <w:rPr>
          <w:lang w:val="fr-CA"/>
        </w:rPr>
        <w:t xml:space="preserve"> </w:t>
      </w:r>
      <w:r w:rsidR="00D84D69" w:rsidRPr="00B63BD5">
        <w:rPr>
          <w:lang w:val="fr-CA"/>
        </w:rPr>
        <w:t>$</w:t>
      </w:r>
      <w:r w:rsidR="00AC4107" w:rsidRPr="00B63BD5">
        <w:rPr>
          <w:lang w:val="fr-CA"/>
        </w:rPr>
        <w:t xml:space="preserve"> </w:t>
      </w:r>
      <w:r w:rsidR="00D84D69" w:rsidRPr="00B63BD5">
        <w:rPr>
          <w:lang w:val="fr-CA"/>
        </w:rPr>
        <w:t>CA</w:t>
      </w:r>
      <w:r w:rsidR="005D7796" w:rsidRPr="00B63BD5">
        <w:rPr>
          <w:lang w:val="fr-CA"/>
        </w:rPr>
        <w:t xml:space="preserve"> par</w:t>
      </w:r>
      <w:r w:rsidR="00FD40ED" w:rsidRPr="00B63BD5">
        <w:rPr>
          <w:lang w:val="fr-CA"/>
        </w:rPr>
        <w:t> </w:t>
      </w:r>
      <w:r w:rsidR="005D7796" w:rsidRPr="00B63BD5">
        <w:rPr>
          <w:lang w:val="fr-CA"/>
        </w:rPr>
        <w:t>[exercice</w:t>
      </w:r>
      <w:r w:rsidR="00FD40ED" w:rsidRPr="00B63BD5">
        <w:rPr>
          <w:lang w:val="fr-CA"/>
        </w:rPr>
        <w:t> </w:t>
      </w:r>
      <w:r w:rsidR="00067C93" w:rsidRPr="00B63BD5">
        <w:rPr>
          <w:b/>
          <w:color w:val="00B0F0"/>
          <w:highlight w:val="yellow"/>
          <w:lang w:val="fr-CA"/>
        </w:rPr>
        <w:t>OU</w:t>
      </w:r>
      <w:r w:rsidR="00067C93" w:rsidRPr="00B63BD5">
        <w:rPr>
          <w:b/>
          <w:color w:val="00B0F0"/>
          <w:lang w:val="fr-CA"/>
        </w:rPr>
        <w:t xml:space="preserve"> </w:t>
      </w:r>
      <w:r w:rsidR="00067C93" w:rsidRPr="00B63BD5">
        <w:rPr>
          <w:lang w:val="fr-CA"/>
        </w:rPr>
        <w:t>année civile</w:t>
      </w:r>
      <w:r w:rsidR="005D7796" w:rsidRPr="00B63BD5">
        <w:rPr>
          <w:lang w:val="fr-CA"/>
        </w:rPr>
        <w:t>]</w:t>
      </w:r>
      <w:r w:rsidR="005D7796" w:rsidRPr="00B63BD5">
        <w:rPr>
          <w:b/>
          <w:lang w:val="fr-CA"/>
        </w:rPr>
        <w:t xml:space="preserve"> </w:t>
      </w:r>
      <w:r w:rsidR="005D7796" w:rsidRPr="00B63BD5">
        <w:rPr>
          <w:lang w:val="fr-CA"/>
        </w:rPr>
        <w:t>(</w:t>
      </w:r>
      <w:r w:rsidR="00137C93" w:rsidRPr="00B63BD5">
        <w:rPr>
          <w:lang w:val="fr-CA"/>
        </w:rPr>
        <w:t>cette somme n</w:t>
      </w:r>
      <w:r w:rsidR="00564B0C" w:rsidRPr="00B63BD5">
        <w:rPr>
          <w:lang w:val="fr-CA"/>
        </w:rPr>
        <w:t>’</w:t>
      </w:r>
      <w:r w:rsidR="00137C93" w:rsidRPr="00B63BD5">
        <w:rPr>
          <w:lang w:val="fr-CA"/>
        </w:rPr>
        <w:t xml:space="preserve">étant pas </w:t>
      </w:r>
      <w:r w:rsidRPr="00B63BD5">
        <w:rPr>
          <w:lang w:val="fr-CA"/>
        </w:rPr>
        <w:t>cumulati</w:t>
      </w:r>
      <w:r w:rsidR="00137C93" w:rsidRPr="00B63BD5">
        <w:rPr>
          <w:lang w:val="fr-CA"/>
        </w:rPr>
        <w:t>ve</w:t>
      </w:r>
      <w:r w:rsidRPr="00B63BD5">
        <w:rPr>
          <w:lang w:val="fr-CA"/>
        </w:rPr>
        <w:t xml:space="preserve"> d</w:t>
      </w:r>
      <w:r w:rsidR="00564B0C" w:rsidRPr="00B63BD5">
        <w:rPr>
          <w:lang w:val="fr-CA"/>
        </w:rPr>
        <w:t>’</w:t>
      </w:r>
      <w:r w:rsidRPr="00B63BD5">
        <w:rPr>
          <w:lang w:val="fr-CA"/>
        </w:rPr>
        <w:t>une année à l</w:t>
      </w:r>
      <w:r w:rsidR="00564B0C" w:rsidRPr="00B63BD5">
        <w:rPr>
          <w:lang w:val="fr-CA"/>
        </w:rPr>
        <w:t>’</w:t>
      </w:r>
      <w:r w:rsidRPr="00B63BD5">
        <w:rPr>
          <w:lang w:val="fr-CA"/>
        </w:rPr>
        <w:t>autre</w:t>
      </w:r>
      <w:r w:rsidR="00C96CFF" w:rsidRPr="00B63BD5">
        <w:rPr>
          <w:lang w:val="fr-CA"/>
        </w:rPr>
        <w:t>)</w:t>
      </w:r>
      <w:r w:rsidR="00A062F5" w:rsidRPr="00B63BD5">
        <w:rPr>
          <w:lang w:val="fr-CA"/>
        </w:rPr>
        <w:t>;</w:t>
      </w:r>
    </w:p>
    <w:p w14:paraId="68A63480" w14:textId="79820BC7" w:rsidR="00C26BE9" w:rsidRPr="00B63BD5" w:rsidRDefault="0096109A" w:rsidP="00440A7E">
      <w:pPr>
        <w:pStyle w:val="04LOLglNew4"/>
        <w:rPr>
          <w:lang w:val="fr-CA"/>
        </w:rPr>
      </w:pPr>
      <w:r w:rsidRPr="00B63BD5">
        <w:rPr>
          <w:lang w:val="fr-CA"/>
        </w:rPr>
        <w:t>verser une rémunération</w:t>
      </w:r>
      <w:r w:rsidR="00C96CFF" w:rsidRPr="00B63BD5">
        <w:rPr>
          <w:lang w:val="fr-CA"/>
        </w:rPr>
        <w:t xml:space="preserve"> de quelque</w:t>
      </w:r>
      <w:r w:rsidR="00377256" w:rsidRPr="00B63BD5">
        <w:rPr>
          <w:lang w:val="fr-CA"/>
        </w:rPr>
        <w:t xml:space="preserve"> nature </w:t>
      </w:r>
      <w:r w:rsidRPr="00B63BD5">
        <w:rPr>
          <w:lang w:val="fr-CA"/>
        </w:rPr>
        <w:t>que</w:t>
      </w:r>
      <w:r w:rsidR="00C96CFF" w:rsidRPr="00B63BD5">
        <w:rPr>
          <w:lang w:val="fr-CA"/>
        </w:rPr>
        <w:t xml:space="preserve"> ce</w:t>
      </w:r>
      <w:r w:rsidRPr="00B63BD5">
        <w:rPr>
          <w:lang w:val="fr-CA"/>
        </w:rPr>
        <w:t xml:space="preserve"> soit (y</w:t>
      </w:r>
      <w:r w:rsidR="00AC4107" w:rsidRPr="00B63BD5">
        <w:rPr>
          <w:lang w:val="fr-CA"/>
        </w:rPr>
        <w:t xml:space="preserve"> </w:t>
      </w:r>
      <w:r w:rsidRPr="00B63BD5">
        <w:rPr>
          <w:lang w:val="fr-CA"/>
        </w:rPr>
        <w:t>compris au moyen de dividendes, de rachats d</w:t>
      </w:r>
      <w:r w:rsidR="00564B0C" w:rsidRPr="00B63BD5">
        <w:rPr>
          <w:lang w:val="fr-CA"/>
        </w:rPr>
        <w:t>’</w:t>
      </w:r>
      <w:r w:rsidRPr="00B63BD5">
        <w:rPr>
          <w:lang w:val="fr-CA"/>
        </w:rPr>
        <w:t>a</w:t>
      </w:r>
      <w:r w:rsidR="00A062F5" w:rsidRPr="00B63BD5">
        <w:rPr>
          <w:lang w:val="fr-CA"/>
        </w:rPr>
        <w:t>c</w:t>
      </w:r>
      <w:r w:rsidRPr="00B63BD5">
        <w:rPr>
          <w:lang w:val="fr-CA"/>
        </w:rPr>
        <w:t>tions</w:t>
      </w:r>
      <w:r w:rsidR="00C96CFF" w:rsidRPr="00B63BD5">
        <w:rPr>
          <w:lang w:val="fr-CA"/>
        </w:rPr>
        <w:t>,</w:t>
      </w:r>
      <w:r w:rsidRPr="00B63BD5">
        <w:rPr>
          <w:lang w:val="fr-CA"/>
        </w:rPr>
        <w:t xml:space="preserve"> de remboursements de titres, de réductions du capital, de prêts ou</w:t>
      </w:r>
      <w:r w:rsidR="00FD40ED" w:rsidRPr="00B63BD5">
        <w:rPr>
          <w:lang w:val="fr-CA"/>
        </w:rPr>
        <w:t> </w:t>
      </w:r>
      <w:r w:rsidRPr="00B63BD5">
        <w:rPr>
          <w:lang w:val="fr-CA"/>
        </w:rPr>
        <w:t>de</w:t>
      </w:r>
      <w:r w:rsidR="00FD40ED" w:rsidRPr="00B63BD5">
        <w:rPr>
          <w:lang w:val="fr-CA"/>
        </w:rPr>
        <w:t> </w:t>
      </w:r>
      <w:r w:rsidRPr="00B63BD5">
        <w:rPr>
          <w:lang w:val="fr-CA"/>
        </w:rPr>
        <w:t>remboursement</w:t>
      </w:r>
      <w:r w:rsidR="00C96CFF" w:rsidRPr="00B63BD5">
        <w:rPr>
          <w:lang w:val="fr-CA"/>
        </w:rPr>
        <w:t>s</w:t>
      </w:r>
      <w:r w:rsidRPr="00B63BD5">
        <w:rPr>
          <w:lang w:val="fr-CA"/>
        </w:rPr>
        <w:t xml:space="preserve"> de prêts, de salaires, de frais de gestion et de prime</w:t>
      </w:r>
      <w:r w:rsidR="00C96CFF" w:rsidRPr="00B63BD5">
        <w:rPr>
          <w:lang w:val="fr-CA"/>
        </w:rPr>
        <w:t>s,</w:t>
      </w:r>
      <w:r w:rsidR="009926E7" w:rsidRPr="00B63BD5">
        <w:rPr>
          <w:lang w:val="fr-CA"/>
        </w:rPr>
        <w:t xml:space="preserve"> </w:t>
      </w:r>
      <w:r w:rsidR="008A1860" w:rsidRPr="00B63BD5">
        <w:rPr>
          <w:lang w:val="fr-CA"/>
        </w:rPr>
        <w:t>[</w:t>
      </w:r>
      <w:r w:rsidRPr="00B63BD5">
        <w:rPr>
          <w:lang w:val="fr-CA"/>
        </w:rPr>
        <w:t>au</w:t>
      </w:r>
      <w:r w:rsidR="00A062F5" w:rsidRPr="00B63BD5">
        <w:rPr>
          <w:lang w:val="fr-CA"/>
        </w:rPr>
        <w:t>x</w:t>
      </w:r>
      <w:r w:rsidR="00FD40ED" w:rsidRPr="00B63BD5">
        <w:rPr>
          <w:lang w:val="fr-CA"/>
        </w:rPr>
        <w:t> </w:t>
      </w:r>
      <w:r w:rsidR="00A062F5" w:rsidRPr="00B63BD5">
        <w:rPr>
          <w:lang w:val="fr-CA"/>
        </w:rPr>
        <w:t xml:space="preserve">administrateurs, </w:t>
      </w:r>
      <w:r w:rsidRPr="00B63BD5">
        <w:rPr>
          <w:lang w:val="fr-CA"/>
        </w:rPr>
        <w:t xml:space="preserve">aux </w:t>
      </w:r>
      <w:r w:rsidR="00A062F5" w:rsidRPr="00B63BD5">
        <w:rPr>
          <w:lang w:val="fr-CA"/>
        </w:rPr>
        <w:t>d</w:t>
      </w:r>
      <w:r w:rsidRPr="00B63BD5">
        <w:rPr>
          <w:lang w:val="fr-CA"/>
        </w:rPr>
        <w:t>irigeant</w:t>
      </w:r>
      <w:r w:rsidR="00C96CFF" w:rsidRPr="00B63BD5">
        <w:rPr>
          <w:lang w:val="fr-CA"/>
        </w:rPr>
        <w:t>s ou</w:t>
      </w:r>
      <w:r w:rsidRPr="00B63BD5">
        <w:rPr>
          <w:lang w:val="fr-CA"/>
        </w:rPr>
        <w:t xml:space="preserve"> aux actionnaires </w:t>
      </w:r>
      <w:r w:rsidR="00137C93" w:rsidRPr="00B63BD5">
        <w:rPr>
          <w:lang w:val="fr-CA"/>
        </w:rPr>
        <w:t>de l</w:t>
      </w:r>
      <w:r w:rsidR="00564B0C" w:rsidRPr="00B63BD5">
        <w:rPr>
          <w:lang w:val="fr-CA"/>
        </w:rPr>
        <w:t>’</w:t>
      </w:r>
      <w:r w:rsidR="00137C93" w:rsidRPr="00B63BD5">
        <w:rPr>
          <w:lang w:val="fr-CA"/>
        </w:rPr>
        <w:t xml:space="preserve">Emprunteur </w:t>
      </w:r>
      <w:r w:rsidRPr="00B63BD5">
        <w:rPr>
          <w:lang w:val="fr-CA"/>
        </w:rPr>
        <w:t>(et aux membre</w:t>
      </w:r>
      <w:r w:rsidR="00C96CFF" w:rsidRPr="00B63BD5">
        <w:rPr>
          <w:lang w:val="fr-CA"/>
        </w:rPr>
        <w:t>s</w:t>
      </w:r>
      <w:r w:rsidRPr="00B63BD5">
        <w:rPr>
          <w:lang w:val="fr-CA"/>
        </w:rPr>
        <w:t xml:space="preserve"> </w:t>
      </w:r>
      <w:r w:rsidR="00D33152" w:rsidRPr="00B63BD5">
        <w:rPr>
          <w:lang w:val="fr-CA"/>
        </w:rPr>
        <w:t xml:space="preserve">de leur </w:t>
      </w:r>
      <w:r w:rsidRPr="00B63BD5">
        <w:rPr>
          <w:lang w:val="fr-CA"/>
        </w:rPr>
        <w:t>groupe</w:t>
      </w:r>
      <w:r w:rsidR="008A1860" w:rsidRPr="00B63BD5">
        <w:rPr>
          <w:lang w:val="fr-CA"/>
        </w:rPr>
        <w:t>]</w:t>
      </w:r>
      <w:r w:rsidR="00C96CFF" w:rsidRPr="00B63BD5">
        <w:rPr>
          <w:lang w:val="fr-CA"/>
        </w:rPr>
        <w:t>)</w:t>
      </w:r>
      <w:r w:rsidR="00A062F5" w:rsidRPr="00B63BD5">
        <w:rPr>
          <w:lang w:val="fr-CA"/>
        </w:rPr>
        <w:t xml:space="preserve">, </w:t>
      </w:r>
      <w:r w:rsidR="004701D2" w:rsidRPr="00B63BD5">
        <w:rPr>
          <w:lang w:val="fr-CA"/>
        </w:rPr>
        <w:t>d</w:t>
      </w:r>
      <w:r w:rsidR="00564B0C" w:rsidRPr="00B63BD5">
        <w:rPr>
          <w:lang w:val="fr-CA"/>
        </w:rPr>
        <w:t>’</w:t>
      </w:r>
      <w:r w:rsidR="004701D2" w:rsidRPr="00B63BD5">
        <w:rPr>
          <w:lang w:val="fr-CA"/>
        </w:rPr>
        <w:t xml:space="preserve">un montant global </w:t>
      </w:r>
      <w:r w:rsidR="003C11AB" w:rsidRPr="00B63BD5">
        <w:rPr>
          <w:lang w:val="fr-CA"/>
        </w:rPr>
        <w:t>supérieur à</w:t>
      </w:r>
      <w:r w:rsidR="004701D2" w:rsidRPr="00B63BD5">
        <w:rPr>
          <w:lang w:val="fr-CA"/>
        </w:rPr>
        <w:t xml:space="preserve"> </w:t>
      </w:r>
      <w:r w:rsidR="00D84D69" w:rsidRPr="00B63BD5">
        <w:rPr>
          <w:lang w:val="fr-CA"/>
        </w:rPr>
        <w:t>●</w:t>
      </w:r>
      <w:r w:rsidR="00AC4107" w:rsidRPr="00B63BD5">
        <w:rPr>
          <w:lang w:val="fr-CA"/>
        </w:rPr>
        <w:t xml:space="preserve"> </w:t>
      </w:r>
      <w:r w:rsidR="00D84D69" w:rsidRPr="00B63BD5">
        <w:rPr>
          <w:lang w:val="fr-CA"/>
        </w:rPr>
        <w:t>$</w:t>
      </w:r>
      <w:r w:rsidR="00AC4107" w:rsidRPr="00B63BD5">
        <w:rPr>
          <w:lang w:val="fr-CA"/>
        </w:rPr>
        <w:t xml:space="preserve"> </w:t>
      </w:r>
      <w:r w:rsidR="00D84D69" w:rsidRPr="00B63BD5">
        <w:rPr>
          <w:lang w:val="fr-CA"/>
        </w:rPr>
        <w:t>CA</w:t>
      </w:r>
      <w:r w:rsidR="00C96CFF" w:rsidRPr="00B63BD5">
        <w:rPr>
          <w:lang w:val="fr-CA"/>
        </w:rPr>
        <w:t xml:space="preserve"> par </w:t>
      </w:r>
      <w:r w:rsidR="00067C93" w:rsidRPr="00B63BD5">
        <w:rPr>
          <w:lang w:val="fr-CA"/>
        </w:rPr>
        <w:t xml:space="preserve">[exercice </w:t>
      </w:r>
      <w:r w:rsidR="00067C93" w:rsidRPr="00B63BD5">
        <w:rPr>
          <w:b/>
          <w:color w:val="00B0F0"/>
          <w:highlight w:val="yellow"/>
          <w:lang w:val="fr-CA"/>
        </w:rPr>
        <w:t>OU</w:t>
      </w:r>
      <w:r w:rsidR="00067C93" w:rsidRPr="00B63BD5">
        <w:rPr>
          <w:b/>
          <w:color w:val="00B0F0"/>
          <w:lang w:val="fr-CA"/>
        </w:rPr>
        <w:t xml:space="preserve"> </w:t>
      </w:r>
      <w:r w:rsidR="00067C93" w:rsidRPr="00B63BD5">
        <w:rPr>
          <w:lang w:val="fr-CA"/>
        </w:rPr>
        <w:t xml:space="preserve">année civile] </w:t>
      </w:r>
      <w:r w:rsidR="00C96CFF" w:rsidRPr="00B63BD5">
        <w:rPr>
          <w:lang w:val="fr-CA"/>
        </w:rPr>
        <w:t>(</w:t>
      </w:r>
      <w:r w:rsidR="00137C93" w:rsidRPr="00B63BD5">
        <w:rPr>
          <w:lang w:val="fr-CA"/>
        </w:rPr>
        <w:t>cette</w:t>
      </w:r>
      <w:r w:rsidR="00363F9D" w:rsidRPr="00B63BD5">
        <w:rPr>
          <w:lang w:val="fr-CA"/>
        </w:rPr>
        <w:t> </w:t>
      </w:r>
      <w:r w:rsidR="00137C93" w:rsidRPr="00B63BD5">
        <w:rPr>
          <w:lang w:val="fr-CA"/>
        </w:rPr>
        <w:t>somme n</w:t>
      </w:r>
      <w:r w:rsidR="00564B0C" w:rsidRPr="00B63BD5">
        <w:rPr>
          <w:lang w:val="fr-CA"/>
        </w:rPr>
        <w:t>’</w:t>
      </w:r>
      <w:r w:rsidR="00137C93" w:rsidRPr="00B63BD5">
        <w:rPr>
          <w:lang w:val="fr-CA"/>
        </w:rPr>
        <w:t xml:space="preserve">étant pas cumulative </w:t>
      </w:r>
      <w:r w:rsidR="00C96CFF" w:rsidRPr="00B63BD5">
        <w:rPr>
          <w:lang w:val="fr-CA"/>
        </w:rPr>
        <w:t>d</w:t>
      </w:r>
      <w:r w:rsidR="00564B0C" w:rsidRPr="00B63BD5">
        <w:rPr>
          <w:lang w:val="fr-CA"/>
        </w:rPr>
        <w:t>’</w:t>
      </w:r>
      <w:r w:rsidR="00C96CFF" w:rsidRPr="00B63BD5">
        <w:rPr>
          <w:lang w:val="fr-CA"/>
        </w:rPr>
        <w:t>une année à l</w:t>
      </w:r>
      <w:r w:rsidR="00564B0C" w:rsidRPr="00B63BD5">
        <w:rPr>
          <w:lang w:val="fr-CA"/>
        </w:rPr>
        <w:t>’</w:t>
      </w:r>
      <w:r w:rsidR="00C96CFF" w:rsidRPr="00B63BD5">
        <w:rPr>
          <w:lang w:val="fr-CA"/>
        </w:rPr>
        <w:t>autre)</w:t>
      </w:r>
      <w:r w:rsidR="00CD7A8A" w:rsidRPr="00B63BD5">
        <w:rPr>
          <w:lang w:val="fr-CA"/>
        </w:rPr>
        <w:t>;</w:t>
      </w:r>
    </w:p>
    <w:p w14:paraId="4B391001" w14:textId="616AE617" w:rsidR="00442C0E" w:rsidRPr="00B63BD5" w:rsidRDefault="00377256" w:rsidP="00440A7E">
      <w:pPr>
        <w:pStyle w:val="04LOLglNew4"/>
        <w:rPr>
          <w:lang w:val="fr-CA"/>
        </w:rPr>
      </w:pPr>
      <w:r w:rsidRPr="00B63BD5">
        <w:rPr>
          <w:lang w:val="fr-CA"/>
        </w:rPr>
        <w:t>permettre que le ratio de la D</w:t>
      </w:r>
      <w:r w:rsidR="0096109A" w:rsidRPr="00B63BD5">
        <w:rPr>
          <w:lang w:val="fr-CA"/>
        </w:rPr>
        <w:t xml:space="preserve">ette à long terme de premier rang sur le BAIIA </w:t>
      </w:r>
      <w:r w:rsidR="00DC718F" w:rsidRPr="00B63BD5">
        <w:rPr>
          <w:lang w:val="fr-CA"/>
        </w:rPr>
        <w:t>de l</w:t>
      </w:r>
      <w:r w:rsidR="00564B0C" w:rsidRPr="00B63BD5">
        <w:rPr>
          <w:lang w:val="fr-CA"/>
        </w:rPr>
        <w:t>’</w:t>
      </w:r>
      <w:r w:rsidR="00DC718F" w:rsidRPr="00B63BD5">
        <w:rPr>
          <w:lang w:val="fr-CA"/>
        </w:rPr>
        <w:t xml:space="preserve">Emprunteur </w:t>
      </w:r>
      <w:r w:rsidR="00067C93" w:rsidRPr="00B63BD5">
        <w:rPr>
          <w:lang w:val="fr-CA"/>
        </w:rPr>
        <w:t>[et</w:t>
      </w:r>
      <w:r w:rsidR="00363F9D" w:rsidRPr="00B63BD5">
        <w:rPr>
          <w:lang w:val="fr-CA"/>
        </w:rPr>
        <w:t> </w:t>
      </w:r>
      <w:r w:rsidR="00067C93" w:rsidRPr="00B63BD5">
        <w:rPr>
          <w:lang w:val="fr-CA"/>
        </w:rPr>
        <w:t>de ● (sur une base combinée)]</w:t>
      </w:r>
      <w:r w:rsidRPr="00B63BD5">
        <w:rPr>
          <w:lang w:val="fr-CA"/>
        </w:rPr>
        <w:t xml:space="preserve"> excède en tout temps</w:t>
      </w:r>
      <w:r w:rsidR="00067C93" w:rsidRPr="00B63BD5">
        <w:rPr>
          <w:lang w:val="fr-CA"/>
        </w:rPr>
        <w:t xml:space="preserve"> </w:t>
      </w:r>
      <w:r w:rsidR="00B84734" w:rsidRPr="00B63BD5">
        <w:rPr>
          <w:lang w:val="fr-CA"/>
        </w:rPr>
        <w:t>●</w:t>
      </w:r>
      <w:r w:rsidR="00AC4107" w:rsidRPr="00B63BD5">
        <w:rPr>
          <w:lang w:val="fr-CA"/>
        </w:rPr>
        <w:t xml:space="preserve"> </w:t>
      </w:r>
      <w:r w:rsidRPr="00B63BD5">
        <w:rPr>
          <w:lang w:val="fr-CA"/>
        </w:rPr>
        <w:t xml:space="preserve">: </w:t>
      </w:r>
      <w:r w:rsidR="00137C93" w:rsidRPr="00B63BD5">
        <w:rPr>
          <w:lang w:val="fr-CA"/>
        </w:rPr>
        <w:t>1,</w:t>
      </w:r>
      <w:r w:rsidR="002037D6" w:rsidRPr="00B63BD5">
        <w:rPr>
          <w:lang w:val="fr-CA"/>
        </w:rPr>
        <w:t>0</w:t>
      </w:r>
      <w:r w:rsidR="00137C93" w:rsidRPr="00B63BD5">
        <w:rPr>
          <w:lang w:val="fr-CA"/>
        </w:rPr>
        <w:t>0</w:t>
      </w:r>
      <w:r w:rsidR="001E4619" w:rsidRPr="00B63BD5">
        <w:rPr>
          <w:lang w:val="fr-CA"/>
        </w:rPr>
        <w:t xml:space="preserve"> </w:t>
      </w:r>
      <w:r w:rsidR="0051486C" w:rsidRPr="00B63BD5">
        <w:rPr>
          <w:lang w:val="fr-CA"/>
        </w:rPr>
        <w:t>[</w:t>
      </w:r>
      <w:r w:rsidR="0096109A" w:rsidRPr="00B63BD5">
        <w:rPr>
          <w:lang w:val="fr-CA"/>
        </w:rPr>
        <w:t>calculé</w:t>
      </w:r>
      <w:r w:rsidR="0011404F" w:rsidRPr="00B63BD5">
        <w:rPr>
          <w:lang w:val="fr-CA"/>
        </w:rPr>
        <w:t xml:space="preserve"> de façon continue </w:t>
      </w:r>
      <w:r w:rsidR="0096109A" w:rsidRPr="00B63BD5">
        <w:rPr>
          <w:lang w:val="fr-CA"/>
        </w:rPr>
        <w:t xml:space="preserve">sur </w:t>
      </w:r>
      <w:r w:rsidR="00E81C4C" w:rsidRPr="00B63BD5">
        <w:rPr>
          <w:lang w:val="fr-CA"/>
        </w:rPr>
        <w:t>quatre</w:t>
      </w:r>
      <w:r w:rsidR="0096109A" w:rsidRPr="00B63BD5">
        <w:rPr>
          <w:lang w:val="fr-CA"/>
        </w:rPr>
        <w:t xml:space="preserve"> trim</w:t>
      </w:r>
      <w:r w:rsidR="00A062F5" w:rsidRPr="00B63BD5">
        <w:rPr>
          <w:lang w:val="fr-CA"/>
        </w:rPr>
        <w:t>estres</w:t>
      </w:r>
      <w:r w:rsidR="0051486C" w:rsidRPr="00B63BD5">
        <w:rPr>
          <w:lang w:val="fr-CA"/>
        </w:rPr>
        <w:t>]</w:t>
      </w:r>
      <w:r w:rsidR="00442C0E" w:rsidRPr="00B63BD5">
        <w:rPr>
          <w:lang w:val="fr-CA"/>
        </w:rPr>
        <w:t>;</w:t>
      </w:r>
    </w:p>
    <w:p w14:paraId="6727D9B7" w14:textId="3491D476" w:rsidR="00E5494A" w:rsidRPr="00B63BD5" w:rsidRDefault="00377256" w:rsidP="00440A7E">
      <w:pPr>
        <w:pStyle w:val="04LOLglNew4"/>
        <w:rPr>
          <w:lang w:val="fr-CA"/>
        </w:rPr>
      </w:pPr>
      <w:r w:rsidRPr="00B63BD5">
        <w:rPr>
          <w:lang w:val="fr-CA"/>
        </w:rPr>
        <w:t>permettre que la C</w:t>
      </w:r>
      <w:r w:rsidR="0096109A" w:rsidRPr="00B63BD5">
        <w:rPr>
          <w:lang w:val="fr-CA"/>
        </w:rPr>
        <w:t xml:space="preserve">ouverture du service de la dette </w:t>
      </w:r>
      <w:r w:rsidR="00DC718F" w:rsidRPr="00B63BD5">
        <w:rPr>
          <w:lang w:val="fr-CA"/>
        </w:rPr>
        <w:t>de l</w:t>
      </w:r>
      <w:r w:rsidR="00564B0C" w:rsidRPr="00B63BD5">
        <w:rPr>
          <w:lang w:val="fr-CA"/>
        </w:rPr>
        <w:t>’</w:t>
      </w:r>
      <w:r w:rsidR="00DC718F" w:rsidRPr="00B63BD5">
        <w:rPr>
          <w:lang w:val="fr-CA"/>
        </w:rPr>
        <w:t xml:space="preserve">Emprunteur </w:t>
      </w:r>
      <w:r w:rsidR="00067C93" w:rsidRPr="00B63BD5">
        <w:rPr>
          <w:lang w:val="fr-CA"/>
        </w:rPr>
        <w:t xml:space="preserve">[et de ● (sur une base combinée)] </w:t>
      </w:r>
      <w:r w:rsidR="0096109A" w:rsidRPr="00B63BD5">
        <w:rPr>
          <w:lang w:val="fr-CA"/>
        </w:rPr>
        <w:t>soit</w:t>
      </w:r>
      <w:r w:rsidR="00137C93" w:rsidRPr="00B63BD5">
        <w:rPr>
          <w:lang w:val="fr-CA"/>
        </w:rPr>
        <w:t xml:space="preserve"> </w:t>
      </w:r>
      <w:r w:rsidRPr="00B63BD5">
        <w:rPr>
          <w:lang w:val="fr-CA"/>
        </w:rPr>
        <w:t xml:space="preserve">en tout temps </w:t>
      </w:r>
      <w:r w:rsidR="00137C93" w:rsidRPr="00B63BD5">
        <w:rPr>
          <w:lang w:val="fr-CA"/>
        </w:rPr>
        <w:t>inférieure à ●</w:t>
      </w:r>
      <w:r w:rsidR="00AC4107" w:rsidRPr="00B63BD5">
        <w:rPr>
          <w:lang w:val="fr-CA"/>
        </w:rPr>
        <w:t xml:space="preserve"> </w:t>
      </w:r>
      <w:r w:rsidRPr="00B63BD5">
        <w:rPr>
          <w:lang w:val="fr-CA"/>
        </w:rPr>
        <w:t>:</w:t>
      </w:r>
      <w:r w:rsidR="00137C93" w:rsidRPr="00B63BD5">
        <w:rPr>
          <w:lang w:val="fr-CA"/>
        </w:rPr>
        <w:t xml:space="preserve"> 1,</w:t>
      </w:r>
      <w:r w:rsidR="002037D6" w:rsidRPr="00B63BD5">
        <w:rPr>
          <w:lang w:val="fr-CA"/>
        </w:rPr>
        <w:t>0</w:t>
      </w:r>
      <w:r w:rsidR="00137C93" w:rsidRPr="00B63BD5">
        <w:rPr>
          <w:lang w:val="fr-CA"/>
        </w:rPr>
        <w:t>0</w:t>
      </w:r>
      <w:r w:rsidR="0096109A" w:rsidRPr="00B63BD5">
        <w:rPr>
          <w:lang w:val="fr-CA"/>
        </w:rPr>
        <w:t xml:space="preserve"> </w:t>
      </w:r>
      <w:r w:rsidR="00CD7A8A" w:rsidRPr="00B63BD5">
        <w:rPr>
          <w:lang w:val="fr-CA"/>
        </w:rPr>
        <w:t>[</w:t>
      </w:r>
      <w:r w:rsidR="00A062F5" w:rsidRPr="00B63BD5">
        <w:rPr>
          <w:lang w:val="fr-CA"/>
        </w:rPr>
        <w:t>calculé</w:t>
      </w:r>
      <w:r w:rsidR="00E81C4C" w:rsidRPr="00B63BD5">
        <w:rPr>
          <w:lang w:val="fr-CA"/>
        </w:rPr>
        <w:t>e</w:t>
      </w:r>
      <w:r w:rsidR="00A062F5" w:rsidRPr="00B63BD5">
        <w:rPr>
          <w:lang w:val="fr-CA"/>
        </w:rPr>
        <w:t xml:space="preserve"> </w:t>
      </w:r>
      <w:r w:rsidR="0011404F" w:rsidRPr="00B63BD5">
        <w:rPr>
          <w:lang w:val="fr-CA"/>
        </w:rPr>
        <w:t>de façon continue sur quatre</w:t>
      </w:r>
      <w:r w:rsidR="00363F9D" w:rsidRPr="00B63BD5">
        <w:rPr>
          <w:lang w:val="fr-CA"/>
        </w:rPr>
        <w:t> </w:t>
      </w:r>
      <w:r w:rsidR="0011404F" w:rsidRPr="00B63BD5">
        <w:rPr>
          <w:lang w:val="fr-CA"/>
        </w:rPr>
        <w:t>trimestres</w:t>
      </w:r>
      <w:r w:rsidR="00335897" w:rsidRPr="00B63BD5">
        <w:rPr>
          <w:lang w:val="fr-CA"/>
        </w:rPr>
        <w:t>]</w:t>
      </w:r>
      <w:r w:rsidR="00B00164" w:rsidRPr="00B63BD5">
        <w:rPr>
          <w:lang w:val="fr-CA"/>
        </w:rPr>
        <w:t>.</w:t>
      </w:r>
    </w:p>
    <w:p w14:paraId="7ED83C22" w14:textId="2F2A7C74" w:rsidR="00942880" w:rsidRPr="00B63BD5" w:rsidRDefault="00D84D69" w:rsidP="00632863">
      <w:pPr>
        <w:spacing w:after="240"/>
        <w:jc w:val="both"/>
        <w:rPr>
          <w:lang w:val="fr-CA"/>
        </w:rPr>
      </w:pPr>
      <w:r w:rsidRPr="00B63BD5">
        <w:rPr>
          <w:lang w:val="fr-CA"/>
        </w:rPr>
        <w:t>L</w:t>
      </w:r>
      <w:r w:rsidR="00564B0C" w:rsidRPr="00B63BD5">
        <w:rPr>
          <w:lang w:val="fr-CA"/>
        </w:rPr>
        <w:t>’</w:t>
      </w:r>
      <w:r w:rsidRPr="00B63BD5">
        <w:rPr>
          <w:lang w:val="fr-CA"/>
        </w:rPr>
        <w:t xml:space="preserve">Emprunteur </w:t>
      </w:r>
      <w:r w:rsidR="00A062F5" w:rsidRPr="00B63BD5">
        <w:rPr>
          <w:lang w:val="fr-CA"/>
        </w:rPr>
        <w:t xml:space="preserve">convient que </w:t>
      </w:r>
      <w:r w:rsidR="00137C93" w:rsidRPr="00B63BD5">
        <w:rPr>
          <w:lang w:val="fr-CA"/>
        </w:rPr>
        <w:t xml:space="preserve">la Banque </w:t>
      </w:r>
      <w:r w:rsidR="002037D6" w:rsidRPr="00B63BD5">
        <w:rPr>
          <w:lang w:val="fr-CA"/>
        </w:rPr>
        <w:t xml:space="preserve">pourra </w:t>
      </w:r>
      <w:r w:rsidR="00137C93" w:rsidRPr="00B63BD5">
        <w:rPr>
          <w:lang w:val="fr-CA"/>
        </w:rPr>
        <w:t>calcule</w:t>
      </w:r>
      <w:r w:rsidR="004701D2" w:rsidRPr="00B63BD5">
        <w:rPr>
          <w:lang w:val="fr-CA"/>
        </w:rPr>
        <w:t>r</w:t>
      </w:r>
      <w:r w:rsidR="00137C93" w:rsidRPr="00B63BD5">
        <w:rPr>
          <w:lang w:val="fr-CA"/>
        </w:rPr>
        <w:t xml:space="preserve"> </w:t>
      </w:r>
      <w:r w:rsidR="00A062F5" w:rsidRPr="00B63BD5">
        <w:rPr>
          <w:lang w:val="fr-CA"/>
        </w:rPr>
        <w:t xml:space="preserve">les </w:t>
      </w:r>
      <w:r w:rsidR="003C11AB" w:rsidRPr="00B63BD5">
        <w:rPr>
          <w:lang w:val="fr-CA"/>
        </w:rPr>
        <w:t>engagements</w:t>
      </w:r>
      <w:r w:rsidR="003A0432" w:rsidRPr="00B63BD5">
        <w:rPr>
          <w:lang w:val="fr-CA"/>
        </w:rPr>
        <w:t xml:space="preserve"> </w:t>
      </w:r>
      <w:r w:rsidR="00A062F5" w:rsidRPr="00B63BD5">
        <w:rPr>
          <w:lang w:val="fr-CA"/>
        </w:rPr>
        <w:t xml:space="preserve">financiers qui précèdent </w:t>
      </w:r>
      <w:r w:rsidR="002037D6" w:rsidRPr="00B63BD5">
        <w:rPr>
          <w:lang w:val="fr-CA"/>
        </w:rPr>
        <w:t xml:space="preserve">périodiquement au </w:t>
      </w:r>
      <w:r w:rsidR="004701D2" w:rsidRPr="00B63BD5">
        <w:rPr>
          <w:lang w:val="fr-CA"/>
        </w:rPr>
        <w:t xml:space="preserve">moyen des </w:t>
      </w:r>
      <w:r w:rsidR="00A062F5" w:rsidRPr="00B63BD5">
        <w:rPr>
          <w:lang w:val="fr-CA"/>
        </w:rPr>
        <w:t>états financiers</w:t>
      </w:r>
      <w:r w:rsidR="002037D6" w:rsidRPr="00B63BD5">
        <w:rPr>
          <w:lang w:val="fr-CA"/>
        </w:rPr>
        <w:t xml:space="preserve"> [non consolidés</w:t>
      </w:r>
      <w:r w:rsidR="00B67E21" w:rsidRPr="00B63BD5">
        <w:rPr>
          <w:lang w:val="fr-CA"/>
        </w:rPr>
        <w:t xml:space="preserve"> </w:t>
      </w:r>
      <w:r w:rsidR="001934B0" w:rsidRPr="00B63BD5">
        <w:rPr>
          <w:b/>
          <w:color w:val="00B0F0"/>
          <w:highlight w:val="yellow"/>
          <w:lang w:val="fr-CA"/>
        </w:rPr>
        <w:t>OU</w:t>
      </w:r>
      <w:r w:rsidR="00B67E21" w:rsidRPr="00B63BD5">
        <w:rPr>
          <w:lang w:val="fr-CA"/>
        </w:rPr>
        <w:t xml:space="preserve"> </w:t>
      </w:r>
      <w:r w:rsidR="007A6048" w:rsidRPr="00B63BD5">
        <w:rPr>
          <w:lang w:val="fr-CA"/>
        </w:rPr>
        <w:t xml:space="preserve">consolidés] </w:t>
      </w:r>
      <w:r w:rsidR="002037D6" w:rsidRPr="00B63BD5">
        <w:rPr>
          <w:lang w:val="fr-CA"/>
        </w:rPr>
        <w:t xml:space="preserve">fournis par </w:t>
      </w:r>
      <w:r w:rsidR="00A062F5" w:rsidRPr="00B63BD5">
        <w:rPr>
          <w:lang w:val="fr-CA"/>
        </w:rPr>
        <w:t>l</w:t>
      </w:r>
      <w:r w:rsidR="00564B0C" w:rsidRPr="00B63BD5">
        <w:rPr>
          <w:lang w:val="fr-CA"/>
        </w:rPr>
        <w:t>’</w:t>
      </w:r>
      <w:r w:rsidR="00A062F5" w:rsidRPr="00B63BD5">
        <w:rPr>
          <w:lang w:val="fr-CA"/>
        </w:rPr>
        <w:t xml:space="preserve">Emprunteur </w:t>
      </w:r>
      <w:r w:rsidR="008A1860" w:rsidRPr="00B63BD5">
        <w:rPr>
          <w:lang w:val="fr-CA"/>
        </w:rPr>
        <w:t>[</w:t>
      </w:r>
      <w:r w:rsidRPr="00B63BD5">
        <w:rPr>
          <w:lang w:val="fr-CA"/>
        </w:rPr>
        <w:t>et</w:t>
      </w:r>
      <w:r w:rsidR="00FD40ED" w:rsidRPr="00B63BD5">
        <w:rPr>
          <w:lang w:val="fr-CA"/>
        </w:rPr>
        <w:t> </w:t>
      </w:r>
      <w:r w:rsidR="002037D6" w:rsidRPr="00B63BD5">
        <w:rPr>
          <w:lang w:val="fr-CA"/>
        </w:rPr>
        <w:t xml:space="preserve">le </w:t>
      </w:r>
      <w:r w:rsidR="0055614F" w:rsidRPr="00B63BD5">
        <w:rPr>
          <w:lang w:val="fr-CA"/>
        </w:rPr>
        <w:t>Garant</w:t>
      </w:r>
      <w:r w:rsidR="00067C93" w:rsidRPr="00B63BD5">
        <w:rPr>
          <w:lang w:val="fr-CA"/>
        </w:rPr>
        <w:t xml:space="preserve"> </w:t>
      </w:r>
      <w:r w:rsidR="00067C93" w:rsidRPr="00B63BD5">
        <w:rPr>
          <w:b/>
          <w:color w:val="00B0F0"/>
          <w:highlight w:val="yellow"/>
          <w:lang w:val="fr-CA"/>
        </w:rPr>
        <w:t>OU</w:t>
      </w:r>
      <w:r w:rsidR="00067C93" w:rsidRPr="00B63BD5">
        <w:rPr>
          <w:lang w:val="fr-CA"/>
        </w:rPr>
        <w:t xml:space="preserve"> </w:t>
      </w:r>
      <w:r w:rsidR="0055614F" w:rsidRPr="00B63BD5">
        <w:rPr>
          <w:lang w:val="fr-CA"/>
        </w:rPr>
        <w:t>et</w:t>
      </w:r>
      <w:r w:rsidR="002037D6" w:rsidRPr="00B63BD5">
        <w:rPr>
          <w:lang w:val="fr-CA"/>
        </w:rPr>
        <w:t xml:space="preserve"> les </w:t>
      </w:r>
      <w:r w:rsidRPr="00B63BD5">
        <w:rPr>
          <w:lang w:val="fr-CA"/>
        </w:rPr>
        <w:t>Garant</w:t>
      </w:r>
      <w:r w:rsidR="002037D6" w:rsidRPr="00B63BD5">
        <w:rPr>
          <w:lang w:val="fr-CA"/>
        </w:rPr>
        <w:t>s</w:t>
      </w:r>
      <w:r w:rsidR="008A1860" w:rsidRPr="00B63BD5">
        <w:rPr>
          <w:lang w:val="fr-CA"/>
        </w:rPr>
        <w:t xml:space="preserve">] </w:t>
      </w:r>
      <w:r w:rsidR="003377BD" w:rsidRPr="00B63BD5">
        <w:rPr>
          <w:lang w:val="fr-CA"/>
        </w:rPr>
        <w:t xml:space="preserve">ou </w:t>
      </w:r>
      <w:r w:rsidR="004701D2" w:rsidRPr="00B63BD5">
        <w:rPr>
          <w:lang w:val="fr-CA"/>
        </w:rPr>
        <w:t xml:space="preserve">des </w:t>
      </w:r>
      <w:r w:rsidR="00A062F5" w:rsidRPr="00B63BD5">
        <w:rPr>
          <w:lang w:val="fr-CA"/>
        </w:rPr>
        <w:t xml:space="preserve">autres états </w:t>
      </w:r>
      <w:r w:rsidR="004701D2" w:rsidRPr="00B63BD5">
        <w:rPr>
          <w:lang w:val="fr-CA"/>
        </w:rPr>
        <w:t xml:space="preserve">financiers </w:t>
      </w:r>
      <w:r w:rsidR="00A062F5" w:rsidRPr="00B63BD5">
        <w:rPr>
          <w:lang w:val="fr-CA"/>
        </w:rPr>
        <w:t>qu</w:t>
      </w:r>
      <w:r w:rsidR="00564B0C" w:rsidRPr="00B63BD5">
        <w:rPr>
          <w:lang w:val="fr-CA"/>
        </w:rPr>
        <w:t>’</w:t>
      </w:r>
      <w:r w:rsidR="003377BD" w:rsidRPr="00B63BD5">
        <w:rPr>
          <w:lang w:val="fr-CA"/>
        </w:rPr>
        <w:t xml:space="preserve">elle </w:t>
      </w:r>
      <w:r w:rsidR="004701D2" w:rsidRPr="00B63BD5">
        <w:rPr>
          <w:lang w:val="fr-CA"/>
        </w:rPr>
        <w:t xml:space="preserve">pourrait </w:t>
      </w:r>
      <w:r w:rsidR="00A062F5" w:rsidRPr="00B63BD5">
        <w:rPr>
          <w:lang w:val="fr-CA"/>
        </w:rPr>
        <w:t>accepter d</w:t>
      </w:r>
      <w:r w:rsidR="00564B0C" w:rsidRPr="00B63BD5">
        <w:rPr>
          <w:lang w:val="fr-CA"/>
        </w:rPr>
        <w:t>’</w:t>
      </w:r>
      <w:r w:rsidR="00A062F5" w:rsidRPr="00B63BD5">
        <w:rPr>
          <w:lang w:val="fr-CA"/>
        </w:rPr>
        <w:t>utiliser</w:t>
      </w:r>
      <w:r w:rsidR="00377256" w:rsidRPr="00B63BD5">
        <w:rPr>
          <w:lang w:val="fr-CA"/>
        </w:rPr>
        <w:t xml:space="preserve"> de</w:t>
      </w:r>
      <w:r w:rsidR="00FD40ED" w:rsidRPr="00B63BD5">
        <w:rPr>
          <w:lang w:val="fr-CA"/>
        </w:rPr>
        <w:t> </w:t>
      </w:r>
      <w:r w:rsidR="00377256" w:rsidRPr="00B63BD5">
        <w:rPr>
          <w:lang w:val="fr-CA"/>
        </w:rPr>
        <w:t>temps</w:t>
      </w:r>
      <w:r w:rsidR="00FD40ED" w:rsidRPr="00B63BD5">
        <w:rPr>
          <w:lang w:val="fr-CA"/>
        </w:rPr>
        <w:t> </w:t>
      </w:r>
      <w:r w:rsidR="00377256" w:rsidRPr="00B63BD5">
        <w:rPr>
          <w:lang w:val="fr-CA"/>
        </w:rPr>
        <w:t>à</w:t>
      </w:r>
      <w:r w:rsidR="00FD40ED" w:rsidRPr="00B63BD5">
        <w:rPr>
          <w:lang w:val="fr-CA"/>
        </w:rPr>
        <w:t> </w:t>
      </w:r>
      <w:r w:rsidR="00377256" w:rsidRPr="00B63BD5">
        <w:rPr>
          <w:lang w:val="fr-CA"/>
        </w:rPr>
        <w:t>autre</w:t>
      </w:r>
      <w:r w:rsidR="002037D6" w:rsidRPr="00B63BD5">
        <w:rPr>
          <w:lang w:val="fr-CA"/>
        </w:rPr>
        <w:t>. Si les</w:t>
      </w:r>
      <w:r w:rsidR="00A062F5" w:rsidRPr="00B63BD5">
        <w:rPr>
          <w:lang w:val="fr-CA"/>
        </w:rPr>
        <w:t xml:space="preserve"> sommes ne sont pas exprimées en </w:t>
      </w:r>
      <w:r w:rsidR="00682477" w:rsidRPr="00B63BD5">
        <w:rPr>
          <w:lang w:val="fr-CA"/>
        </w:rPr>
        <w:t>D</w:t>
      </w:r>
      <w:r w:rsidR="002F396A" w:rsidRPr="00B63BD5">
        <w:rPr>
          <w:lang w:val="fr-CA"/>
        </w:rPr>
        <w:t>ollars canadiens</w:t>
      </w:r>
      <w:r w:rsidR="003377BD" w:rsidRPr="00B63BD5">
        <w:rPr>
          <w:lang w:val="fr-CA"/>
        </w:rPr>
        <w:t xml:space="preserve">, </w:t>
      </w:r>
      <w:r w:rsidR="002F396A" w:rsidRPr="00B63BD5">
        <w:rPr>
          <w:lang w:val="fr-CA"/>
        </w:rPr>
        <w:t>l</w:t>
      </w:r>
      <w:r w:rsidR="00564B0C" w:rsidRPr="00B63BD5">
        <w:rPr>
          <w:lang w:val="fr-CA"/>
        </w:rPr>
        <w:t>’</w:t>
      </w:r>
      <w:r w:rsidRPr="00B63BD5">
        <w:rPr>
          <w:lang w:val="fr-CA"/>
        </w:rPr>
        <w:t>Équivalent en dollars canadiens</w:t>
      </w:r>
      <w:r w:rsidR="003377BD" w:rsidRPr="00B63BD5">
        <w:rPr>
          <w:lang w:val="fr-CA"/>
        </w:rPr>
        <w:t xml:space="preserve"> sera utilisé</w:t>
      </w:r>
      <w:r w:rsidR="009926E7" w:rsidRPr="00B63BD5">
        <w:rPr>
          <w:lang w:val="fr-CA"/>
        </w:rPr>
        <w:t>.</w:t>
      </w:r>
    </w:p>
    <w:p w14:paraId="696099EC" w14:textId="77777777" w:rsidR="00685412" w:rsidRPr="00685412" w:rsidRDefault="00685412" w:rsidP="00632863">
      <w:pPr>
        <w:spacing w:after="240"/>
        <w:jc w:val="both"/>
        <w:rPr>
          <w:lang w:val="fr-CA"/>
        </w:rPr>
      </w:pPr>
      <w:r w:rsidRPr="00685412">
        <w:rPr>
          <w:lang w:val="fr-CA"/>
        </w:rPr>
        <w:t xml:space="preserve">Si l’Emprunteur manque à tout engagement énoncé dans la présente Lettre relative aux facilités, l’Emprunteur accepte de verser à la Banque des frais raisonnablement déterminés par celle-ci afin de dédommager la Banque des coûts et des dépenses engagés par suite du manquement. </w:t>
      </w:r>
    </w:p>
    <w:p w14:paraId="4887F1D1" w14:textId="2328A577" w:rsidR="00B06E1B" w:rsidRPr="00B63BD5" w:rsidRDefault="00B06E1B" w:rsidP="00632863">
      <w:pPr>
        <w:spacing w:after="240"/>
        <w:jc w:val="both"/>
        <w:rPr>
          <w:b/>
          <w:color w:val="00B0F0"/>
          <w:lang w:val="fr-CA"/>
        </w:rPr>
      </w:pPr>
      <w:r w:rsidRPr="00B63BD5">
        <w:rPr>
          <w:b/>
          <w:color w:val="00B0F0"/>
          <w:highlight w:val="yellow"/>
          <w:lang w:val="fr-CA"/>
        </w:rPr>
        <w:t>[N.B.</w:t>
      </w:r>
      <w:r w:rsidR="00AC4107" w:rsidRPr="00B63BD5">
        <w:rPr>
          <w:b/>
          <w:color w:val="00B0F0"/>
          <w:highlight w:val="yellow"/>
          <w:lang w:val="fr-CA"/>
        </w:rPr>
        <w:t xml:space="preserve"> </w:t>
      </w:r>
      <w:r w:rsidRPr="00B63BD5">
        <w:rPr>
          <w:b/>
          <w:color w:val="00B0F0"/>
          <w:highlight w:val="yellow"/>
          <w:lang w:val="fr-CA"/>
        </w:rPr>
        <w:t>: Il s</w:t>
      </w:r>
      <w:r w:rsidR="00564B0C" w:rsidRPr="00B63BD5">
        <w:rPr>
          <w:b/>
          <w:color w:val="00B0F0"/>
          <w:highlight w:val="yellow"/>
          <w:lang w:val="fr-CA"/>
        </w:rPr>
        <w:t>’</w:t>
      </w:r>
      <w:r w:rsidRPr="00B63BD5">
        <w:rPr>
          <w:b/>
          <w:color w:val="00B0F0"/>
          <w:highlight w:val="yellow"/>
          <w:lang w:val="fr-CA"/>
        </w:rPr>
        <w:t>agit des modalités standard</w:t>
      </w:r>
      <w:r w:rsidR="00B12969" w:rsidRPr="00B63BD5">
        <w:rPr>
          <w:b/>
          <w:color w:val="00B0F0"/>
          <w:highlight w:val="yellow"/>
          <w:lang w:val="fr-CA"/>
        </w:rPr>
        <w:t>s</w:t>
      </w:r>
      <w:r w:rsidRPr="00B63BD5">
        <w:rPr>
          <w:b/>
          <w:color w:val="00B0F0"/>
          <w:highlight w:val="yellow"/>
          <w:lang w:val="fr-CA"/>
        </w:rPr>
        <w:t xml:space="preserve"> de la Banque qu</w:t>
      </w:r>
      <w:r w:rsidR="00564B0C" w:rsidRPr="00B63BD5">
        <w:rPr>
          <w:b/>
          <w:color w:val="00B0F0"/>
          <w:highlight w:val="yellow"/>
          <w:lang w:val="fr-CA"/>
        </w:rPr>
        <w:t>’</w:t>
      </w:r>
      <w:r w:rsidRPr="00B63BD5">
        <w:rPr>
          <w:b/>
          <w:color w:val="00B0F0"/>
          <w:highlight w:val="yellow"/>
          <w:lang w:val="fr-CA"/>
        </w:rPr>
        <w:t>il ne faut pas supprimer sans l</w:t>
      </w:r>
      <w:r w:rsidR="00564B0C" w:rsidRPr="00B63BD5">
        <w:rPr>
          <w:b/>
          <w:color w:val="00B0F0"/>
          <w:highlight w:val="yellow"/>
          <w:lang w:val="fr-CA"/>
        </w:rPr>
        <w:t>’</w:t>
      </w:r>
      <w:r w:rsidRPr="00B63BD5">
        <w:rPr>
          <w:b/>
          <w:color w:val="00B0F0"/>
          <w:highlight w:val="yellow"/>
          <w:lang w:val="fr-CA"/>
        </w:rPr>
        <w:t>approbation expresse du service de crédit.]</w:t>
      </w:r>
    </w:p>
    <w:p w14:paraId="2254B65F" w14:textId="62A9EF37" w:rsidR="00942880" w:rsidRPr="00B63BD5" w:rsidRDefault="00D84D69" w:rsidP="000B7739">
      <w:pPr>
        <w:pStyle w:val="04LOLglNew3"/>
        <w:rPr>
          <w:lang w:val="fr-CA"/>
        </w:rPr>
      </w:pPr>
      <w:r w:rsidRPr="00B63BD5">
        <w:rPr>
          <w:lang w:val="fr-CA"/>
        </w:rPr>
        <w:t>L</w:t>
      </w:r>
      <w:r w:rsidR="00564B0C" w:rsidRPr="00B63BD5">
        <w:rPr>
          <w:lang w:val="fr-CA"/>
        </w:rPr>
        <w:t>’</w:t>
      </w:r>
      <w:r w:rsidRPr="00B63BD5">
        <w:rPr>
          <w:lang w:val="fr-CA"/>
        </w:rPr>
        <w:t>Emprunteur convien</w:t>
      </w:r>
      <w:r w:rsidR="002F396A" w:rsidRPr="00B63BD5">
        <w:rPr>
          <w:lang w:val="fr-CA"/>
        </w:rPr>
        <w:t>t de donner un avis écrit à la Banque</w:t>
      </w:r>
      <w:r w:rsidR="003377BD" w:rsidRPr="00B63BD5">
        <w:rPr>
          <w:lang w:val="fr-CA"/>
        </w:rPr>
        <w:t xml:space="preserve"> si l</w:t>
      </w:r>
      <w:r w:rsidR="00564B0C" w:rsidRPr="00B63BD5">
        <w:rPr>
          <w:lang w:val="fr-CA"/>
        </w:rPr>
        <w:t>’</w:t>
      </w:r>
      <w:r w:rsidR="003377BD" w:rsidRPr="00B63BD5">
        <w:rPr>
          <w:lang w:val="fr-CA"/>
        </w:rPr>
        <w:t>un ou l</w:t>
      </w:r>
      <w:r w:rsidR="00564B0C" w:rsidRPr="00B63BD5">
        <w:rPr>
          <w:lang w:val="fr-CA"/>
        </w:rPr>
        <w:t>’</w:t>
      </w:r>
      <w:r w:rsidR="003377BD" w:rsidRPr="00B63BD5">
        <w:rPr>
          <w:lang w:val="fr-CA"/>
        </w:rPr>
        <w:t>autre des événements suivants</w:t>
      </w:r>
      <w:r w:rsidR="002F396A" w:rsidRPr="00B63BD5">
        <w:rPr>
          <w:lang w:val="fr-CA"/>
        </w:rPr>
        <w:t xml:space="preserve"> </w:t>
      </w:r>
      <w:r w:rsidR="003377BD" w:rsidRPr="00B63BD5">
        <w:rPr>
          <w:lang w:val="fr-CA"/>
        </w:rPr>
        <w:t>se produit</w:t>
      </w:r>
      <w:r w:rsidR="00377256" w:rsidRPr="00B63BD5">
        <w:rPr>
          <w:lang w:val="fr-CA"/>
        </w:rPr>
        <w:t xml:space="preserve"> dès</w:t>
      </w:r>
      <w:r w:rsidR="003377BD" w:rsidRPr="00B63BD5">
        <w:rPr>
          <w:lang w:val="fr-CA"/>
        </w:rPr>
        <w:t xml:space="preserve"> </w:t>
      </w:r>
      <w:r w:rsidR="002F396A" w:rsidRPr="00B63BD5">
        <w:rPr>
          <w:lang w:val="fr-CA"/>
        </w:rPr>
        <w:t>que possible</w:t>
      </w:r>
      <w:r w:rsidR="00FB2306" w:rsidRPr="00B63BD5">
        <w:rPr>
          <w:lang w:val="fr-CA"/>
        </w:rPr>
        <w:t xml:space="preserve">, </w:t>
      </w:r>
      <w:r w:rsidR="00377256" w:rsidRPr="00B63BD5">
        <w:rPr>
          <w:lang w:val="fr-CA"/>
        </w:rPr>
        <w:t xml:space="preserve">et </w:t>
      </w:r>
      <w:r w:rsidR="00FB2306" w:rsidRPr="00B63BD5">
        <w:rPr>
          <w:lang w:val="fr-CA"/>
        </w:rPr>
        <w:t xml:space="preserve">au plus tard </w:t>
      </w:r>
      <w:r w:rsidR="002F396A" w:rsidRPr="00B63BD5">
        <w:rPr>
          <w:lang w:val="fr-CA"/>
        </w:rPr>
        <w:t xml:space="preserve">dans les </w:t>
      </w:r>
      <w:r w:rsidR="003377BD" w:rsidRPr="00B63BD5">
        <w:rPr>
          <w:lang w:val="fr-CA"/>
        </w:rPr>
        <w:t>cinq</w:t>
      </w:r>
      <w:r w:rsidR="00AC4107" w:rsidRPr="00B63BD5">
        <w:rPr>
          <w:lang w:val="fr-CA"/>
        </w:rPr>
        <w:t xml:space="preserve"> </w:t>
      </w:r>
      <w:r w:rsidR="002F396A" w:rsidRPr="00B63BD5">
        <w:rPr>
          <w:lang w:val="fr-CA"/>
        </w:rPr>
        <w:t>Jours ouvrables suivant</w:t>
      </w:r>
      <w:r w:rsidR="003377BD" w:rsidRPr="00B63BD5">
        <w:rPr>
          <w:lang w:val="fr-CA"/>
        </w:rPr>
        <w:t>s</w:t>
      </w:r>
      <w:r w:rsidR="00377256" w:rsidRPr="00B63BD5">
        <w:rPr>
          <w:lang w:val="fr-CA"/>
        </w:rPr>
        <w:t xml:space="preserve"> leur</w:t>
      </w:r>
      <w:r w:rsidR="00806B53" w:rsidRPr="00B63BD5">
        <w:rPr>
          <w:lang w:val="fr-CA"/>
        </w:rPr>
        <w:t> </w:t>
      </w:r>
      <w:r w:rsidR="00377256" w:rsidRPr="00B63BD5">
        <w:rPr>
          <w:lang w:val="fr-CA"/>
        </w:rPr>
        <w:t>survenance</w:t>
      </w:r>
      <w:r w:rsidR="00AC4107" w:rsidRPr="00B63BD5">
        <w:rPr>
          <w:lang w:val="fr-CA"/>
        </w:rPr>
        <w:t xml:space="preserve"> </w:t>
      </w:r>
      <w:r w:rsidR="002F396A" w:rsidRPr="00B63BD5">
        <w:rPr>
          <w:lang w:val="fr-CA"/>
        </w:rPr>
        <w:t>:</w:t>
      </w:r>
    </w:p>
    <w:p w14:paraId="26E50D04" w14:textId="01E4C3E4" w:rsidR="00A636B7" w:rsidRPr="00B63BD5" w:rsidRDefault="003377BD" w:rsidP="00440A7E">
      <w:pPr>
        <w:pStyle w:val="04LOLglNew4"/>
        <w:rPr>
          <w:lang w:val="fr-CA"/>
        </w:rPr>
      </w:pPr>
      <w:r w:rsidRPr="00B63BD5">
        <w:rPr>
          <w:lang w:val="fr-CA"/>
        </w:rPr>
        <w:t xml:space="preserve">un </w:t>
      </w:r>
      <w:r w:rsidR="002F396A" w:rsidRPr="00B63BD5">
        <w:rPr>
          <w:lang w:val="fr-CA"/>
        </w:rPr>
        <w:t xml:space="preserve">litige, </w:t>
      </w:r>
      <w:r w:rsidR="00FB2306" w:rsidRPr="00B63BD5">
        <w:rPr>
          <w:lang w:val="fr-CA"/>
        </w:rPr>
        <w:t xml:space="preserve">une </w:t>
      </w:r>
      <w:r w:rsidR="002F396A" w:rsidRPr="00B63BD5">
        <w:rPr>
          <w:lang w:val="fr-CA"/>
        </w:rPr>
        <w:t xml:space="preserve">poursuite ou </w:t>
      </w:r>
      <w:r w:rsidRPr="00B63BD5">
        <w:rPr>
          <w:lang w:val="fr-CA"/>
        </w:rPr>
        <w:t>un</w:t>
      </w:r>
      <w:r w:rsidR="002F396A" w:rsidRPr="00B63BD5">
        <w:rPr>
          <w:lang w:val="fr-CA"/>
        </w:rPr>
        <w:t xml:space="preserve"> différend </w:t>
      </w:r>
      <w:r w:rsidR="00BC4CD2" w:rsidRPr="00B63BD5">
        <w:rPr>
          <w:lang w:val="fr-CA"/>
        </w:rPr>
        <w:t>dont</w:t>
      </w:r>
      <w:r w:rsidR="00D06D39" w:rsidRPr="00B63BD5">
        <w:rPr>
          <w:lang w:val="fr-CA"/>
        </w:rPr>
        <w:t xml:space="preserve"> on pourrait raisonnablement s</w:t>
      </w:r>
      <w:r w:rsidR="00564B0C" w:rsidRPr="00B63BD5">
        <w:rPr>
          <w:lang w:val="fr-CA"/>
        </w:rPr>
        <w:t>’</w:t>
      </w:r>
      <w:r w:rsidR="00D06D39" w:rsidRPr="00B63BD5">
        <w:rPr>
          <w:lang w:val="fr-CA"/>
        </w:rPr>
        <w:t>attendre</w:t>
      </w:r>
      <w:r w:rsidR="00FB2306" w:rsidRPr="00B63BD5">
        <w:rPr>
          <w:lang w:val="fr-CA"/>
        </w:rPr>
        <w:t>, si</w:t>
      </w:r>
      <w:r w:rsidR="00806B53" w:rsidRPr="00B63BD5">
        <w:rPr>
          <w:lang w:val="fr-CA"/>
        </w:rPr>
        <w:t> </w:t>
      </w:r>
      <w:r w:rsidR="00FB2306" w:rsidRPr="00B63BD5">
        <w:rPr>
          <w:lang w:val="fr-CA"/>
        </w:rPr>
        <w:t>son</w:t>
      </w:r>
      <w:r w:rsidR="00806B53" w:rsidRPr="00B63BD5">
        <w:rPr>
          <w:lang w:val="fr-CA"/>
        </w:rPr>
        <w:t> </w:t>
      </w:r>
      <w:r w:rsidR="00FB2306" w:rsidRPr="00B63BD5">
        <w:rPr>
          <w:lang w:val="fr-CA"/>
        </w:rPr>
        <w:t xml:space="preserve">issue, que ce soit par voie de jugement, </w:t>
      </w:r>
      <w:r w:rsidR="002F396A" w:rsidRPr="00B63BD5">
        <w:rPr>
          <w:lang w:val="fr-CA"/>
        </w:rPr>
        <w:t xml:space="preserve">de médiation ou </w:t>
      </w:r>
      <w:r w:rsidR="00BC4CD2" w:rsidRPr="00B63BD5">
        <w:rPr>
          <w:lang w:val="fr-CA"/>
        </w:rPr>
        <w:t>d</w:t>
      </w:r>
      <w:r w:rsidR="00564B0C" w:rsidRPr="00B63BD5">
        <w:rPr>
          <w:lang w:val="fr-CA"/>
        </w:rPr>
        <w:t>’</w:t>
      </w:r>
      <w:r w:rsidR="002F396A" w:rsidRPr="00B63BD5">
        <w:rPr>
          <w:lang w:val="fr-CA"/>
        </w:rPr>
        <w:t>arbitra</w:t>
      </w:r>
      <w:r w:rsidR="00BC4CD2" w:rsidRPr="00B63BD5">
        <w:rPr>
          <w:lang w:val="fr-CA"/>
        </w:rPr>
        <w:t>ge</w:t>
      </w:r>
      <w:r w:rsidR="00137C93" w:rsidRPr="00B63BD5">
        <w:rPr>
          <w:lang w:val="fr-CA"/>
        </w:rPr>
        <w:t xml:space="preserve">, </w:t>
      </w:r>
      <w:r w:rsidR="00063ADA" w:rsidRPr="00B63BD5">
        <w:rPr>
          <w:lang w:val="fr-CA"/>
        </w:rPr>
        <w:t>était</w:t>
      </w:r>
      <w:r w:rsidR="00806B53" w:rsidRPr="00B63BD5">
        <w:rPr>
          <w:lang w:val="fr-CA"/>
        </w:rPr>
        <w:t> </w:t>
      </w:r>
      <w:r w:rsidR="00D06D39" w:rsidRPr="00B63BD5">
        <w:rPr>
          <w:lang w:val="fr-CA"/>
        </w:rPr>
        <w:t>d</w:t>
      </w:r>
      <w:r w:rsidR="002F396A" w:rsidRPr="00B63BD5">
        <w:rPr>
          <w:lang w:val="fr-CA"/>
        </w:rPr>
        <w:t>éfavorable</w:t>
      </w:r>
      <w:r w:rsidR="00FB2306" w:rsidRPr="00B63BD5">
        <w:rPr>
          <w:lang w:val="fr-CA"/>
        </w:rPr>
        <w:t>,</w:t>
      </w:r>
      <w:r w:rsidR="002F396A" w:rsidRPr="00B63BD5">
        <w:rPr>
          <w:lang w:val="fr-CA"/>
        </w:rPr>
        <w:t xml:space="preserve"> à ce qu</w:t>
      </w:r>
      <w:r w:rsidR="00564B0C" w:rsidRPr="00B63BD5">
        <w:rPr>
          <w:lang w:val="fr-CA"/>
        </w:rPr>
        <w:t>’</w:t>
      </w:r>
      <w:r w:rsidR="002F396A" w:rsidRPr="00B63BD5">
        <w:rPr>
          <w:lang w:val="fr-CA"/>
        </w:rPr>
        <w:t>il</w:t>
      </w:r>
      <w:r w:rsidR="007D4552" w:rsidRPr="00B63BD5">
        <w:rPr>
          <w:lang w:val="fr-CA"/>
        </w:rPr>
        <w:t xml:space="preserve"> </w:t>
      </w:r>
      <w:r w:rsidR="002F396A" w:rsidRPr="00B63BD5">
        <w:rPr>
          <w:lang w:val="fr-CA"/>
        </w:rPr>
        <w:t>constitue un Changement défavo</w:t>
      </w:r>
      <w:r w:rsidR="007D4552" w:rsidRPr="00B63BD5">
        <w:rPr>
          <w:lang w:val="fr-CA"/>
        </w:rPr>
        <w:t>rable</w:t>
      </w:r>
      <w:r w:rsidR="002F396A" w:rsidRPr="00B63BD5">
        <w:rPr>
          <w:lang w:val="fr-CA"/>
        </w:rPr>
        <w:t xml:space="preserve"> impor</w:t>
      </w:r>
      <w:r w:rsidR="007D4552" w:rsidRPr="00B63BD5">
        <w:rPr>
          <w:lang w:val="fr-CA"/>
        </w:rPr>
        <w:t>t</w:t>
      </w:r>
      <w:r w:rsidR="002F396A" w:rsidRPr="00B63BD5">
        <w:rPr>
          <w:lang w:val="fr-CA"/>
        </w:rPr>
        <w:t>ant;</w:t>
      </w:r>
    </w:p>
    <w:p w14:paraId="3C311644" w14:textId="443AD299" w:rsidR="00A636B7" w:rsidRPr="00B63BD5" w:rsidRDefault="00FB2306" w:rsidP="00440A7E">
      <w:pPr>
        <w:pStyle w:val="04LOLglNew4"/>
        <w:rPr>
          <w:lang w:val="fr-CA"/>
        </w:rPr>
      </w:pPr>
      <w:r w:rsidRPr="00B63BD5">
        <w:rPr>
          <w:lang w:val="fr-CA"/>
        </w:rPr>
        <w:t>l</w:t>
      </w:r>
      <w:r w:rsidR="00564B0C" w:rsidRPr="00B63BD5">
        <w:rPr>
          <w:lang w:val="fr-CA"/>
        </w:rPr>
        <w:t>’</w:t>
      </w:r>
      <w:r w:rsidRPr="00B63BD5">
        <w:rPr>
          <w:lang w:val="fr-CA"/>
        </w:rPr>
        <w:t>un</w:t>
      </w:r>
      <w:r w:rsidR="0094679D" w:rsidRPr="00B63BD5">
        <w:rPr>
          <w:lang w:val="fr-CA"/>
        </w:rPr>
        <w:t>e</w:t>
      </w:r>
      <w:r w:rsidRPr="00B63BD5">
        <w:rPr>
          <w:lang w:val="fr-CA"/>
        </w:rPr>
        <w:t xml:space="preserve"> ou l</w:t>
      </w:r>
      <w:r w:rsidR="00564B0C" w:rsidRPr="00B63BD5">
        <w:rPr>
          <w:lang w:val="fr-CA"/>
        </w:rPr>
        <w:t>’</w:t>
      </w:r>
      <w:r w:rsidRPr="00B63BD5">
        <w:rPr>
          <w:lang w:val="fr-CA"/>
        </w:rPr>
        <w:t>autre des déclarations ou des garanties données à la Banque par</w:t>
      </w:r>
      <w:r w:rsidR="00806B53" w:rsidRPr="00B63BD5">
        <w:rPr>
          <w:lang w:val="fr-CA"/>
        </w:rPr>
        <w:t>ؘ </w:t>
      </w:r>
      <w:r w:rsidR="002037D6" w:rsidRPr="00B63BD5">
        <w:rPr>
          <w:lang w:val="fr-CA"/>
        </w:rPr>
        <w:t>un</w:t>
      </w:r>
      <w:r w:rsidR="00806B53" w:rsidRPr="00B63BD5">
        <w:rPr>
          <w:lang w:val="fr-CA"/>
        </w:rPr>
        <w:t> </w:t>
      </w:r>
      <w:r w:rsidR="002037D6" w:rsidRPr="00B63BD5">
        <w:rPr>
          <w:lang w:val="fr-CA"/>
        </w:rPr>
        <w:t xml:space="preserve">Bénéficiaire du crédit est </w:t>
      </w:r>
      <w:r w:rsidR="002F396A" w:rsidRPr="00B63BD5">
        <w:rPr>
          <w:lang w:val="fr-CA"/>
        </w:rPr>
        <w:t>fausse ou trompeuse;</w:t>
      </w:r>
    </w:p>
    <w:p w14:paraId="422FF0F1" w14:textId="124E425F" w:rsidR="00A636B7" w:rsidRPr="00B63BD5" w:rsidRDefault="00D06D39" w:rsidP="00440A7E">
      <w:pPr>
        <w:pStyle w:val="04LOLglNew4"/>
        <w:rPr>
          <w:lang w:val="fr-CA"/>
        </w:rPr>
      </w:pPr>
      <w:r w:rsidRPr="00B63BD5">
        <w:rPr>
          <w:lang w:val="fr-CA"/>
        </w:rPr>
        <w:t xml:space="preserve">un Garant </w:t>
      </w:r>
      <w:r w:rsidR="002037D6" w:rsidRPr="00B63BD5">
        <w:rPr>
          <w:lang w:val="fr-CA"/>
        </w:rPr>
        <w:t xml:space="preserve">qui est un particulier </w:t>
      </w:r>
      <w:r w:rsidRPr="00B63BD5">
        <w:rPr>
          <w:lang w:val="fr-CA"/>
        </w:rPr>
        <w:t>décède</w:t>
      </w:r>
      <w:r w:rsidR="002037D6" w:rsidRPr="00B63BD5">
        <w:rPr>
          <w:lang w:val="fr-CA"/>
        </w:rPr>
        <w:t xml:space="preserve"> ou devient insolvable ou un autre Garant est</w:t>
      </w:r>
      <w:r w:rsidR="00806B53" w:rsidRPr="00B63BD5">
        <w:rPr>
          <w:lang w:val="fr-CA"/>
        </w:rPr>
        <w:t> </w:t>
      </w:r>
      <w:r w:rsidRPr="00B63BD5">
        <w:rPr>
          <w:lang w:val="fr-CA"/>
        </w:rPr>
        <w:t>dissou</w:t>
      </w:r>
      <w:r w:rsidR="00310B5A" w:rsidRPr="00B63BD5">
        <w:rPr>
          <w:lang w:val="fr-CA"/>
        </w:rPr>
        <w:t>s</w:t>
      </w:r>
      <w:r w:rsidRPr="00B63BD5">
        <w:rPr>
          <w:lang w:val="fr-CA"/>
        </w:rPr>
        <w:t xml:space="preserve">, fusionne </w:t>
      </w:r>
      <w:r w:rsidR="0096109A" w:rsidRPr="00B63BD5">
        <w:rPr>
          <w:lang w:val="fr-CA"/>
        </w:rPr>
        <w:t>ou</w:t>
      </w:r>
      <w:r w:rsidRPr="00B63BD5">
        <w:rPr>
          <w:lang w:val="fr-CA"/>
        </w:rPr>
        <w:t xml:space="preserve"> devient</w:t>
      </w:r>
      <w:r w:rsidR="0096109A" w:rsidRPr="00B63BD5">
        <w:rPr>
          <w:lang w:val="fr-CA"/>
        </w:rPr>
        <w:t xml:space="preserve"> insolvab</w:t>
      </w:r>
      <w:r w:rsidRPr="00B63BD5">
        <w:rPr>
          <w:lang w:val="fr-CA"/>
        </w:rPr>
        <w:t>le</w:t>
      </w:r>
      <w:r w:rsidR="00A636B7" w:rsidRPr="00B63BD5">
        <w:rPr>
          <w:lang w:val="fr-CA"/>
        </w:rPr>
        <w:t>;</w:t>
      </w:r>
    </w:p>
    <w:p w14:paraId="443B16E8" w14:textId="3A4FC3D7" w:rsidR="00A636B7" w:rsidRPr="00B63BD5" w:rsidRDefault="003E624D" w:rsidP="00440A7E">
      <w:pPr>
        <w:pStyle w:val="04LOLglNew4"/>
        <w:rPr>
          <w:lang w:val="fr-CA"/>
        </w:rPr>
      </w:pPr>
      <w:r w:rsidRPr="00B63BD5">
        <w:rPr>
          <w:lang w:val="fr-CA"/>
        </w:rPr>
        <w:t xml:space="preserve">une Autorité gouvernementale donne un </w:t>
      </w:r>
      <w:r w:rsidR="002F396A" w:rsidRPr="00B63BD5">
        <w:rPr>
          <w:lang w:val="fr-CA"/>
        </w:rPr>
        <w:t>avis relati</w:t>
      </w:r>
      <w:r w:rsidRPr="00B63BD5">
        <w:rPr>
          <w:lang w:val="fr-CA"/>
        </w:rPr>
        <w:t xml:space="preserve">f </w:t>
      </w:r>
      <w:r w:rsidR="002F396A" w:rsidRPr="00B63BD5">
        <w:rPr>
          <w:lang w:val="fr-CA"/>
        </w:rPr>
        <w:t xml:space="preserve">à </w:t>
      </w:r>
      <w:r w:rsidRPr="00B63BD5">
        <w:rPr>
          <w:lang w:val="fr-CA"/>
        </w:rPr>
        <w:t>une</w:t>
      </w:r>
      <w:r w:rsidR="002F396A" w:rsidRPr="00B63BD5">
        <w:rPr>
          <w:lang w:val="fr-CA"/>
        </w:rPr>
        <w:t xml:space="preserve"> violation</w:t>
      </w:r>
      <w:r w:rsidRPr="00B63BD5">
        <w:rPr>
          <w:lang w:val="fr-CA"/>
        </w:rPr>
        <w:t xml:space="preserve"> ou</w:t>
      </w:r>
      <w:r w:rsidR="00806B53" w:rsidRPr="00B63BD5">
        <w:rPr>
          <w:lang w:val="fr-CA"/>
        </w:rPr>
        <w:t> </w:t>
      </w:r>
      <w:r w:rsidR="002F396A" w:rsidRPr="00B63BD5">
        <w:rPr>
          <w:lang w:val="fr-CA"/>
        </w:rPr>
        <w:t>à</w:t>
      </w:r>
      <w:r w:rsidR="00806B53" w:rsidRPr="00B63BD5">
        <w:rPr>
          <w:lang w:val="fr-CA"/>
        </w:rPr>
        <w:t> </w:t>
      </w:r>
      <w:r w:rsidRPr="00B63BD5">
        <w:rPr>
          <w:lang w:val="fr-CA"/>
        </w:rPr>
        <w:t>une</w:t>
      </w:r>
      <w:r w:rsidR="00806B53" w:rsidRPr="00B63BD5">
        <w:rPr>
          <w:lang w:val="fr-CA"/>
        </w:rPr>
        <w:t> </w:t>
      </w:r>
      <w:r w:rsidR="002F396A" w:rsidRPr="00B63BD5">
        <w:rPr>
          <w:lang w:val="fr-CA"/>
        </w:rPr>
        <w:t>non</w:t>
      </w:r>
      <w:r w:rsidR="002F396A" w:rsidRPr="00B63BD5">
        <w:rPr>
          <w:lang w:val="fr-CA"/>
        </w:rPr>
        <w:noBreakHyphen/>
        <w:t>conformité</w:t>
      </w:r>
      <w:r w:rsidRPr="00B63BD5">
        <w:rPr>
          <w:lang w:val="fr-CA"/>
        </w:rPr>
        <w:t xml:space="preserve">, réelle ou </w:t>
      </w:r>
      <w:r w:rsidR="002F396A" w:rsidRPr="00B63BD5">
        <w:rPr>
          <w:lang w:val="fr-CA"/>
        </w:rPr>
        <w:t>éventuelle</w:t>
      </w:r>
      <w:r w:rsidRPr="00B63BD5">
        <w:rPr>
          <w:lang w:val="fr-CA"/>
        </w:rPr>
        <w:t>,</w:t>
      </w:r>
      <w:r w:rsidR="002F396A" w:rsidRPr="00B63BD5">
        <w:rPr>
          <w:lang w:val="fr-CA"/>
        </w:rPr>
        <w:t xml:space="preserve"> ou à une réclamation qui cons</w:t>
      </w:r>
      <w:r w:rsidR="007D4552" w:rsidRPr="00B63BD5">
        <w:rPr>
          <w:lang w:val="fr-CA"/>
        </w:rPr>
        <w:t>t</w:t>
      </w:r>
      <w:r w:rsidR="002F396A" w:rsidRPr="00B63BD5">
        <w:rPr>
          <w:lang w:val="fr-CA"/>
        </w:rPr>
        <w:t>itue ou</w:t>
      </w:r>
      <w:r w:rsidR="00806B53" w:rsidRPr="00B63BD5">
        <w:rPr>
          <w:lang w:val="fr-CA"/>
        </w:rPr>
        <w:t> </w:t>
      </w:r>
      <w:r w:rsidR="002F396A" w:rsidRPr="00B63BD5">
        <w:rPr>
          <w:lang w:val="fr-CA"/>
        </w:rPr>
        <w:t>dont</w:t>
      </w:r>
      <w:r w:rsidR="00806B53" w:rsidRPr="00B63BD5">
        <w:rPr>
          <w:lang w:val="fr-CA"/>
        </w:rPr>
        <w:t> </w:t>
      </w:r>
      <w:r w:rsidR="002F396A" w:rsidRPr="00B63BD5">
        <w:rPr>
          <w:lang w:val="fr-CA"/>
        </w:rPr>
        <w:t>on pourrait raisonnabl</w:t>
      </w:r>
      <w:r w:rsidR="007D4552" w:rsidRPr="00B63BD5">
        <w:rPr>
          <w:lang w:val="fr-CA"/>
        </w:rPr>
        <w:t>ement s</w:t>
      </w:r>
      <w:r w:rsidR="00564B0C" w:rsidRPr="00B63BD5">
        <w:rPr>
          <w:lang w:val="fr-CA"/>
        </w:rPr>
        <w:t>’</w:t>
      </w:r>
      <w:r w:rsidR="007D4552" w:rsidRPr="00B63BD5">
        <w:rPr>
          <w:lang w:val="fr-CA"/>
        </w:rPr>
        <w:t xml:space="preserve">attendre </w:t>
      </w:r>
      <w:r w:rsidR="002F396A" w:rsidRPr="00B63BD5">
        <w:rPr>
          <w:lang w:val="fr-CA"/>
        </w:rPr>
        <w:t>à ce qu</w:t>
      </w:r>
      <w:r w:rsidR="00564B0C" w:rsidRPr="00B63BD5">
        <w:rPr>
          <w:lang w:val="fr-CA"/>
        </w:rPr>
        <w:t>’</w:t>
      </w:r>
      <w:r w:rsidR="002F396A" w:rsidRPr="00B63BD5">
        <w:rPr>
          <w:lang w:val="fr-CA"/>
        </w:rPr>
        <w:t>elle constitue un Chang</w:t>
      </w:r>
      <w:r w:rsidR="007D4552" w:rsidRPr="00B63BD5">
        <w:rPr>
          <w:lang w:val="fr-CA"/>
        </w:rPr>
        <w:t>e</w:t>
      </w:r>
      <w:r w:rsidR="002F396A" w:rsidRPr="00B63BD5">
        <w:rPr>
          <w:lang w:val="fr-CA"/>
        </w:rPr>
        <w:t>ment défa</w:t>
      </w:r>
      <w:r w:rsidR="007D4552" w:rsidRPr="00B63BD5">
        <w:rPr>
          <w:lang w:val="fr-CA"/>
        </w:rPr>
        <w:t>vorable important;</w:t>
      </w:r>
    </w:p>
    <w:p w14:paraId="29EA9574" w14:textId="2663C3AA" w:rsidR="00140BFA" w:rsidRPr="00B63BD5" w:rsidRDefault="003E624D" w:rsidP="00440A7E">
      <w:pPr>
        <w:pStyle w:val="04LOLglNew4"/>
        <w:rPr>
          <w:lang w:val="fr-CA"/>
        </w:rPr>
      </w:pPr>
      <w:r w:rsidRPr="00B63BD5">
        <w:rPr>
          <w:lang w:val="fr-CA"/>
        </w:rPr>
        <w:lastRenderedPageBreak/>
        <w:t>un créancier</w:t>
      </w:r>
      <w:r w:rsidR="002037D6" w:rsidRPr="00B63BD5">
        <w:rPr>
          <w:lang w:val="fr-CA"/>
        </w:rPr>
        <w:t xml:space="preserve"> d</w:t>
      </w:r>
      <w:r w:rsidR="00564B0C" w:rsidRPr="00B63BD5">
        <w:rPr>
          <w:lang w:val="fr-CA"/>
        </w:rPr>
        <w:t>’</w:t>
      </w:r>
      <w:r w:rsidR="002037D6" w:rsidRPr="00B63BD5">
        <w:rPr>
          <w:lang w:val="fr-CA"/>
        </w:rPr>
        <w:t xml:space="preserve">un Bénéficiaire du crédit fait une </w:t>
      </w:r>
      <w:r w:rsidR="002F396A" w:rsidRPr="00B63BD5">
        <w:rPr>
          <w:lang w:val="fr-CA"/>
        </w:rPr>
        <w:t xml:space="preserve">réclamation ou </w:t>
      </w:r>
      <w:r w:rsidR="00FB2306" w:rsidRPr="00B63BD5">
        <w:rPr>
          <w:lang w:val="fr-CA"/>
        </w:rPr>
        <w:t xml:space="preserve">intente une action </w:t>
      </w:r>
      <w:r w:rsidR="002F396A" w:rsidRPr="00B63BD5">
        <w:rPr>
          <w:lang w:val="fr-CA"/>
        </w:rPr>
        <w:t xml:space="preserve">relativement à </w:t>
      </w:r>
      <w:r w:rsidRPr="00B63BD5">
        <w:rPr>
          <w:lang w:val="fr-CA"/>
        </w:rPr>
        <w:t>une</w:t>
      </w:r>
      <w:r w:rsidR="002F396A" w:rsidRPr="00B63BD5">
        <w:rPr>
          <w:lang w:val="fr-CA"/>
        </w:rPr>
        <w:t xml:space="preserve"> Dette </w:t>
      </w:r>
      <w:r w:rsidRPr="00B63BD5">
        <w:rPr>
          <w:lang w:val="fr-CA"/>
        </w:rPr>
        <w:t xml:space="preserve">dépassant </w:t>
      </w:r>
      <w:r w:rsidR="00067C93" w:rsidRPr="00B63BD5">
        <w:rPr>
          <w:lang w:val="fr-CA"/>
        </w:rPr>
        <w:t>50</w:t>
      </w:r>
      <w:r w:rsidR="002B6180" w:rsidRPr="00B63BD5">
        <w:rPr>
          <w:lang w:val="fr-CA"/>
        </w:rPr>
        <w:t> </w:t>
      </w:r>
      <w:r w:rsidR="00067C93" w:rsidRPr="00B63BD5">
        <w:rPr>
          <w:lang w:val="fr-CA"/>
        </w:rPr>
        <w:t>000</w:t>
      </w:r>
      <w:r w:rsidR="00B056F9" w:rsidRPr="00B63BD5">
        <w:rPr>
          <w:lang w:val="fr-CA"/>
        </w:rPr>
        <w:t> </w:t>
      </w:r>
      <w:r w:rsidR="002F396A" w:rsidRPr="00B63BD5">
        <w:rPr>
          <w:lang w:val="fr-CA"/>
        </w:rPr>
        <w:t>$</w:t>
      </w:r>
      <w:r w:rsidR="00AC4107" w:rsidRPr="00B63BD5">
        <w:rPr>
          <w:lang w:val="fr-CA"/>
        </w:rPr>
        <w:t xml:space="preserve"> </w:t>
      </w:r>
      <w:r w:rsidR="002037D6" w:rsidRPr="00B63BD5">
        <w:rPr>
          <w:lang w:val="fr-CA"/>
        </w:rPr>
        <w:t>CA</w:t>
      </w:r>
      <w:r w:rsidR="002F396A" w:rsidRPr="00B63BD5">
        <w:rPr>
          <w:lang w:val="fr-CA"/>
        </w:rPr>
        <w:t xml:space="preserve"> </w:t>
      </w:r>
      <w:r w:rsidRPr="00B63BD5">
        <w:rPr>
          <w:lang w:val="fr-CA"/>
        </w:rPr>
        <w:t xml:space="preserve">en raison </w:t>
      </w:r>
      <w:r w:rsidR="002F396A" w:rsidRPr="00B63BD5">
        <w:rPr>
          <w:lang w:val="fr-CA"/>
        </w:rPr>
        <w:t>d</w:t>
      </w:r>
      <w:r w:rsidR="00564B0C" w:rsidRPr="00B63BD5">
        <w:rPr>
          <w:lang w:val="fr-CA"/>
        </w:rPr>
        <w:t>’</w:t>
      </w:r>
      <w:r w:rsidR="007D4552" w:rsidRPr="00B63BD5">
        <w:rPr>
          <w:lang w:val="fr-CA"/>
        </w:rPr>
        <w:t>u</w:t>
      </w:r>
      <w:r w:rsidR="002F396A" w:rsidRPr="00B63BD5">
        <w:rPr>
          <w:lang w:val="fr-CA"/>
        </w:rPr>
        <w:t>n défaut réel ou allégué;</w:t>
      </w:r>
    </w:p>
    <w:p w14:paraId="27744E72" w14:textId="123B9151" w:rsidR="002037D6" w:rsidRPr="00B63BD5" w:rsidRDefault="002037D6" w:rsidP="00440A7E">
      <w:pPr>
        <w:pStyle w:val="04LOLglNew4"/>
        <w:rPr>
          <w:lang w:val="fr-CA"/>
        </w:rPr>
      </w:pPr>
      <w:r w:rsidRPr="00B63BD5">
        <w:rPr>
          <w:lang w:val="fr-CA"/>
        </w:rPr>
        <w:t xml:space="preserve">un </w:t>
      </w:r>
      <w:r w:rsidR="007A6048" w:rsidRPr="00B63BD5">
        <w:rPr>
          <w:lang w:val="fr-CA"/>
        </w:rPr>
        <w:t xml:space="preserve">Bénéficiaire </w:t>
      </w:r>
      <w:r w:rsidRPr="00B63BD5">
        <w:rPr>
          <w:lang w:val="fr-CA"/>
        </w:rPr>
        <w:t xml:space="preserve">du crédit </w:t>
      </w:r>
      <w:r w:rsidR="0046138F" w:rsidRPr="00B63BD5">
        <w:rPr>
          <w:lang w:val="fr-CA"/>
        </w:rPr>
        <w:t xml:space="preserve">est en </w:t>
      </w:r>
      <w:r w:rsidR="007A6048" w:rsidRPr="00B63BD5">
        <w:rPr>
          <w:lang w:val="fr-CA"/>
        </w:rPr>
        <w:t xml:space="preserve">défaut </w:t>
      </w:r>
      <w:r w:rsidRPr="00B63BD5">
        <w:rPr>
          <w:lang w:val="fr-CA"/>
        </w:rPr>
        <w:t>aux termes</w:t>
      </w:r>
      <w:r w:rsidR="00377256" w:rsidRPr="00B63BD5">
        <w:rPr>
          <w:lang w:val="fr-CA"/>
        </w:rPr>
        <w:t xml:space="preserve"> de toute</w:t>
      </w:r>
      <w:r w:rsidRPr="00B63BD5">
        <w:rPr>
          <w:lang w:val="fr-CA"/>
        </w:rPr>
        <w:t xml:space="preserve"> facilité de crédit que</w:t>
      </w:r>
      <w:r w:rsidR="00806B53" w:rsidRPr="00B63BD5">
        <w:rPr>
          <w:lang w:val="fr-CA"/>
        </w:rPr>
        <w:t> </w:t>
      </w:r>
      <w:r w:rsidRPr="00B63BD5">
        <w:rPr>
          <w:lang w:val="fr-CA"/>
        </w:rPr>
        <w:t>lui</w:t>
      </w:r>
      <w:r w:rsidR="00806B53" w:rsidRPr="00B63BD5">
        <w:rPr>
          <w:lang w:val="fr-CA"/>
        </w:rPr>
        <w:t> </w:t>
      </w:r>
      <w:r w:rsidRPr="00B63BD5">
        <w:rPr>
          <w:lang w:val="fr-CA"/>
        </w:rPr>
        <w:t>a</w:t>
      </w:r>
      <w:r w:rsidR="00806B53" w:rsidRPr="00B63BD5">
        <w:rPr>
          <w:lang w:val="fr-CA"/>
        </w:rPr>
        <w:t> </w:t>
      </w:r>
      <w:r w:rsidRPr="00B63BD5">
        <w:rPr>
          <w:lang w:val="fr-CA"/>
        </w:rPr>
        <w:t>consenti</w:t>
      </w:r>
      <w:r w:rsidR="007A6048" w:rsidRPr="00B63BD5">
        <w:rPr>
          <w:lang w:val="fr-CA"/>
        </w:rPr>
        <w:t>e</w:t>
      </w:r>
      <w:r w:rsidRPr="00B63BD5">
        <w:rPr>
          <w:lang w:val="fr-CA"/>
        </w:rPr>
        <w:t xml:space="preserve"> la Banque ou un autre prêteur;</w:t>
      </w:r>
    </w:p>
    <w:p w14:paraId="33F233F2" w14:textId="05304224" w:rsidR="002037D6" w:rsidRPr="00B63BD5" w:rsidRDefault="007A6048" w:rsidP="00440A7E">
      <w:pPr>
        <w:pStyle w:val="04LOLglNew4"/>
        <w:rPr>
          <w:lang w:val="fr-CA"/>
        </w:rPr>
      </w:pPr>
      <w:r w:rsidRPr="00B63BD5">
        <w:rPr>
          <w:lang w:val="fr-CA"/>
        </w:rPr>
        <w:t xml:space="preserve">un </w:t>
      </w:r>
      <w:r w:rsidR="002037D6" w:rsidRPr="00B63BD5">
        <w:rPr>
          <w:lang w:val="fr-CA"/>
        </w:rPr>
        <w:t xml:space="preserve">arrangement ou un engagement </w:t>
      </w:r>
      <w:r w:rsidRPr="00B63BD5">
        <w:rPr>
          <w:lang w:val="fr-CA"/>
        </w:rPr>
        <w:t xml:space="preserve">est pris en vue de </w:t>
      </w:r>
      <w:r w:rsidR="002037D6" w:rsidRPr="00B63BD5">
        <w:rPr>
          <w:lang w:val="fr-CA"/>
        </w:rPr>
        <w:t>conclure une convention aux</w:t>
      </w:r>
      <w:r w:rsidR="00806B53" w:rsidRPr="00B63BD5">
        <w:rPr>
          <w:lang w:val="fr-CA"/>
        </w:rPr>
        <w:t> </w:t>
      </w:r>
      <w:r w:rsidR="002037D6" w:rsidRPr="00B63BD5">
        <w:rPr>
          <w:lang w:val="fr-CA"/>
        </w:rPr>
        <w:t>fins</w:t>
      </w:r>
      <w:r w:rsidR="00806B53" w:rsidRPr="00B63BD5">
        <w:rPr>
          <w:lang w:val="fr-CA"/>
        </w:rPr>
        <w:t> </w:t>
      </w:r>
      <w:r w:rsidR="002037D6" w:rsidRPr="00B63BD5">
        <w:rPr>
          <w:lang w:val="fr-CA"/>
        </w:rPr>
        <w:t>de l</w:t>
      </w:r>
      <w:r w:rsidR="00564B0C" w:rsidRPr="00B63BD5">
        <w:rPr>
          <w:lang w:val="fr-CA"/>
        </w:rPr>
        <w:t>’</w:t>
      </w:r>
      <w:r w:rsidR="002037D6" w:rsidRPr="00B63BD5">
        <w:rPr>
          <w:lang w:val="fr-CA"/>
        </w:rPr>
        <w:t>achat ou de la vente de biens hors du cours normal des activités;</w:t>
      </w:r>
    </w:p>
    <w:p w14:paraId="6DBF9E28" w14:textId="6E351090" w:rsidR="002037D6" w:rsidRPr="00B63BD5" w:rsidRDefault="007A6048" w:rsidP="00440A7E">
      <w:pPr>
        <w:pStyle w:val="04LOLglNew4"/>
        <w:rPr>
          <w:lang w:val="fr-CA"/>
        </w:rPr>
      </w:pPr>
      <w:r w:rsidRPr="00B63BD5">
        <w:rPr>
          <w:lang w:val="fr-CA"/>
        </w:rPr>
        <w:t xml:space="preserve">un </w:t>
      </w:r>
      <w:r w:rsidR="002037D6" w:rsidRPr="00B63BD5">
        <w:rPr>
          <w:lang w:val="fr-CA"/>
        </w:rPr>
        <w:t xml:space="preserve">arrangement </w:t>
      </w:r>
      <w:r w:rsidRPr="00B63BD5">
        <w:rPr>
          <w:lang w:val="fr-CA"/>
        </w:rPr>
        <w:t xml:space="preserve">est pris </w:t>
      </w:r>
      <w:r w:rsidR="002037D6" w:rsidRPr="00B63BD5">
        <w:rPr>
          <w:lang w:val="fr-CA"/>
        </w:rPr>
        <w:t>en vue d</w:t>
      </w:r>
      <w:r w:rsidR="00564B0C" w:rsidRPr="00B63BD5">
        <w:rPr>
          <w:lang w:val="fr-CA"/>
        </w:rPr>
        <w:t>’</w:t>
      </w:r>
      <w:r w:rsidR="002037D6" w:rsidRPr="00B63BD5">
        <w:rPr>
          <w:lang w:val="fr-CA"/>
        </w:rPr>
        <w:t>emprunter des fonds, d</w:t>
      </w:r>
      <w:r w:rsidR="00564B0C" w:rsidRPr="00B63BD5">
        <w:rPr>
          <w:lang w:val="fr-CA"/>
        </w:rPr>
        <w:t>’</w:t>
      </w:r>
      <w:r w:rsidR="002037D6" w:rsidRPr="00B63BD5">
        <w:rPr>
          <w:lang w:val="fr-CA"/>
        </w:rPr>
        <w:t>obtenir du crédit ou</w:t>
      </w:r>
      <w:r w:rsidR="00806B53" w:rsidRPr="00B63BD5">
        <w:rPr>
          <w:lang w:val="fr-CA"/>
        </w:rPr>
        <w:t> </w:t>
      </w:r>
      <w:r w:rsidRPr="00B63BD5">
        <w:rPr>
          <w:lang w:val="fr-CA"/>
        </w:rPr>
        <w:t>de</w:t>
      </w:r>
      <w:r w:rsidR="00806B53" w:rsidRPr="00B63BD5">
        <w:rPr>
          <w:lang w:val="fr-CA"/>
        </w:rPr>
        <w:t> </w:t>
      </w:r>
      <w:r w:rsidRPr="00B63BD5">
        <w:rPr>
          <w:lang w:val="fr-CA"/>
        </w:rPr>
        <w:t xml:space="preserve">contracter </w:t>
      </w:r>
      <w:r w:rsidR="002037D6" w:rsidRPr="00B63BD5">
        <w:rPr>
          <w:lang w:val="fr-CA"/>
        </w:rPr>
        <w:t xml:space="preserve">des dettes </w:t>
      </w:r>
      <w:r w:rsidRPr="00B63BD5">
        <w:rPr>
          <w:lang w:val="fr-CA"/>
        </w:rPr>
        <w:t xml:space="preserve">à long terme </w:t>
      </w:r>
      <w:r w:rsidR="002037D6" w:rsidRPr="00B63BD5">
        <w:rPr>
          <w:lang w:val="fr-CA"/>
        </w:rPr>
        <w:t>supplémentaires (autrement qu</w:t>
      </w:r>
      <w:r w:rsidR="00564B0C" w:rsidRPr="00B63BD5">
        <w:rPr>
          <w:lang w:val="fr-CA"/>
        </w:rPr>
        <w:t>’</w:t>
      </w:r>
      <w:r w:rsidR="002037D6" w:rsidRPr="00B63BD5">
        <w:rPr>
          <w:lang w:val="fr-CA"/>
        </w:rPr>
        <w:t>aux termes des</w:t>
      </w:r>
      <w:r w:rsidR="00806B53" w:rsidRPr="00B63BD5">
        <w:rPr>
          <w:lang w:val="fr-CA"/>
        </w:rPr>
        <w:t> </w:t>
      </w:r>
      <w:r w:rsidR="002037D6" w:rsidRPr="00B63BD5">
        <w:rPr>
          <w:lang w:val="fr-CA"/>
        </w:rPr>
        <w:t>Facilités de crédit);</w:t>
      </w:r>
    </w:p>
    <w:p w14:paraId="6B235D2A" w14:textId="66B3F020" w:rsidR="00942880" w:rsidRPr="00B63BD5" w:rsidRDefault="00942880" w:rsidP="00440A7E">
      <w:pPr>
        <w:pStyle w:val="04LOLglNew4"/>
        <w:rPr>
          <w:color w:val="00B0F0"/>
          <w:lang w:val="fr-CA"/>
        </w:rPr>
      </w:pPr>
      <w:r w:rsidRPr="00B63BD5">
        <w:rPr>
          <w:b/>
          <w:color w:val="00B0F0"/>
          <w:lang w:val="fr-CA"/>
        </w:rPr>
        <w:t>[</w:t>
      </w:r>
      <w:r w:rsidR="00EC3CB5" w:rsidRPr="00B63BD5">
        <w:rPr>
          <w:b/>
          <w:color w:val="00B0F0"/>
          <w:lang w:val="fr-CA"/>
        </w:rPr>
        <w:t>N.B. :</w:t>
      </w:r>
      <w:r w:rsidRPr="00B63BD5">
        <w:rPr>
          <w:b/>
          <w:color w:val="00B0F0"/>
          <w:lang w:val="fr-CA"/>
        </w:rPr>
        <w:t xml:space="preserve"> </w:t>
      </w:r>
      <w:r w:rsidR="002F396A" w:rsidRPr="00B63BD5">
        <w:rPr>
          <w:b/>
          <w:color w:val="00B0F0"/>
          <w:lang w:val="fr-CA"/>
        </w:rPr>
        <w:t xml:space="preserve">Insérer des </w:t>
      </w:r>
      <w:r w:rsidR="003C11AB" w:rsidRPr="00B63BD5">
        <w:rPr>
          <w:b/>
          <w:color w:val="00B0F0"/>
          <w:lang w:val="fr-CA"/>
        </w:rPr>
        <w:t xml:space="preserve">opérations, des </w:t>
      </w:r>
      <w:r w:rsidR="002F396A" w:rsidRPr="00B63BD5">
        <w:rPr>
          <w:b/>
          <w:color w:val="00B0F0"/>
          <w:lang w:val="fr-CA"/>
        </w:rPr>
        <w:t xml:space="preserve">événements ou des circonstances pertinents </w:t>
      </w:r>
      <w:r w:rsidR="002037D6" w:rsidRPr="00B63BD5">
        <w:rPr>
          <w:b/>
          <w:color w:val="00B0F0"/>
          <w:lang w:val="fr-CA"/>
        </w:rPr>
        <w:t xml:space="preserve">dont la </w:t>
      </w:r>
      <w:r w:rsidR="002F396A" w:rsidRPr="00B63BD5">
        <w:rPr>
          <w:b/>
          <w:color w:val="00B0F0"/>
          <w:lang w:val="fr-CA"/>
        </w:rPr>
        <w:t xml:space="preserve">Banque </w:t>
      </w:r>
      <w:r w:rsidR="002037D6" w:rsidRPr="00B63BD5">
        <w:rPr>
          <w:b/>
          <w:color w:val="00B0F0"/>
          <w:lang w:val="fr-CA"/>
        </w:rPr>
        <w:t>exige d</w:t>
      </w:r>
      <w:r w:rsidR="00564B0C" w:rsidRPr="00B63BD5">
        <w:rPr>
          <w:b/>
          <w:color w:val="00B0F0"/>
          <w:lang w:val="fr-CA"/>
        </w:rPr>
        <w:t>’</w:t>
      </w:r>
      <w:r w:rsidR="002F396A" w:rsidRPr="00B63BD5">
        <w:rPr>
          <w:b/>
          <w:color w:val="00B0F0"/>
          <w:lang w:val="fr-CA"/>
        </w:rPr>
        <w:t>être avisée</w:t>
      </w:r>
      <w:r w:rsidR="002037D6" w:rsidRPr="00B63BD5">
        <w:rPr>
          <w:b/>
          <w:color w:val="00B0F0"/>
          <w:lang w:val="fr-CA"/>
        </w:rPr>
        <w:t>.</w:t>
      </w:r>
      <w:r w:rsidRPr="00B63BD5">
        <w:rPr>
          <w:b/>
          <w:color w:val="00B0F0"/>
          <w:lang w:val="fr-CA"/>
        </w:rPr>
        <w:t>]</w:t>
      </w:r>
    </w:p>
    <w:p w14:paraId="46B9FF2E" w14:textId="08CC0636" w:rsidR="00E03B26" w:rsidRPr="00B63BD5" w:rsidRDefault="0096109A" w:rsidP="00632863">
      <w:pPr>
        <w:pStyle w:val="Heading4"/>
        <w:keepNext w:val="0"/>
        <w:widowControl w:val="0"/>
        <w:ind w:left="357"/>
        <w:jc w:val="both"/>
      </w:pPr>
      <w:r w:rsidRPr="00B63BD5">
        <w:t>L</w:t>
      </w:r>
      <w:r w:rsidR="00564B0C" w:rsidRPr="00B63BD5">
        <w:t>’</w:t>
      </w:r>
      <w:r w:rsidRPr="00B63BD5">
        <w:t>Emprunteur</w:t>
      </w:r>
      <w:r w:rsidR="00AD2ABF" w:rsidRPr="00B63BD5">
        <w:t xml:space="preserve"> doit</w:t>
      </w:r>
      <w:r w:rsidR="002F396A" w:rsidRPr="00B63BD5">
        <w:t xml:space="preserve"> donner à la Banque un avis préalable </w:t>
      </w:r>
      <w:r w:rsidR="007D4552" w:rsidRPr="00B63BD5">
        <w:t>d</w:t>
      </w:r>
      <w:r w:rsidR="00564B0C" w:rsidRPr="00B63BD5">
        <w:t>’</w:t>
      </w:r>
      <w:r w:rsidR="007D4552" w:rsidRPr="00B63BD5">
        <w:t xml:space="preserve">au moins </w:t>
      </w:r>
      <w:r w:rsidR="0033461F" w:rsidRPr="00B63BD5">
        <w:t>cinq</w:t>
      </w:r>
      <w:r w:rsidR="00AC4107" w:rsidRPr="00B63BD5">
        <w:t xml:space="preserve"> </w:t>
      </w:r>
      <w:r w:rsidR="007D4552" w:rsidRPr="00B63BD5">
        <w:t>Jours ouvrables</w:t>
      </w:r>
      <w:r w:rsidR="00D27A18" w:rsidRPr="00B63BD5">
        <w:t xml:space="preserve"> si</w:t>
      </w:r>
      <w:r w:rsidR="00806B53" w:rsidRPr="00B63BD5">
        <w:t> </w:t>
      </w:r>
      <w:r w:rsidR="002037D6" w:rsidRPr="00B63BD5">
        <w:t>un</w:t>
      </w:r>
      <w:r w:rsidR="00806B53" w:rsidRPr="00B63BD5">
        <w:t> </w:t>
      </w:r>
      <w:r w:rsidR="002037D6" w:rsidRPr="00B63BD5">
        <w:t xml:space="preserve">Bénéficiaire du crédit </w:t>
      </w:r>
      <w:r w:rsidR="00FB2306" w:rsidRPr="00B63BD5">
        <w:t xml:space="preserve">se </w:t>
      </w:r>
      <w:r w:rsidR="00D27A18" w:rsidRPr="00B63BD5">
        <w:t xml:space="preserve">propose </w:t>
      </w:r>
      <w:r w:rsidR="007D4552" w:rsidRPr="00B63BD5">
        <w:t xml:space="preserve">de </w:t>
      </w:r>
      <w:r w:rsidR="002F396A" w:rsidRPr="00B63BD5">
        <w:t>modifi</w:t>
      </w:r>
      <w:r w:rsidR="00D27A18" w:rsidRPr="00B63BD5">
        <w:t>er son</w:t>
      </w:r>
      <w:r w:rsidR="002F396A" w:rsidRPr="00B63BD5">
        <w:t xml:space="preserve"> nom</w:t>
      </w:r>
      <w:r w:rsidR="00FB2306" w:rsidRPr="00B63BD5">
        <w:t xml:space="preserve">, </w:t>
      </w:r>
      <w:r w:rsidR="00D27A18" w:rsidRPr="00B63BD5">
        <w:t>son</w:t>
      </w:r>
      <w:r w:rsidR="002F396A" w:rsidRPr="00B63BD5">
        <w:t xml:space="preserve"> territoire </w:t>
      </w:r>
      <w:r w:rsidR="00FB2306" w:rsidRPr="00B63BD5">
        <w:t xml:space="preserve">de constitution </w:t>
      </w:r>
      <w:r w:rsidR="002F396A" w:rsidRPr="00B63BD5">
        <w:t>ou</w:t>
      </w:r>
      <w:r w:rsidR="00806B53" w:rsidRPr="00B63BD5">
        <w:t> </w:t>
      </w:r>
      <w:r w:rsidR="00D27A18" w:rsidRPr="00B63BD5">
        <w:t>son</w:t>
      </w:r>
      <w:r w:rsidR="00806B53" w:rsidRPr="00B63BD5">
        <w:t> </w:t>
      </w:r>
      <w:r w:rsidR="0011404F" w:rsidRPr="00B63BD5">
        <w:t>adresse</w:t>
      </w:r>
      <w:r w:rsidR="002F396A" w:rsidRPr="00B63BD5">
        <w:t>.</w:t>
      </w:r>
    </w:p>
    <w:p w14:paraId="687F6957" w14:textId="7F30C93F" w:rsidR="009926E7" w:rsidRPr="00B63BD5" w:rsidRDefault="0011404F" w:rsidP="009027EF">
      <w:pPr>
        <w:pStyle w:val="04LOLglNew1"/>
        <w:rPr>
          <w:lang w:val="fr-CA"/>
        </w:rPr>
      </w:pPr>
      <w:r w:rsidRPr="00B63BD5">
        <w:rPr>
          <w:lang w:val="fr-CA"/>
        </w:rPr>
        <w:t>Obligations d</w:t>
      </w:r>
      <w:r w:rsidR="00564B0C" w:rsidRPr="00B63BD5">
        <w:rPr>
          <w:lang w:val="fr-CA"/>
        </w:rPr>
        <w:t>’</w:t>
      </w:r>
      <w:r w:rsidRPr="00B63BD5">
        <w:rPr>
          <w:lang w:val="fr-CA"/>
        </w:rPr>
        <w:t>information</w:t>
      </w:r>
    </w:p>
    <w:p w14:paraId="7AF92271" w14:textId="1E8858A0" w:rsidR="007713D6" w:rsidRPr="00B63BD5" w:rsidRDefault="007713D6" w:rsidP="00632863">
      <w:pPr>
        <w:widowControl w:val="0"/>
        <w:spacing w:after="240"/>
        <w:jc w:val="both"/>
        <w:rPr>
          <w:lang w:val="fr-CA"/>
        </w:rPr>
      </w:pPr>
      <w:r w:rsidRPr="00B63BD5">
        <w:rPr>
          <w:lang w:val="fr-CA"/>
        </w:rPr>
        <w:t xml:space="preserve">La disponibilité continue des Facilités de crédit est assujettie à </w:t>
      </w:r>
      <w:r w:rsidR="00FB2306" w:rsidRPr="00B63BD5">
        <w:rPr>
          <w:lang w:val="fr-CA"/>
        </w:rPr>
        <w:t xml:space="preserve">ce que </w:t>
      </w:r>
      <w:r w:rsidRPr="00B63BD5">
        <w:rPr>
          <w:lang w:val="fr-CA"/>
        </w:rPr>
        <w:t>l</w:t>
      </w:r>
      <w:r w:rsidR="00564B0C" w:rsidRPr="00B63BD5">
        <w:rPr>
          <w:lang w:val="fr-CA"/>
        </w:rPr>
        <w:t>’</w:t>
      </w:r>
      <w:r w:rsidRPr="00B63BD5">
        <w:rPr>
          <w:lang w:val="fr-CA"/>
        </w:rPr>
        <w:t xml:space="preserve">Emprunteur </w:t>
      </w:r>
      <w:r w:rsidR="0011404F" w:rsidRPr="00B63BD5">
        <w:rPr>
          <w:lang w:val="fr-CA"/>
        </w:rPr>
        <w:t>remette</w:t>
      </w:r>
      <w:r w:rsidR="00FB2306" w:rsidRPr="00B63BD5">
        <w:rPr>
          <w:lang w:val="fr-CA"/>
        </w:rPr>
        <w:t xml:space="preserve"> </w:t>
      </w:r>
      <w:r w:rsidRPr="00B63BD5">
        <w:rPr>
          <w:lang w:val="fr-CA"/>
        </w:rPr>
        <w:t>à la Banque</w:t>
      </w:r>
      <w:r w:rsidR="00FB2306" w:rsidRPr="00B63BD5">
        <w:rPr>
          <w:lang w:val="fr-CA"/>
        </w:rPr>
        <w:t xml:space="preserve"> les documents </w:t>
      </w:r>
      <w:r w:rsidRPr="00B63BD5">
        <w:rPr>
          <w:lang w:val="fr-CA"/>
        </w:rPr>
        <w:t>suivants</w:t>
      </w:r>
      <w:r w:rsidR="00C14BD9" w:rsidRPr="00B63BD5">
        <w:rPr>
          <w:lang w:val="fr-CA"/>
        </w:rPr>
        <w:t xml:space="preserve">, </w:t>
      </w:r>
      <w:r w:rsidR="0011404F" w:rsidRPr="00B63BD5">
        <w:rPr>
          <w:lang w:val="fr-CA"/>
        </w:rPr>
        <w:t>établis selon le modèle et la fréquence que la Banque juge acceptables</w:t>
      </w:r>
      <w:r w:rsidR="00FB2306" w:rsidRPr="00B63BD5">
        <w:rPr>
          <w:lang w:val="fr-CA"/>
        </w:rPr>
        <w:t>.</w:t>
      </w:r>
    </w:p>
    <w:p w14:paraId="42AB4236" w14:textId="42B6F604" w:rsidR="00E531FB" w:rsidRPr="00B63BD5" w:rsidRDefault="00E531FB" w:rsidP="00632863">
      <w:pPr>
        <w:widowControl w:val="0"/>
        <w:spacing w:after="240"/>
        <w:jc w:val="both"/>
        <w:rPr>
          <w:b/>
          <w:color w:val="00B0F0"/>
          <w:lang w:val="fr-CA"/>
        </w:rPr>
      </w:pPr>
      <w:r w:rsidRPr="00B63BD5">
        <w:rPr>
          <w:b/>
          <w:color w:val="00B0F0"/>
          <w:lang w:val="fr-CA"/>
        </w:rPr>
        <w:t>[</w:t>
      </w:r>
      <w:r w:rsidR="00EC3CB5" w:rsidRPr="00B63BD5">
        <w:rPr>
          <w:b/>
          <w:color w:val="00B0F0"/>
          <w:lang w:val="fr-CA"/>
        </w:rPr>
        <w:t>N.B. :</w:t>
      </w:r>
      <w:r w:rsidR="009B61B1" w:rsidRPr="00B63BD5">
        <w:rPr>
          <w:b/>
          <w:color w:val="00B0F0"/>
          <w:lang w:val="fr-CA"/>
        </w:rPr>
        <w:t xml:space="preserve"> </w:t>
      </w:r>
      <w:r w:rsidR="007713D6" w:rsidRPr="00B63BD5">
        <w:rPr>
          <w:b/>
          <w:color w:val="00B0F0"/>
          <w:lang w:val="fr-CA"/>
        </w:rPr>
        <w:t>Modifier</w:t>
      </w:r>
      <w:r w:rsidR="00377256" w:rsidRPr="00B63BD5">
        <w:rPr>
          <w:b/>
          <w:color w:val="00B0F0"/>
          <w:lang w:val="fr-CA"/>
        </w:rPr>
        <w:t xml:space="preserve"> tel que requis</w:t>
      </w:r>
      <w:r w:rsidR="00067C93" w:rsidRPr="00B63BD5">
        <w:rPr>
          <w:b/>
          <w:color w:val="00B0F0"/>
          <w:lang w:val="fr-CA"/>
        </w:rPr>
        <w:t xml:space="preserve"> </w:t>
      </w:r>
      <w:r w:rsidR="000B7256" w:rsidRPr="00B63BD5">
        <w:rPr>
          <w:b/>
          <w:color w:val="00B0F0"/>
          <w:lang w:val="fr-CA"/>
        </w:rPr>
        <w:t xml:space="preserve">pour </w:t>
      </w:r>
      <w:r w:rsidR="00067C93" w:rsidRPr="00B63BD5">
        <w:rPr>
          <w:b/>
          <w:color w:val="00B0F0"/>
          <w:lang w:val="fr-CA"/>
        </w:rPr>
        <w:t xml:space="preserve">que </w:t>
      </w:r>
      <w:r w:rsidR="008C3103" w:rsidRPr="00B63BD5">
        <w:rPr>
          <w:b/>
          <w:color w:val="00B0F0"/>
          <w:lang w:val="fr-CA"/>
        </w:rPr>
        <w:t>le présent article</w:t>
      </w:r>
      <w:r w:rsidR="00DC718F" w:rsidRPr="00B63BD5">
        <w:rPr>
          <w:b/>
          <w:color w:val="00B0F0"/>
          <w:lang w:val="fr-CA"/>
        </w:rPr>
        <w:t xml:space="preserve"> soit conforme</w:t>
      </w:r>
      <w:r w:rsidR="00067C93" w:rsidRPr="00B63BD5">
        <w:rPr>
          <w:b/>
          <w:color w:val="00B0F0"/>
          <w:lang w:val="fr-CA"/>
        </w:rPr>
        <w:t xml:space="preserve"> </w:t>
      </w:r>
      <w:r w:rsidR="00043876" w:rsidRPr="00B63BD5">
        <w:rPr>
          <w:b/>
          <w:color w:val="00B0F0"/>
          <w:lang w:val="fr-CA"/>
        </w:rPr>
        <w:t>à la feuille de conditions approuvée</w:t>
      </w:r>
      <w:r w:rsidR="00AD2ABF" w:rsidRPr="00B63BD5">
        <w:rPr>
          <w:b/>
          <w:color w:val="00B0F0"/>
          <w:lang w:val="fr-CA"/>
        </w:rPr>
        <w:t>.</w:t>
      </w:r>
      <w:r w:rsidR="00067C93" w:rsidRPr="00B63BD5">
        <w:rPr>
          <w:b/>
          <w:color w:val="00B0F0"/>
          <w:lang w:val="fr-CA"/>
        </w:rPr>
        <w:t xml:space="preserve"> L</w:t>
      </w:r>
      <w:r w:rsidR="00564B0C" w:rsidRPr="00B63BD5">
        <w:rPr>
          <w:b/>
          <w:color w:val="00B0F0"/>
          <w:lang w:val="fr-CA"/>
        </w:rPr>
        <w:t>’</w:t>
      </w:r>
      <w:r w:rsidR="00DC718F" w:rsidRPr="00B63BD5">
        <w:rPr>
          <w:b/>
          <w:color w:val="00B0F0"/>
          <w:lang w:val="fr-CA"/>
        </w:rPr>
        <w:t>alinéa</w:t>
      </w:r>
      <w:r w:rsidR="00AC4107" w:rsidRPr="00B63BD5">
        <w:rPr>
          <w:b/>
          <w:color w:val="00B0F0"/>
          <w:lang w:val="fr-CA"/>
        </w:rPr>
        <w:t xml:space="preserve"> </w:t>
      </w:r>
      <w:r w:rsidR="00067C93" w:rsidRPr="00B63BD5">
        <w:rPr>
          <w:b/>
          <w:color w:val="00B0F0"/>
          <w:lang w:val="fr-CA"/>
        </w:rPr>
        <w:t>e) est obligatoire et ne devrait pas être supprimé.</w:t>
      </w:r>
      <w:r w:rsidRPr="00B63BD5">
        <w:rPr>
          <w:b/>
          <w:color w:val="00B0F0"/>
          <w:lang w:val="fr-CA"/>
        </w:rPr>
        <w:t>]</w:t>
      </w:r>
    </w:p>
    <w:p w14:paraId="3F17E084" w14:textId="5B3D3136" w:rsidR="009926E7" w:rsidRPr="000B7739" w:rsidRDefault="00942880" w:rsidP="000B7739">
      <w:pPr>
        <w:pStyle w:val="04LOLglNew3"/>
        <w:numPr>
          <w:ilvl w:val="2"/>
          <w:numId w:val="38"/>
        </w:numPr>
        <w:rPr>
          <w:lang w:val="fr-CA"/>
        </w:rPr>
      </w:pPr>
      <w:r w:rsidRPr="000B7739">
        <w:rPr>
          <w:lang w:val="fr-CA"/>
        </w:rPr>
        <w:t>[</w:t>
      </w:r>
      <w:r w:rsidR="00EC5DE3" w:rsidRPr="000B7739">
        <w:rPr>
          <w:lang w:val="fr-CA"/>
        </w:rPr>
        <w:t xml:space="preserve">chaque mois, </w:t>
      </w:r>
      <w:r w:rsidR="007713D6" w:rsidRPr="000B7739">
        <w:rPr>
          <w:lang w:val="fr-CA"/>
        </w:rPr>
        <w:t xml:space="preserve">le </w:t>
      </w:r>
      <w:r w:rsidR="00067C93" w:rsidRPr="000B7739">
        <w:rPr>
          <w:lang w:val="fr-CA"/>
        </w:rPr>
        <w:t>●</w:t>
      </w:r>
      <w:r w:rsidR="00AC4107" w:rsidRPr="000B7739">
        <w:rPr>
          <w:lang w:val="fr-CA"/>
        </w:rPr>
        <w:t xml:space="preserve"> </w:t>
      </w:r>
      <w:r w:rsidR="007713D6" w:rsidRPr="000B7739">
        <w:rPr>
          <w:lang w:val="fr-CA"/>
        </w:rPr>
        <w:t>jour d</w:t>
      </w:r>
      <w:r w:rsidR="00EC5DE3" w:rsidRPr="000B7739">
        <w:rPr>
          <w:lang w:val="fr-CA"/>
        </w:rPr>
        <w:t>u</w:t>
      </w:r>
      <w:r w:rsidR="007713D6" w:rsidRPr="000B7739">
        <w:rPr>
          <w:lang w:val="fr-CA"/>
        </w:rPr>
        <w:t xml:space="preserve"> mois</w:t>
      </w:r>
      <w:r w:rsidR="00B67E21" w:rsidRPr="000B7739">
        <w:rPr>
          <w:lang w:val="fr-CA"/>
        </w:rPr>
        <w:t xml:space="preserve"> </w:t>
      </w:r>
      <w:r w:rsidR="001934B0" w:rsidRPr="000B7739">
        <w:rPr>
          <w:b/>
          <w:color w:val="00B0F0"/>
          <w:highlight w:val="yellow"/>
          <w:lang w:val="fr-CA"/>
        </w:rPr>
        <w:t>OU</w:t>
      </w:r>
      <w:r w:rsidR="00B67E21" w:rsidRPr="000B7739">
        <w:rPr>
          <w:lang w:val="fr-CA"/>
        </w:rPr>
        <w:t xml:space="preserve"> </w:t>
      </w:r>
      <w:r w:rsidR="007713D6" w:rsidRPr="000B7739">
        <w:rPr>
          <w:lang w:val="fr-CA"/>
        </w:rPr>
        <w:t xml:space="preserve">dans les </w:t>
      </w:r>
      <w:r w:rsidR="00B67E21" w:rsidRPr="000B7739">
        <w:rPr>
          <w:lang w:val="fr-CA"/>
        </w:rPr>
        <w:t>●</w:t>
      </w:r>
      <w:r w:rsidR="00AC4107" w:rsidRPr="000B7739">
        <w:rPr>
          <w:lang w:val="fr-CA"/>
        </w:rPr>
        <w:t xml:space="preserve"> </w:t>
      </w:r>
      <w:r w:rsidR="007713D6" w:rsidRPr="000B7739">
        <w:rPr>
          <w:lang w:val="fr-CA"/>
        </w:rPr>
        <w:t>jours suivant la fin de chaque mois civil</w:t>
      </w:r>
      <w:r w:rsidR="00FD2F2D" w:rsidRPr="000B7739">
        <w:rPr>
          <w:lang w:val="fr-CA"/>
        </w:rPr>
        <w:t>]</w:t>
      </w:r>
      <w:r w:rsidR="00AC4107" w:rsidRPr="000B7739">
        <w:rPr>
          <w:lang w:val="fr-CA"/>
        </w:rPr>
        <w:t xml:space="preserve"> </w:t>
      </w:r>
      <w:r w:rsidR="009926E7" w:rsidRPr="000B7739">
        <w:rPr>
          <w:lang w:val="fr-CA"/>
        </w:rPr>
        <w:t>:</w:t>
      </w:r>
    </w:p>
    <w:p w14:paraId="120D0C0F" w14:textId="22C80AEB" w:rsidR="009926E7" w:rsidRPr="00B63BD5" w:rsidRDefault="007713D6" w:rsidP="00440A7E">
      <w:pPr>
        <w:pStyle w:val="04LOLglNew4"/>
        <w:rPr>
          <w:lang w:val="fr-CA"/>
        </w:rPr>
      </w:pPr>
      <w:r w:rsidRPr="00B63BD5">
        <w:rPr>
          <w:lang w:val="fr-CA"/>
        </w:rPr>
        <w:t xml:space="preserve">un état </w:t>
      </w:r>
      <w:r w:rsidR="00FB2306" w:rsidRPr="00B63BD5">
        <w:rPr>
          <w:lang w:val="fr-CA"/>
        </w:rPr>
        <w:t xml:space="preserve">chronologique </w:t>
      </w:r>
      <w:r w:rsidRPr="00B63BD5">
        <w:rPr>
          <w:lang w:val="fr-CA"/>
        </w:rPr>
        <w:t xml:space="preserve">des </w:t>
      </w:r>
      <w:r w:rsidR="00580BA8" w:rsidRPr="00B63BD5">
        <w:rPr>
          <w:lang w:val="fr-CA"/>
        </w:rPr>
        <w:t>Comptes clients</w:t>
      </w:r>
      <w:r w:rsidRPr="00B63BD5">
        <w:rPr>
          <w:lang w:val="fr-CA"/>
        </w:rPr>
        <w:t xml:space="preserve"> de l</w:t>
      </w:r>
      <w:r w:rsidR="00564B0C" w:rsidRPr="00B63BD5">
        <w:rPr>
          <w:lang w:val="fr-CA"/>
        </w:rPr>
        <w:t>’</w:t>
      </w:r>
      <w:r w:rsidRPr="00B63BD5">
        <w:rPr>
          <w:lang w:val="fr-CA"/>
        </w:rPr>
        <w:t>Emprunteur;</w:t>
      </w:r>
    </w:p>
    <w:p w14:paraId="199468B4" w14:textId="75B8AADB" w:rsidR="009926E7" w:rsidRPr="00B63BD5" w:rsidRDefault="007713D6" w:rsidP="00440A7E">
      <w:pPr>
        <w:pStyle w:val="04LOLglNew4"/>
        <w:rPr>
          <w:lang w:val="fr-CA"/>
        </w:rPr>
      </w:pPr>
      <w:r w:rsidRPr="00B63BD5">
        <w:rPr>
          <w:lang w:val="fr-CA"/>
        </w:rPr>
        <w:t xml:space="preserve">un état </w:t>
      </w:r>
      <w:r w:rsidR="00FB2306" w:rsidRPr="00B63BD5">
        <w:rPr>
          <w:lang w:val="fr-CA"/>
        </w:rPr>
        <w:t xml:space="preserve">chronologique </w:t>
      </w:r>
      <w:r w:rsidRPr="00B63BD5">
        <w:rPr>
          <w:lang w:val="fr-CA"/>
        </w:rPr>
        <w:t>des comptes créditeurs de l</w:t>
      </w:r>
      <w:r w:rsidR="00564B0C" w:rsidRPr="00B63BD5">
        <w:rPr>
          <w:lang w:val="fr-CA"/>
        </w:rPr>
        <w:t>’</w:t>
      </w:r>
      <w:r w:rsidRPr="00B63BD5">
        <w:rPr>
          <w:lang w:val="fr-CA"/>
        </w:rPr>
        <w:t xml:space="preserve">Emprunteur; </w:t>
      </w:r>
    </w:p>
    <w:p w14:paraId="6D817F47" w14:textId="375F7C14" w:rsidR="009926E7" w:rsidRPr="00B63BD5" w:rsidRDefault="007713D6" w:rsidP="00440A7E">
      <w:pPr>
        <w:pStyle w:val="04LOLglNew4"/>
        <w:rPr>
          <w:lang w:val="fr-CA"/>
        </w:rPr>
      </w:pPr>
      <w:r w:rsidRPr="00B63BD5">
        <w:rPr>
          <w:lang w:val="fr-CA"/>
        </w:rPr>
        <w:t>un</w:t>
      </w:r>
      <w:r w:rsidR="00377256" w:rsidRPr="00B63BD5">
        <w:rPr>
          <w:lang w:val="fr-CA"/>
        </w:rPr>
        <w:t>e déclaration d</w:t>
      </w:r>
      <w:r w:rsidR="00564B0C" w:rsidRPr="00B63BD5">
        <w:rPr>
          <w:lang w:val="fr-CA"/>
        </w:rPr>
        <w:t>’</w:t>
      </w:r>
      <w:r w:rsidR="0011404F" w:rsidRPr="00B63BD5">
        <w:rPr>
          <w:lang w:val="fr-CA"/>
        </w:rPr>
        <w:t>inventaire</w:t>
      </w:r>
      <w:r w:rsidRPr="00B63BD5">
        <w:rPr>
          <w:lang w:val="fr-CA"/>
        </w:rPr>
        <w:t>;</w:t>
      </w:r>
    </w:p>
    <w:p w14:paraId="1BFCC859" w14:textId="1D021667" w:rsidR="009926E7" w:rsidRPr="00B63BD5" w:rsidRDefault="007713D6" w:rsidP="00440A7E">
      <w:pPr>
        <w:pStyle w:val="04LOLglNew4"/>
        <w:rPr>
          <w:lang w:val="fr-CA"/>
        </w:rPr>
      </w:pPr>
      <w:r w:rsidRPr="00B63BD5">
        <w:rPr>
          <w:lang w:val="fr-CA"/>
        </w:rPr>
        <w:t>un état des résultats et un bilan dressés à l</w:t>
      </w:r>
      <w:r w:rsidR="00564B0C" w:rsidRPr="00B63BD5">
        <w:rPr>
          <w:lang w:val="fr-CA"/>
        </w:rPr>
        <w:t>’</w:t>
      </w:r>
      <w:r w:rsidRPr="00B63BD5">
        <w:rPr>
          <w:lang w:val="fr-CA"/>
        </w:rPr>
        <w:t>interne de l</w:t>
      </w:r>
      <w:r w:rsidR="00564B0C" w:rsidRPr="00B63BD5">
        <w:rPr>
          <w:lang w:val="fr-CA"/>
        </w:rPr>
        <w:t>’</w:t>
      </w:r>
      <w:r w:rsidRPr="00B63BD5">
        <w:rPr>
          <w:lang w:val="fr-CA"/>
        </w:rPr>
        <w:t xml:space="preserve">Emprunteur; </w:t>
      </w:r>
    </w:p>
    <w:p w14:paraId="4B9EB40E" w14:textId="50E65EE6" w:rsidR="009926E7" w:rsidRPr="00B63BD5" w:rsidRDefault="007713D6" w:rsidP="00440A7E">
      <w:pPr>
        <w:pStyle w:val="04LOLglNew4"/>
        <w:rPr>
          <w:lang w:val="fr-CA"/>
        </w:rPr>
      </w:pPr>
      <w:r w:rsidRPr="00B63BD5">
        <w:rPr>
          <w:lang w:val="fr-CA"/>
        </w:rPr>
        <w:t>un état détaillé des Arrangements hors bilan de l</w:t>
      </w:r>
      <w:r w:rsidR="00564B0C" w:rsidRPr="00B63BD5">
        <w:rPr>
          <w:lang w:val="fr-CA"/>
        </w:rPr>
        <w:t>’</w:t>
      </w:r>
      <w:r w:rsidRPr="00B63BD5">
        <w:rPr>
          <w:lang w:val="fr-CA"/>
        </w:rPr>
        <w:t xml:space="preserve">Emprunteur; </w:t>
      </w:r>
    </w:p>
    <w:p w14:paraId="226E5FFE" w14:textId="4135765F" w:rsidR="009926E7" w:rsidRPr="00B63BD5" w:rsidRDefault="007713D6" w:rsidP="00440A7E">
      <w:pPr>
        <w:pStyle w:val="04LOLglNew4"/>
        <w:rPr>
          <w:lang w:val="fr-CA"/>
        </w:rPr>
      </w:pPr>
      <w:r w:rsidRPr="00B63BD5">
        <w:rPr>
          <w:lang w:val="fr-CA"/>
        </w:rPr>
        <w:t>un certificat de conformité relatif à la marge et un certificat de conformité relatif aux</w:t>
      </w:r>
      <w:r w:rsidR="008C2CEA" w:rsidRPr="00B63BD5">
        <w:rPr>
          <w:lang w:val="fr-CA"/>
        </w:rPr>
        <w:t> </w:t>
      </w:r>
      <w:r w:rsidRPr="00B63BD5">
        <w:rPr>
          <w:lang w:val="fr-CA"/>
        </w:rPr>
        <w:t>engagements</w:t>
      </w:r>
      <w:r w:rsidR="00C14BD9" w:rsidRPr="00B63BD5">
        <w:rPr>
          <w:lang w:val="fr-CA"/>
        </w:rPr>
        <w:t xml:space="preserve"> établis</w:t>
      </w:r>
      <w:r w:rsidRPr="00B63BD5">
        <w:rPr>
          <w:lang w:val="fr-CA"/>
        </w:rPr>
        <w:t xml:space="preserve"> selon le modèle</w:t>
      </w:r>
      <w:r w:rsidR="00C14BD9" w:rsidRPr="00B63BD5">
        <w:rPr>
          <w:lang w:val="fr-CA"/>
        </w:rPr>
        <w:t xml:space="preserve"> requis par </w:t>
      </w:r>
      <w:r w:rsidRPr="00B63BD5">
        <w:rPr>
          <w:lang w:val="fr-CA"/>
        </w:rPr>
        <w:t xml:space="preserve">la Banque; </w:t>
      </w:r>
    </w:p>
    <w:p w14:paraId="32087D1F" w14:textId="77777777" w:rsidR="00CF128C" w:rsidRPr="00B63BD5" w:rsidRDefault="00EC5DE3" w:rsidP="000B7739">
      <w:pPr>
        <w:pStyle w:val="04LOLglNew3"/>
        <w:rPr>
          <w:lang w:val="fr-CA"/>
        </w:rPr>
      </w:pPr>
      <w:r w:rsidRPr="00B63BD5">
        <w:rPr>
          <w:lang w:val="fr-CA"/>
        </w:rPr>
        <w:t>chaque trimestre</w:t>
      </w:r>
      <w:r w:rsidR="007713D6" w:rsidRPr="00B63BD5">
        <w:rPr>
          <w:lang w:val="fr-CA"/>
        </w:rPr>
        <w:t xml:space="preserve">, dans les </w:t>
      </w:r>
      <w:r w:rsidR="00B67E21" w:rsidRPr="00B63BD5">
        <w:rPr>
          <w:lang w:val="fr-CA"/>
        </w:rPr>
        <w:t>●</w:t>
      </w:r>
      <w:r w:rsidR="00AC4107" w:rsidRPr="00B63BD5">
        <w:rPr>
          <w:b/>
          <w:lang w:val="fr-CA"/>
        </w:rPr>
        <w:t xml:space="preserve"> </w:t>
      </w:r>
      <w:r w:rsidR="007713D6" w:rsidRPr="00B63BD5">
        <w:rPr>
          <w:lang w:val="fr-CA"/>
        </w:rPr>
        <w:t>jours suivant la fin d</w:t>
      </w:r>
      <w:r w:rsidR="00E26217" w:rsidRPr="00B63BD5">
        <w:rPr>
          <w:lang w:val="fr-CA"/>
        </w:rPr>
        <w:t xml:space="preserve">u </w:t>
      </w:r>
      <w:r w:rsidR="007713D6" w:rsidRPr="00B63BD5">
        <w:rPr>
          <w:lang w:val="fr-CA"/>
        </w:rPr>
        <w:t>trimestre</w:t>
      </w:r>
      <w:r w:rsidR="00AC4107" w:rsidRPr="00B63BD5">
        <w:rPr>
          <w:lang w:val="fr-CA"/>
        </w:rPr>
        <w:t xml:space="preserve"> </w:t>
      </w:r>
      <w:r w:rsidR="007713D6" w:rsidRPr="00B63BD5">
        <w:rPr>
          <w:lang w:val="fr-CA"/>
        </w:rPr>
        <w:t>:</w:t>
      </w:r>
    </w:p>
    <w:p w14:paraId="6FBED2B9" w14:textId="0E428F12" w:rsidR="00851927" w:rsidRPr="00B63BD5" w:rsidRDefault="007713D6" w:rsidP="00440A7E">
      <w:pPr>
        <w:pStyle w:val="04LOLglNew4"/>
        <w:rPr>
          <w:lang w:val="fr-CA"/>
        </w:rPr>
      </w:pPr>
      <w:r w:rsidRPr="00B63BD5">
        <w:rPr>
          <w:lang w:val="fr-CA"/>
        </w:rPr>
        <w:t xml:space="preserve"> </w:t>
      </w:r>
      <w:r w:rsidR="00CB32CC" w:rsidRPr="00B63BD5">
        <w:rPr>
          <w:lang w:val="fr-CA"/>
        </w:rPr>
        <w:t>les états financiers intermédiaires consolidés [et non consolidés] dressés à l</w:t>
      </w:r>
      <w:r w:rsidR="00564B0C" w:rsidRPr="00B63BD5">
        <w:rPr>
          <w:lang w:val="fr-CA"/>
        </w:rPr>
        <w:t>’</w:t>
      </w:r>
      <w:r w:rsidR="00CB32CC" w:rsidRPr="00B63BD5">
        <w:rPr>
          <w:lang w:val="fr-CA"/>
        </w:rPr>
        <w:t>interne</w:t>
      </w:r>
      <w:r w:rsidR="003C11AB" w:rsidRPr="00B63BD5">
        <w:rPr>
          <w:lang w:val="fr-CA"/>
        </w:rPr>
        <w:t xml:space="preserve"> </w:t>
      </w:r>
      <w:r w:rsidR="00CB32CC" w:rsidRPr="00B63BD5">
        <w:rPr>
          <w:lang w:val="fr-CA"/>
        </w:rPr>
        <w:t>[</w:t>
      </w:r>
      <w:r w:rsidR="00AD2ABF" w:rsidRPr="00B63BD5">
        <w:rPr>
          <w:lang w:val="fr-CA"/>
        </w:rPr>
        <w:t>,</w:t>
      </w:r>
      <w:r w:rsidR="008C2CEA" w:rsidRPr="00B63BD5">
        <w:rPr>
          <w:lang w:val="fr-CA"/>
        </w:rPr>
        <w:t> </w:t>
      </w:r>
      <w:r w:rsidR="00CB32CC" w:rsidRPr="00B63BD5">
        <w:rPr>
          <w:lang w:val="fr-CA"/>
        </w:rPr>
        <w:t>y</w:t>
      </w:r>
      <w:r w:rsidR="00C61CB0" w:rsidRPr="00B63BD5">
        <w:rPr>
          <w:lang w:val="fr-CA"/>
        </w:rPr>
        <w:t> </w:t>
      </w:r>
      <w:r w:rsidR="00CB32CC" w:rsidRPr="00B63BD5">
        <w:rPr>
          <w:lang w:val="fr-CA"/>
        </w:rPr>
        <w:t xml:space="preserve">compris un état des résultats et un bilan]; </w:t>
      </w:r>
    </w:p>
    <w:p w14:paraId="06A6FEEB" w14:textId="254592F7" w:rsidR="00851927" w:rsidRPr="00B63BD5" w:rsidRDefault="00CB32CC" w:rsidP="00440A7E">
      <w:pPr>
        <w:pStyle w:val="04LOLglNew4"/>
        <w:rPr>
          <w:lang w:val="fr-CA"/>
        </w:rPr>
      </w:pPr>
      <w:r w:rsidRPr="00B63BD5">
        <w:rPr>
          <w:lang w:val="fr-CA"/>
        </w:rPr>
        <w:t>un</w:t>
      </w:r>
      <w:r w:rsidR="00377256" w:rsidRPr="00B63BD5">
        <w:rPr>
          <w:lang w:val="fr-CA"/>
        </w:rPr>
        <w:t>e déclaration d</w:t>
      </w:r>
      <w:r w:rsidR="00564B0C" w:rsidRPr="00B63BD5">
        <w:rPr>
          <w:lang w:val="fr-CA"/>
        </w:rPr>
        <w:t>’</w:t>
      </w:r>
      <w:r w:rsidR="0094679D" w:rsidRPr="00B63BD5">
        <w:rPr>
          <w:lang w:val="fr-CA"/>
        </w:rPr>
        <w:t>inventaire</w:t>
      </w:r>
      <w:r w:rsidRPr="00B63BD5">
        <w:rPr>
          <w:lang w:val="fr-CA"/>
        </w:rPr>
        <w:t xml:space="preserve">; </w:t>
      </w:r>
    </w:p>
    <w:p w14:paraId="4F8E2CA6" w14:textId="069E09F3" w:rsidR="00CB7D16" w:rsidRPr="00B63BD5" w:rsidRDefault="00CB32CC" w:rsidP="00440A7E">
      <w:pPr>
        <w:pStyle w:val="04LOLglNew4"/>
        <w:rPr>
          <w:lang w:val="fr-CA"/>
        </w:rPr>
      </w:pPr>
      <w:r w:rsidRPr="00B63BD5">
        <w:rPr>
          <w:lang w:val="fr-CA"/>
        </w:rPr>
        <w:t>un certificat de conformité relatif à la marge et un certificat de conformité relatif aux</w:t>
      </w:r>
      <w:r w:rsidR="008C2CEA" w:rsidRPr="00B63BD5">
        <w:rPr>
          <w:lang w:val="fr-CA"/>
        </w:rPr>
        <w:t> </w:t>
      </w:r>
      <w:r w:rsidRPr="00B63BD5">
        <w:rPr>
          <w:lang w:val="fr-CA"/>
        </w:rPr>
        <w:t xml:space="preserve">engagements </w:t>
      </w:r>
      <w:r w:rsidR="00E26217" w:rsidRPr="00B63BD5">
        <w:rPr>
          <w:lang w:val="fr-CA"/>
        </w:rPr>
        <w:t xml:space="preserve">établis selon le modèle requis par </w:t>
      </w:r>
      <w:r w:rsidRPr="00B63BD5">
        <w:rPr>
          <w:lang w:val="fr-CA"/>
        </w:rPr>
        <w:t xml:space="preserve">la Banque; </w:t>
      </w:r>
    </w:p>
    <w:p w14:paraId="1C53CDC0" w14:textId="651B9329" w:rsidR="009926E7" w:rsidRPr="00B63BD5" w:rsidRDefault="00CB32CC" w:rsidP="000B7739">
      <w:pPr>
        <w:pStyle w:val="04LOLglNew3"/>
        <w:rPr>
          <w:lang w:val="fr-CA"/>
        </w:rPr>
      </w:pPr>
      <w:r w:rsidRPr="00B63BD5">
        <w:rPr>
          <w:lang w:val="fr-CA"/>
        </w:rPr>
        <w:t xml:space="preserve">chaque année, dans les </w:t>
      </w:r>
      <w:r w:rsidR="00A03507" w:rsidRPr="00B63BD5">
        <w:rPr>
          <w:lang w:val="fr-CA"/>
        </w:rPr>
        <w:t>●</w:t>
      </w:r>
      <w:r w:rsidR="00AC4107" w:rsidRPr="00B63BD5">
        <w:rPr>
          <w:lang w:val="fr-CA"/>
        </w:rPr>
        <w:t xml:space="preserve"> </w:t>
      </w:r>
      <w:r w:rsidRPr="00B63BD5">
        <w:rPr>
          <w:lang w:val="fr-CA"/>
        </w:rPr>
        <w:t>jours suivant la fin de l</w:t>
      </w:r>
      <w:r w:rsidR="00564B0C" w:rsidRPr="00B63BD5">
        <w:rPr>
          <w:lang w:val="fr-CA"/>
        </w:rPr>
        <w:t>’</w:t>
      </w:r>
      <w:r w:rsidRPr="00B63BD5">
        <w:rPr>
          <w:lang w:val="fr-CA"/>
        </w:rPr>
        <w:t>exercice de l</w:t>
      </w:r>
      <w:r w:rsidR="00564B0C" w:rsidRPr="00B63BD5">
        <w:rPr>
          <w:lang w:val="fr-CA"/>
        </w:rPr>
        <w:t>’</w:t>
      </w:r>
      <w:r w:rsidRPr="00B63BD5">
        <w:rPr>
          <w:lang w:val="fr-CA"/>
        </w:rPr>
        <w:t>Emprunteur</w:t>
      </w:r>
      <w:r w:rsidR="00AC4107" w:rsidRPr="00B63BD5">
        <w:rPr>
          <w:lang w:val="fr-CA"/>
        </w:rPr>
        <w:t xml:space="preserve"> </w:t>
      </w:r>
      <w:r w:rsidRPr="00B63BD5">
        <w:rPr>
          <w:lang w:val="fr-CA"/>
        </w:rPr>
        <w:t xml:space="preserve">: </w:t>
      </w:r>
    </w:p>
    <w:p w14:paraId="5608F260" w14:textId="54E030BB" w:rsidR="009926E7" w:rsidRPr="00B63BD5" w:rsidRDefault="00CB32CC" w:rsidP="00440A7E">
      <w:pPr>
        <w:pStyle w:val="04LOLglNew4"/>
        <w:rPr>
          <w:lang w:val="fr-CA"/>
        </w:rPr>
      </w:pPr>
      <w:r w:rsidRPr="00B63BD5">
        <w:rPr>
          <w:lang w:val="fr-CA"/>
        </w:rPr>
        <w:t>les états financiers consolidés [et non consolidés] [audités] [</w:t>
      </w:r>
      <w:r w:rsidR="00377256" w:rsidRPr="00B63BD5">
        <w:rPr>
          <w:lang w:val="fr-CA"/>
        </w:rPr>
        <w:t xml:space="preserve">en version </w:t>
      </w:r>
      <w:r w:rsidRPr="00B63BD5">
        <w:rPr>
          <w:lang w:val="fr-CA"/>
        </w:rPr>
        <w:t>mission d</w:t>
      </w:r>
      <w:r w:rsidR="00564B0C" w:rsidRPr="00B63BD5">
        <w:rPr>
          <w:lang w:val="fr-CA"/>
        </w:rPr>
        <w:t>’</w:t>
      </w:r>
      <w:r w:rsidRPr="00B63BD5">
        <w:rPr>
          <w:lang w:val="fr-CA"/>
        </w:rPr>
        <w:t>examen] [</w:t>
      </w:r>
      <w:r w:rsidR="00377256" w:rsidRPr="00B63BD5">
        <w:rPr>
          <w:lang w:val="fr-CA"/>
        </w:rPr>
        <w:t>en</w:t>
      </w:r>
      <w:r w:rsidR="008C2CEA" w:rsidRPr="00B63BD5">
        <w:rPr>
          <w:lang w:val="fr-CA"/>
        </w:rPr>
        <w:t> </w:t>
      </w:r>
      <w:r w:rsidR="00377256" w:rsidRPr="00B63BD5">
        <w:rPr>
          <w:lang w:val="fr-CA"/>
        </w:rPr>
        <w:t xml:space="preserve">version </w:t>
      </w:r>
      <w:r w:rsidR="00812768" w:rsidRPr="00B63BD5">
        <w:rPr>
          <w:lang w:val="fr-CA"/>
        </w:rPr>
        <w:t>mission de compilation</w:t>
      </w:r>
      <w:r w:rsidRPr="00B63BD5">
        <w:rPr>
          <w:lang w:val="fr-CA"/>
        </w:rPr>
        <w:t>] de l</w:t>
      </w:r>
      <w:r w:rsidR="00564B0C" w:rsidRPr="00B63BD5">
        <w:rPr>
          <w:lang w:val="fr-CA"/>
        </w:rPr>
        <w:t>’</w:t>
      </w:r>
      <w:r w:rsidRPr="00B63BD5">
        <w:rPr>
          <w:lang w:val="fr-CA"/>
        </w:rPr>
        <w:t xml:space="preserve">Emprunteur </w:t>
      </w:r>
      <w:r w:rsidR="00123B9C" w:rsidRPr="00B63BD5">
        <w:rPr>
          <w:lang w:val="fr-CA"/>
        </w:rPr>
        <w:t xml:space="preserve">[et du Garant </w:t>
      </w:r>
      <w:r w:rsidR="00123B9C" w:rsidRPr="00B63BD5">
        <w:rPr>
          <w:b/>
          <w:color w:val="00B0F0"/>
          <w:highlight w:val="yellow"/>
          <w:lang w:val="fr-CA"/>
        </w:rPr>
        <w:t>OU</w:t>
      </w:r>
      <w:r w:rsidR="00123B9C" w:rsidRPr="00B63BD5">
        <w:rPr>
          <w:lang w:val="fr-CA"/>
        </w:rPr>
        <w:t xml:space="preserve"> </w:t>
      </w:r>
      <w:r w:rsidR="007A6048" w:rsidRPr="00B63BD5">
        <w:rPr>
          <w:lang w:val="fr-CA"/>
        </w:rPr>
        <w:t>et des Garants]</w:t>
      </w:r>
      <w:r w:rsidR="00717EC2" w:rsidRPr="00B63BD5">
        <w:rPr>
          <w:lang w:val="fr-CA"/>
        </w:rPr>
        <w:t xml:space="preserve"> [signés</w:t>
      </w:r>
      <w:r w:rsidR="00C61CB0" w:rsidRPr="00B63BD5">
        <w:rPr>
          <w:lang w:val="fr-CA"/>
        </w:rPr>
        <w:t> </w:t>
      </w:r>
      <w:r w:rsidR="00717EC2" w:rsidRPr="00B63BD5">
        <w:rPr>
          <w:lang w:val="fr-CA"/>
        </w:rPr>
        <w:t>par</w:t>
      </w:r>
      <w:r w:rsidR="008C2CEA" w:rsidRPr="00B63BD5">
        <w:rPr>
          <w:lang w:val="fr-CA"/>
        </w:rPr>
        <w:t> </w:t>
      </w:r>
      <w:r w:rsidR="00717EC2" w:rsidRPr="00B63BD5">
        <w:rPr>
          <w:lang w:val="fr-CA"/>
        </w:rPr>
        <w:t>[l</w:t>
      </w:r>
      <w:r w:rsidR="00564B0C" w:rsidRPr="00B63BD5">
        <w:rPr>
          <w:lang w:val="fr-CA"/>
        </w:rPr>
        <w:t>’</w:t>
      </w:r>
      <w:r w:rsidR="00717EC2" w:rsidRPr="00B63BD5">
        <w:rPr>
          <w:lang w:val="fr-CA"/>
        </w:rPr>
        <w:t xml:space="preserve">Emprunteur][le Garant </w:t>
      </w:r>
      <w:r w:rsidR="00717EC2" w:rsidRPr="00B63BD5">
        <w:rPr>
          <w:b/>
          <w:color w:val="00B0F0"/>
          <w:highlight w:val="yellow"/>
          <w:lang w:val="fr-CA"/>
        </w:rPr>
        <w:t>OU</w:t>
      </w:r>
      <w:r w:rsidR="00717EC2" w:rsidRPr="00B63BD5">
        <w:rPr>
          <w:lang w:val="fr-CA"/>
        </w:rPr>
        <w:t xml:space="preserve"> les Garants]]</w:t>
      </w:r>
      <w:r w:rsidRPr="00B63BD5">
        <w:rPr>
          <w:lang w:val="fr-CA"/>
        </w:rPr>
        <w:t>;</w:t>
      </w:r>
    </w:p>
    <w:p w14:paraId="30472C7C" w14:textId="3D40F9CA" w:rsidR="00CE6EE6" w:rsidRPr="00B63BD5" w:rsidRDefault="00471C39" w:rsidP="00440A7E">
      <w:pPr>
        <w:pStyle w:val="04LOLglNew4"/>
        <w:rPr>
          <w:lang w:val="fr-CA"/>
        </w:rPr>
      </w:pPr>
      <w:r w:rsidRPr="00B63BD5">
        <w:rPr>
          <w:lang w:val="fr-CA"/>
        </w:rPr>
        <w:lastRenderedPageBreak/>
        <w:t>[</w:t>
      </w:r>
      <w:r w:rsidR="00CB32CC" w:rsidRPr="00B63BD5">
        <w:rPr>
          <w:lang w:val="fr-CA"/>
        </w:rPr>
        <w:t>un plan d</w:t>
      </w:r>
      <w:r w:rsidR="00564B0C" w:rsidRPr="00B63BD5">
        <w:rPr>
          <w:lang w:val="fr-CA"/>
        </w:rPr>
        <w:t>’</w:t>
      </w:r>
      <w:r w:rsidR="00CB32CC" w:rsidRPr="00B63BD5">
        <w:rPr>
          <w:lang w:val="fr-CA"/>
        </w:rPr>
        <w:t>affaires détaillé, y</w:t>
      </w:r>
      <w:r w:rsidR="00AC4107" w:rsidRPr="00B63BD5">
        <w:rPr>
          <w:lang w:val="fr-CA"/>
        </w:rPr>
        <w:t xml:space="preserve"> </w:t>
      </w:r>
      <w:r w:rsidR="00CB32CC" w:rsidRPr="00B63BD5">
        <w:rPr>
          <w:lang w:val="fr-CA"/>
        </w:rPr>
        <w:t>compris</w:t>
      </w:r>
      <w:r w:rsidRPr="00B63BD5">
        <w:rPr>
          <w:lang w:val="fr-CA"/>
        </w:rPr>
        <w:t>]</w:t>
      </w:r>
      <w:r w:rsidR="00CB32CC" w:rsidRPr="00B63BD5">
        <w:rPr>
          <w:lang w:val="fr-CA"/>
        </w:rPr>
        <w:t xml:space="preserve"> </w:t>
      </w:r>
      <w:r w:rsidR="00E26217" w:rsidRPr="00B63BD5">
        <w:rPr>
          <w:lang w:val="fr-CA"/>
        </w:rPr>
        <w:t>l</w:t>
      </w:r>
      <w:r w:rsidR="00CB32CC" w:rsidRPr="00B63BD5">
        <w:rPr>
          <w:lang w:val="fr-CA"/>
        </w:rPr>
        <w:t xml:space="preserve">es états financiers pro forma, </w:t>
      </w:r>
      <w:r w:rsidR="00E26217" w:rsidRPr="00B63BD5">
        <w:rPr>
          <w:lang w:val="fr-CA"/>
        </w:rPr>
        <w:t>l</w:t>
      </w:r>
      <w:r w:rsidR="00CB32CC" w:rsidRPr="00B63BD5">
        <w:rPr>
          <w:lang w:val="fr-CA"/>
        </w:rPr>
        <w:t xml:space="preserve">es prévisions de trésorerie et le budget </w:t>
      </w:r>
      <w:r w:rsidR="00E26217" w:rsidRPr="00B63BD5">
        <w:rPr>
          <w:lang w:val="fr-CA"/>
        </w:rPr>
        <w:t>pour le prochain</w:t>
      </w:r>
      <w:r w:rsidR="00CB32CC" w:rsidRPr="00B63BD5">
        <w:rPr>
          <w:lang w:val="fr-CA"/>
        </w:rPr>
        <w:t xml:space="preserve"> exercice</w:t>
      </w:r>
      <w:r w:rsidRPr="00B63BD5">
        <w:rPr>
          <w:lang w:val="fr-CA"/>
        </w:rPr>
        <w:t xml:space="preserve"> (par mois)</w:t>
      </w:r>
      <w:r w:rsidR="00CB32CC" w:rsidRPr="00B63BD5">
        <w:rPr>
          <w:lang w:val="fr-CA"/>
        </w:rPr>
        <w:t xml:space="preserve"> de l</w:t>
      </w:r>
      <w:r w:rsidR="00564B0C" w:rsidRPr="00B63BD5">
        <w:rPr>
          <w:lang w:val="fr-CA"/>
        </w:rPr>
        <w:t>’</w:t>
      </w:r>
      <w:r w:rsidR="00CB32CC" w:rsidRPr="00B63BD5">
        <w:rPr>
          <w:lang w:val="fr-CA"/>
        </w:rPr>
        <w:t xml:space="preserve">Emprunteur [et du </w:t>
      </w:r>
      <w:r w:rsidR="00DC718F" w:rsidRPr="00B63BD5">
        <w:rPr>
          <w:lang w:val="fr-CA"/>
        </w:rPr>
        <w:t xml:space="preserve">Garant </w:t>
      </w:r>
      <w:r w:rsidR="00DC718F" w:rsidRPr="00B63BD5">
        <w:rPr>
          <w:b/>
          <w:color w:val="00B0F0"/>
          <w:highlight w:val="yellow"/>
          <w:lang w:val="fr-CA"/>
        </w:rPr>
        <w:t>OU</w:t>
      </w:r>
      <w:r w:rsidR="008C2CEA" w:rsidRPr="00B63BD5">
        <w:rPr>
          <w:lang w:val="fr-CA"/>
        </w:rPr>
        <w:t> </w:t>
      </w:r>
      <w:r w:rsidR="00CB32CC" w:rsidRPr="00B63BD5">
        <w:rPr>
          <w:lang w:val="fr-CA"/>
        </w:rPr>
        <w:t>des</w:t>
      </w:r>
      <w:r w:rsidR="008C2CEA" w:rsidRPr="00B63BD5">
        <w:rPr>
          <w:lang w:val="fr-CA"/>
        </w:rPr>
        <w:t> </w:t>
      </w:r>
      <w:r w:rsidR="00CB32CC" w:rsidRPr="00B63BD5">
        <w:rPr>
          <w:lang w:val="fr-CA"/>
        </w:rPr>
        <w:t>Garants]</w:t>
      </w:r>
      <w:r w:rsidRPr="00B63BD5">
        <w:rPr>
          <w:lang w:val="fr-CA"/>
        </w:rPr>
        <w:t xml:space="preserve"> [</w:t>
      </w:r>
      <w:r w:rsidR="00CB32CC" w:rsidRPr="00B63BD5">
        <w:rPr>
          <w:lang w:val="fr-CA"/>
        </w:rPr>
        <w:t xml:space="preserve">, </w:t>
      </w:r>
      <w:r w:rsidRPr="00B63BD5">
        <w:rPr>
          <w:lang w:val="fr-CA"/>
        </w:rPr>
        <w:t>si</w:t>
      </w:r>
      <w:r w:rsidR="00C61CB0" w:rsidRPr="00B63BD5">
        <w:rPr>
          <w:lang w:val="fr-CA"/>
        </w:rPr>
        <w:t> </w:t>
      </w:r>
      <w:r w:rsidRPr="00B63BD5">
        <w:rPr>
          <w:lang w:val="fr-CA"/>
        </w:rPr>
        <w:t>la Banque en fait la demande]</w:t>
      </w:r>
      <w:r w:rsidR="00CB32CC" w:rsidRPr="00B63BD5">
        <w:rPr>
          <w:lang w:val="fr-CA"/>
        </w:rPr>
        <w:t xml:space="preserve">; </w:t>
      </w:r>
    </w:p>
    <w:p w14:paraId="35826232" w14:textId="27A0FC0A" w:rsidR="00123B9C" w:rsidRPr="00B63BD5" w:rsidRDefault="00123B9C" w:rsidP="00440A7E">
      <w:pPr>
        <w:pStyle w:val="04LOLglNew4"/>
        <w:rPr>
          <w:lang w:val="fr-CA"/>
        </w:rPr>
      </w:pPr>
      <w:r w:rsidRPr="00B63BD5">
        <w:rPr>
          <w:lang w:val="fr-CA"/>
        </w:rPr>
        <w:t>les états financiers personnels de ●</w:t>
      </w:r>
      <w:r w:rsidR="00122508" w:rsidRPr="00B63BD5">
        <w:rPr>
          <w:lang w:val="fr-CA"/>
        </w:rPr>
        <w:t xml:space="preserve"> </w:t>
      </w:r>
      <w:r w:rsidR="00471C39" w:rsidRPr="00B63BD5">
        <w:rPr>
          <w:lang w:val="fr-CA"/>
        </w:rPr>
        <w:t>[, si la Banque en fait la demande]</w:t>
      </w:r>
      <w:r w:rsidRPr="00B63BD5">
        <w:rPr>
          <w:lang w:val="fr-CA"/>
        </w:rPr>
        <w:t>;</w:t>
      </w:r>
    </w:p>
    <w:p w14:paraId="65FDE723" w14:textId="3F473912" w:rsidR="00A5047E" w:rsidRPr="00B63BD5" w:rsidRDefault="00CB32CC" w:rsidP="00440A7E">
      <w:pPr>
        <w:pStyle w:val="04LOLglNew4"/>
        <w:rPr>
          <w:lang w:val="fr-CA"/>
        </w:rPr>
      </w:pPr>
      <w:r w:rsidRPr="00B63BD5">
        <w:rPr>
          <w:lang w:val="fr-CA"/>
        </w:rPr>
        <w:t xml:space="preserve">un état du flux de trésorerie disponible détaillé </w:t>
      </w:r>
      <w:r w:rsidR="00E26217" w:rsidRPr="00B63BD5">
        <w:rPr>
          <w:lang w:val="fr-CA"/>
        </w:rPr>
        <w:t>[mensuel] [trimestriel] [annuel] pour</w:t>
      </w:r>
      <w:r w:rsidR="008C2CEA" w:rsidRPr="00B63BD5">
        <w:rPr>
          <w:lang w:val="fr-CA"/>
        </w:rPr>
        <w:t> </w:t>
      </w:r>
      <w:r w:rsidRPr="00B63BD5">
        <w:rPr>
          <w:lang w:val="fr-CA"/>
        </w:rPr>
        <w:t>l</w:t>
      </w:r>
      <w:r w:rsidR="00564B0C" w:rsidRPr="00B63BD5">
        <w:rPr>
          <w:lang w:val="fr-CA"/>
        </w:rPr>
        <w:t>’</w:t>
      </w:r>
      <w:r w:rsidRPr="00B63BD5">
        <w:rPr>
          <w:lang w:val="fr-CA"/>
        </w:rPr>
        <w:t>exercice</w:t>
      </w:r>
      <w:r w:rsidR="008C2CEA" w:rsidRPr="00B63BD5">
        <w:rPr>
          <w:lang w:val="fr-CA"/>
        </w:rPr>
        <w:t> </w:t>
      </w:r>
      <w:r w:rsidR="00137C93" w:rsidRPr="00B63BD5">
        <w:rPr>
          <w:lang w:val="fr-CA"/>
        </w:rPr>
        <w:t>précédent</w:t>
      </w:r>
      <w:r w:rsidRPr="00B63BD5">
        <w:rPr>
          <w:lang w:val="fr-CA"/>
        </w:rPr>
        <w:t xml:space="preserve">; </w:t>
      </w:r>
    </w:p>
    <w:p w14:paraId="589914C9" w14:textId="1AA59F59" w:rsidR="00335897" w:rsidRPr="00B63BD5" w:rsidRDefault="00CB32CC" w:rsidP="00440A7E">
      <w:pPr>
        <w:pStyle w:val="04LOLglNew4"/>
        <w:rPr>
          <w:lang w:val="fr-CA"/>
        </w:rPr>
      </w:pPr>
      <w:r w:rsidRPr="00B63BD5">
        <w:rPr>
          <w:lang w:val="fr-CA"/>
        </w:rPr>
        <w:t>une preuve du paiement des taxes foncières relatives</w:t>
      </w:r>
      <w:r w:rsidR="008F5FE1" w:rsidRPr="00B63BD5">
        <w:rPr>
          <w:lang w:val="fr-CA"/>
        </w:rPr>
        <w:t xml:space="preserve"> à la Propriété</w:t>
      </w:r>
      <w:r w:rsidR="00123B9C" w:rsidRPr="00B63BD5">
        <w:rPr>
          <w:lang w:val="fr-CA"/>
        </w:rPr>
        <w:t>;</w:t>
      </w:r>
    </w:p>
    <w:p w14:paraId="03BF5284" w14:textId="1A228B6C" w:rsidR="009926E7" w:rsidRPr="00B63BD5" w:rsidRDefault="00CB32CC" w:rsidP="000B7739">
      <w:pPr>
        <w:pStyle w:val="04LOLglNew3"/>
        <w:rPr>
          <w:lang w:val="fr-CA"/>
        </w:rPr>
      </w:pPr>
      <w:r w:rsidRPr="00B63BD5">
        <w:rPr>
          <w:lang w:val="fr-CA"/>
        </w:rPr>
        <w:t xml:space="preserve">chaque année, dans les </w:t>
      </w:r>
      <w:r w:rsidR="00045504" w:rsidRPr="00B63BD5">
        <w:rPr>
          <w:lang w:val="fr-CA"/>
        </w:rPr>
        <w:t>●</w:t>
      </w:r>
      <w:r w:rsidR="00AC4107" w:rsidRPr="00B63BD5">
        <w:rPr>
          <w:lang w:val="fr-CA"/>
        </w:rPr>
        <w:t xml:space="preserve"> </w:t>
      </w:r>
      <w:r w:rsidRPr="00B63BD5">
        <w:rPr>
          <w:lang w:val="fr-CA"/>
        </w:rPr>
        <w:t xml:space="preserve">jours </w:t>
      </w:r>
      <w:r w:rsidR="00137C93" w:rsidRPr="00B63BD5">
        <w:rPr>
          <w:lang w:val="fr-CA"/>
        </w:rPr>
        <w:t xml:space="preserve">suivant </w:t>
      </w:r>
      <w:r w:rsidRPr="00B63BD5">
        <w:rPr>
          <w:lang w:val="fr-CA"/>
        </w:rPr>
        <w:t>la fin de l</w:t>
      </w:r>
      <w:r w:rsidR="00564B0C" w:rsidRPr="00B63BD5">
        <w:rPr>
          <w:lang w:val="fr-CA"/>
        </w:rPr>
        <w:t>’</w:t>
      </w:r>
      <w:r w:rsidRPr="00B63BD5">
        <w:rPr>
          <w:lang w:val="fr-CA"/>
        </w:rPr>
        <w:t xml:space="preserve">exercice de chaque Garant, </w:t>
      </w:r>
      <w:r w:rsidR="009039EC" w:rsidRPr="00B63BD5">
        <w:rPr>
          <w:lang w:val="fr-CA"/>
        </w:rPr>
        <w:t>l</w:t>
      </w:r>
      <w:r w:rsidRPr="00B63BD5">
        <w:rPr>
          <w:lang w:val="fr-CA"/>
        </w:rPr>
        <w:t xml:space="preserve">es états financiers consolidés [et non consolidés] </w:t>
      </w:r>
      <w:r w:rsidR="0003636F" w:rsidRPr="00B63BD5">
        <w:rPr>
          <w:lang w:val="fr-CA"/>
        </w:rPr>
        <w:t>[audités] [</w:t>
      </w:r>
      <w:r w:rsidR="008F5FE1" w:rsidRPr="00B63BD5">
        <w:rPr>
          <w:lang w:val="fr-CA"/>
        </w:rPr>
        <w:t>en version</w:t>
      </w:r>
      <w:r w:rsidR="00B63306" w:rsidRPr="00B63BD5">
        <w:rPr>
          <w:lang w:val="fr-CA"/>
        </w:rPr>
        <w:t xml:space="preserve"> </w:t>
      </w:r>
      <w:r w:rsidR="0003636F" w:rsidRPr="00B63BD5">
        <w:rPr>
          <w:lang w:val="fr-CA"/>
        </w:rPr>
        <w:t>mission d</w:t>
      </w:r>
      <w:r w:rsidR="00564B0C" w:rsidRPr="00B63BD5">
        <w:rPr>
          <w:lang w:val="fr-CA"/>
        </w:rPr>
        <w:t>’</w:t>
      </w:r>
      <w:r w:rsidR="0003636F" w:rsidRPr="00B63BD5">
        <w:rPr>
          <w:lang w:val="fr-CA"/>
        </w:rPr>
        <w:t>examen] [</w:t>
      </w:r>
      <w:r w:rsidR="008F5FE1" w:rsidRPr="00B63BD5">
        <w:rPr>
          <w:lang w:val="fr-CA"/>
        </w:rPr>
        <w:t xml:space="preserve">en version </w:t>
      </w:r>
      <w:r w:rsidR="00812768" w:rsidRPr="00B63BD5">
        <w:rPr>
          <w:lang w:val="fr-CA"/>
        </w:rPr>
        <w:t>mission de compilation</w:t>
      </w:r>
      <w:r w:rsidR="0003636F" w:rsidRPr="00B63BD5">
        <w:rPr>
          <w:lang w:val="fr-CA"/>
        </w:rPr>
        <w:t>]</w:t>
      </w:r>
      <w:r w:rsidR="008F5FE1" w:rsidRPr="00B63BD5">
        <w:rPr>
          <w:lang w:val="fr-CA"/>
        </w:rPr>
        <w:t xml:space="preserve"> de chaque</w:t>
      </w:r>
      <w:r w:rsidR="0003636F" w:rsidRPr="00B63BD5">
        <w:rPr>
          <w:lang w:val="fr-CA"/>
        </w:rPr>
        <w:t xml:space="preserve"> Garant ; </w:t>
      </w:r>
    </w:p>
    <w:p w14:paraId="5DCD5038" w14:textId="0917DAF4" w:rsidR="009926E7" w:rsidRPr="00B63BD5" w:rsidRDefault="0003636F" w:rsidP="000B7739">
      <w:pPr>
        <w:pStyle w:val="04LOLglNew3"/>
        <w:rPr>
          <w:lang w:val="fr-CA"/>
        </w:rPr>
      </w:pPr>
      <w:r w:rsidRPr="00B63BD5">
        <w:rPr>
          <w:lang w:val="fr-CA"/>
        </w:rPr>
        <w:t>les états et les renseignements</w:t>
      </w:r>
      <w:r w:rsidR="00B81530" w:rsidRPr="00B63BD5">
        <w:rPr>
          <w:lang w:val="fr-CA"/>
        </w:rPr>
        <w:t xml:space="preserve"> financiers</w:t>
      </w:r>
      <w:r w:rsidRPr="00B63BD5">
        <w:rPr>
          <w:lang w:val="fr-CA"/>
        </w:rPr>
        <w:t xml:space="preserve"> supplémentaires </w:t>
      </w:r>
      <w:r w:rsidR="00FB2306" w:rsidRPr="00B63BD5">
        <w:rPr>
          <w:lang w:val="fr-CA"/>
        </w:rPr>
        <w:t xml:space="preserve">demandés </w:t>
      </w:r>
      <w:r w:rsidR="00B81530" w:rsidRPr="00B63BD5">
        <w:rPr>
          <w:lang w:val="fr-CA"/>
        </w:rPr>
        <w:t xml:space="preserve">par </w:t>
      </w:r>
      <w:r w:rsidRPr="00B63BD5">
        <w:rPr>
          <w:lang w:val="fr-CA"/>
        </w:rPr>
        <w:t>la Banque</w:t>
      </w:r>
      <w:r w:rsidR="00FB2306" w:rsidRPr="00B63BD5">
        <w:rPr>
          <w:lang w:val="fr-CA"/>
        </w:rPr>
        <w:t xml:space="preserve"> et au moment où elle les demande</w:t>
      </w:r>
      <w:r w:rsidRPr="00B63BD5">
        <w:rPr>
          <w:lang w:val="fr-CA"/>
        </w:rPr>
        <w:t xml:space="preserve">. </w:t>
      </w:r>
    </w:p>
    <w:p w14:paraId="288B4C03" w14:textId="4B57B85A" w:rsidR="00C47584" w:rsidRPr="00B63BD5" w:rsidRDefault="0003636F" w:rsidP="009027EF">
      <w:pPr>
        <w:pStyle w:val="04LOLglNew1"/>
        <w:rPr>
          <w:lang w:val="fr-CA"/>
        </w:rPr>
      </w:pPr>
      <w:r w:rsidRPr="00B63BD5">
        <w:rPr>
          <w:lang w:val="fr-CA"/>
        </w:rPr>
        <w:t>Exemplaires et communications électroniques</w:t>
      </w:r>
    </w:p>
    <w:p w14:paraId="02EFD680" w14:textId="44975A13" w:rsidR="00C47584" w:rsidRPr="00B63BD5" w:rsidRDefault="0003636F" w:rsidP="00632863">
      <w:pPr>
        <w:spacing w:after="240"/>
        <w:jc w:val="both"/>
        <w:rPr>
          <w:lang w:val="fr-CA"/>
        </w:rPr>
      </w:pPr>
      <w:r w:rsidRPr="00B63BD5">
        <w:rPr>
          <w:lang w:val="fr-CA"/>
        </w:rPr>
        <w:t xml:space="preserve">La présente Lettre </w:t>
      </w:r>
      <w:r w:rsidR="00B23F66" w:rsidRPr="00B63BD5">
        <w:rPr>
          <w:lang w:val="fr-CA"/>
        </w:rPr>
        <w:t xml:space="preserve">relative aux facilités </w:t>
      </w:r>
      <w:r w:rsidRPr="00B63BD5">
        <w:rPr>
          <w:lang w:val="fr-CA"/>
        </w:rPr>
        <w:t>(</w:t>
      </w:r>
      <w:r w:rsidR="00B23F66" w:rsidRPr="00B63BD5">
        <w:rPr>
          <w:lang w:val="fr-CA"/>
        </w:rPr>
        <w:t>ainsi que</w:t>
      </w:r>
      <w:r w:rsidRPr="00B63BD5">
        <w:rPr>
          <w:lang w:val="fr-CA"/>
        </w:rPr>
        <w:t xml:space="preserve"> chaque Document de prêt) peut être signé</w:t>
      </w:r>
      <w:r w:rsidR="00B23F66" w:rsidRPr="00B63BD5">
        <w:rPr>
          <w:lang w:val="fr-CA"/>
        </w:rPr>
        <w:t>e</w:t>
      </w:r>
      <w:r w:rsidRPr="00B63BD5">
        <w:rPr>
          <w:lang w:val="fr-CA"/>
        </w:rPr>
        <w:t xml:space="preserve"> à la main ou</w:t>
      </w:r>
      <w:r w:rsidR="008C2CEA" w:rsidRPr="00B63BD5">
        <w:rPr>
          <w:lang w:val="fr-CA"/>
        </w:rPr>
        <w:t> </w:t>
      </w:r>
      <w:r w:rsidRPr="00B63BD5">
        <w:rPr>
          <w:lang w:val="fr-CA"/>
        </w:rPr>
        <w:t xml:space="preserve">sous forme électronique </w:t>
      </w:r>
      <w:r w:rsidR="00FB2306" w:rsidRPr="00B63BD5">
        <w:rPr>
          <w:lang w:val="fr-CA"/>
        </w:rPr>
        <w:t>au moyen d</w:t>
      </w:r>
      <w:r w:rsidR="00564B0C" w:rsidRPr="00B63BD5">
        <w:rPr>
          <w:lang w:val="fr-CA"/>
        </w:rPr>
        <w:t>’</w:t>
      </w:r>
      <w:r w:rsidRPr="00B63BD5">
        <w:rPr>
          <w:lang w:val="fr-CA"/>
        </w:rPr>
        <w:t>une technologie que la Banque juge acceptable. Pour attester la</w:t>
      </w:r>
      <w:r w:rsidR="008C2CEA" w:rsidRPr="00B63BD5">
        <w:rPr>
          <w:lang w:val="fr-CA"/>
        </w:rPr>
        <w:t> </w:t>
      </w:r>
      <w:r w:rsidRPr="00B63BD5">
        <w:rPr>
          <w:lang w:val="fr-CA"/>
        </w:rPr>
        <w:t xml:space="preserve">signature de la présente Lettre </w:t>
      </w:r>
      <w:r w:rsidR="00B23F66" w:rsidRPr="00B63BD5">
        <w:rPr>
          <w:lang w:val="fr-CA"/>
        </w:rPr>
        <w:t>relative aux facilités</w:t>
      </w:r>
      <w:r w:rsidRPr="00B63BD5">
        <w:rPr>
          <w:lang w:val="fr-CA"/>
        </w:rPr>
        <w:t xml:space="preserve"> (ou de l</w:t>
      </w:r>
      <w:r w:rsidR="00564B0C" w:rsidRPr="00B63BD5">
        <w:rPr>
          <w:lang w:val="fr-CA"/>
        </w:rPr>
        <w:t>’</w:t>
      </w:r>
      <w:r w:rsidRPr="00B63BD5">
        <w:rPr>
          <w:lang w:val="fr-CA"/>
        </w:rPr>
        <w:t>un ou l</w:t>
      </w:r>
      <w:r w:rsidR="00564B0C" w:rsidRPr="00B63BD5">
        <w:rPr>
          <w:lang w:val="fr-CA"/>
        </w:rPr>
        <w:t>’</w:t>
      </w:r>
      <w:r w:rsidRPr="00B63BD5">
        <w:rPr>
          <w:lang w:val="fr-CA"/>
        </w:rPr>
        <w:t>autre des Documents de prêt), l</w:t>
      </w:r>
      <w:r w:rsidR="00564B0C" w:rsidRPr="00B63BD5">
        <w:rPr>
          <w:lang w:val="fr-CA"/>
        </w:rPr>
        <w:t>’</w:t>
      </w:r>
      <w:r w:rsidRPr="00B63BD5">
        <w:rPr>
          <w:lang w:val="fr-CA"/>
        </w:rPr>
        <w:t xml:space="preserve">Emprunteur </w:t>
      </w:r>
      <w:r w:rsidR="00FB2306" w:rsidRPr="00B63BD5">
        <w:rPr>
          <w:lang w:val="fr-CA"/>
        </w:rPr>
        <w:t xml:space="preserve">ou </w:t>
      </w:r>
      <w:r w:rsidRPr="00B63BD5">
        <w:rPr>
          <w:lang w:val="fr-CA"/>
        </w:rPr>
        <w:t xml:space="preserve">le Garant, selon le cas, doit remettre </w:t>
      </w:r>
      <w:r w:rsidR="00FB2306" w:rsidRPr="00B63BD5">
        <w:rPr>
          <w:lang w:val="fr-CA"/>
        </w:rPr>
        <w:t xml:space="preserve">en mains propres </w:t>
      </w:r>
      <w:r w:rsidRPr="00B63BD5">
        <w:rPr>
          <w:lang w:val="fr-CA"/>
        </w:rPr>
        <w:t>à la Banque un exemplaire signé de chaque</w:t>
      </w:r>
      <w:r w:rsidR="00B23F66" w:rsidRPr="00B63BD5">
        <w:rPr>
          <w:lang w:val="fr-CA"/>
        </w:rPr>
        <w:t xml:space="preserve"> document</w:t>
      </w:r>
      <w:r w:rsidRPr="00B63BD5">
        <w:rPr>
          <w:lang w:val="fr-CA"/>
        </w:rPr>
        <w:t xml:space="preserve"> portant </w:t>
      </w:r>
      <w:r w:rsidR="00B23F66" w:rsidRPr="00B63BD5">
        <w:rPr>
          <w:lang w:val="fr-CA"/>
        </w:rPr>
        <w:t>l</w:t>
      </w:r>
      <w:r w:rsidRPr="00B63BD5">
        <w:rPr>
          <w:lang w:val="fr-CA"/>
        </w:rPr>
        <w:t xml:space="preserve">es signatures manuscrites originales des signataires dûment autorisés </w:t>
      </w:r>
      <w:r w:rsidR="002037D6" w:rsidRPr="00B63BD5">
        <w:rPr>
          <w:lang w:val="fr-CA"/>
        </w:rPr>
        <w:t>de</w:t>
      </w:r>
      <w:r w:rsidR="008C2CEA" w:rsidRPr="00B63BD5">
        <w:rPr>
          <w:lang w:val="fr-CA"/>
        </w:rPr>
        <w:t> </w:t>
      </w:r>
      <w:r w:rsidR="002037D6" w:rsidRPr="00B63BD5">
        <w:rPr>
          <w:lang w:val="fr-CA"/>
        </w:rPr>
        <w:t>chaque Bénéficiaire du crédit</w:t>
      </w:r>
      <w:r w:rsidRPr="00B63BD5">
        <w:rPr>
          <w:lang w:val="fr-CA"/>
        </w:rPr>
        <w:t xml:space="preserve"> </w:t>
      </w:r>
      <w:r w:rsidR="00B23F66" w:rsidRPr="00B63BD5">
        <w:rPr>
          <w:lang w:val="fr-CA"/>
        </w:rPr>
        <w:t>(</w:t>
      </w:r>
      <w:r w:rsidRPr="00B63BD5">
        <w:rPr>
          <w:lang w:val="fr-CA"/>
        </w:rPr>
        <w:t>ou</w:t>
      </w:r>
      <w:r w:rsidR="00C61CB0" w:rsidRPr="00B63BD5">
        <w:rPr>
          <w:lang w:val="fr-CA"/>
        </w:rPr>
        <w:t> </w:t>
      </w:r>
      <w:r w:rsidRPr="00B63BD5">
        <w:rPr>
          <w:lang w:val="fr-CA"/>
        </w:rPr>
        <w:t xml:space="preserve">les signatures électroniques de </w:t>
      </w:r>
      <w:r w:rsidR="00137C93" w:rsidRPr="00B63BD5">
        <w:rPr>
          <w:lang w:val="fr-CA"/>
        </w:rPr>
        <w:t>ceux</w:t>
      </w:r>
      <w:r w:rsidR="00137C93" w:rsidRPr="00B63BD5">
        <w:rPr>
          <w:lang w:val="fr-CA"/>
        </w:rPr>
        <w:noBreakHyphen/>
        <w:t xml:space="preserve">ci </w:t>
      </w:r>
      <w:r w:rsidRPr="00B63BD5">
        <w:rPr>
          <w:lang w:val="fr-CA"/>
        </w:rPr>
        <w:t>si la Banque le permet) ou,</w:t>
      </w:r>
      <w:r w:rsidR="008C2CEA" w:rsidRPr="00B63BD5">
        <w:rPr>
          <w:lang w:val="fr-CA"/>
        </w:rPr>
        <w:t> </w:t>
      </w:r>
      <w:r w:rsidRPr="00B63BD5">
        <w:rPr>
          <w:lang w:val="fr-CA"/>
        </w:rPr>
        <w:t>si</w:t>
      </w:r>
      <w:r w:rsidR="008C2CEA" w:rsidRPr="00B63BD5">
        <w:rPr>
          <w:lang w:val="fr-CA"/>
        </w:rPr>
        <w:t> </w:t>
      </w:r>
      <w:r w:rsidRPr="00B63BD5">
        <w:rPr>
          <w:lang w:val="fr-CA"/>
        </w:rPr>
        <w:t>la</w:t>
      </w:r>
      <w:r w:rsidR="008C2CEA" w:rsidRPr="00B63BD5">
        <w:rPr>
          <w:lang w:val="fr-CA"/>
        </w:rPr>
        <w:t> </w:t>
      </w:r>
      <w:r w:rsidRPr="00B63BD5">
        <w:rPr>
          <w:lang w:val="fr-CA"/>
        </w:rPr>
        <w:t xml:space="preserve">Banque le permet, envoyer </w:t>
      </w:r>
      <w:r w:rsidR="00137C93" w:rsidRPr="00B63BD5">
        <w:rPr>
          <w:lang w:val="fr-CA"/>
        </w:rPr>
        <w:t xml:space="preserve">un tel exemplaire </w:t>
      </w:r>
      <w:r w:rsidR="00B23F66" w:rsidRPr="00B63BD5">
        <w:rPr>
          <w:lang w:val="fr-CA"/>
        </w:rPr>
        <w:t>p</w:t>
      </w:r>
      <w:r w:rsidRPr="00B63BD5">
        <w:rPr>
          <w:lang w:val="fr-CA"/>
        </w:rPr>
        <w:t>ar télécopieur, par courrier électronique ou</w:t>
      </w:r>
      <w:r w:rsidR="008C2CEA" w:rsidRPr="00B63BD5">
        <w:rPr>
          <w:lang w:val="fr-CA"/>
        </w:rPr>
        <w:t> </w:t>
      </w:r>
      <w:r w:rsidRPr="00B63BD5">
        <w:rPr>
          <w:lang w:val="fr-CA"/>
        </w:rPr>
        <w:t>par</w:t>
      </w:r>
      <w:r w:rsidR="008C2CEA" w:rsidRPr="00B63BD5">
        <w:rPr>
          <w:lang w:val="fr-CA"/>
        </w:rPr>
        <w:t> </w:t>
      </w:r>
      <w:r w:rsidRPr="00B63BD5">
        <w:rPr>
          <w:lang w:val="fr-CA"/>
        </w:rPr>
        <w:t>un</w:t>
      </w:r>
      <w:r w:rsidR="008C2CEA" w:rsidRPr="00B63BD5">
        <w:rPr>
          <w:lang w:val="fr-CA"/>
        </w:rPr>
        <w:t> </w:t>
      </w:r>
      <w:r w:rsidRPr="00B63BD5">
        <w:rPr>
          <w:lang w:val="fr-CA"/>
        </w:rPr>
        <w:t>autre moyen de transmission électronique et une telle transmission constitue</w:t>
      </w:r>
      <w:r w:rsidR="00137C93" w:rsidRPr="00B63BD5">
        <w:rPr>
          <w:lang w:val="fr-CA"/>
        </w:rPr>
        <w:t>ra</w:t>
      </w:r>
      <w:r w:rsidRPr="00B63BD5">
        <w:rPr>
          <w:lang w:val="fr-CA"/>
        </w:rPr>
        <w:t xml:space="preserve"> la remise d</w:t>
      </w:r>
      <w:r w:rsidR="00564B0C" w:rsidRPr="00B63BD5">
        <w:rPr>
          <w:lang w:val="fr-CA"/>
        </w:rPr>
        <w:t>’</w:t>
      </w:r>
      <w:r w:rsidRPr="00B63BD5">
        <w:rPr>
          <w:lang w:val="fr-CA"/>
        </w:rPr>
        <w:t>un</w:t>
      </w:r>
      <w:r w:rsidR="008C2CEA" w:rsidRPr="00B63BD5">
        <w:rPr>
          <w:lang w:val="fr-CA"/>
        </w:rPr>
        <w:t> </w:t>
      </w:r>
      <w:r w:rsidR="00B23F66" w:rsidRPr="00B63BD5">
        <w:rPr>
          <w:lang w:val="fr-CA"/>
        </w:rPr>
        <w:t xml:space="preserve">exemplaire </w:t>
      </w:r>
      <w:r w:rsidRPr="00B63BD5">
        <w:rPr>
          <w:lang w:val="fr-CA"/>
        </w:rPr>
        <w:t xml:space="preserve">signé de la Lettre </w:t>
      </w:r>
      <w:r w:rsidR="00B23F66" w:rsidRPr="00B63BD5">
        <w:rPr>
          <w:lang w:val="fr-CA"/>
        </w:rPr>
        <w:t>relative aux facilités</w:t>
      </w:r>
      <w:r w:rsidRPr="00B63BD5">
        <w:rPr>
          <w:lang w:val="fr-CA"/>
        </w:rPr>
        <w:t xml:space="preserve"> ou du Document de prêt pertinent. Si </w:t>
      </w:r>
      <w:r w:rsidR="002037D6" w:rsidRPr="00B63BD5">
        <w:rPr>
          <w:lang w:val="fr-CA"/>
        </w:rPr>
        <w:t xml:space="preserve">un Bénéficiaire du </w:t>
      </w:r>
      <w:r w:rsidR="007A6048" w:rsidRPr="00B63BD5">
        <w:rPr>
          <w:lang w:val="fr-CA"/>
        </w:rPr>
        <w:t>c</w:t>
      </w:r>
      <w:r w:rsidR="002037D6" w:rsidRPr="00B63BD5">
        <w:rPr>
          <w:lang w:val="fr-CA"/>
        </w:rPr>
        <w:t>rédit</w:t>
      </w:r>
      <w:r w:rsidRPr="00B63BD5">
        <w:rPr>
          <w:lang w:val="fr-CA"/>
        </w:rPr>
        <w:t xml:space="preserve"> utilise une signature électronique</w:t>
      </w:r>
      <w:r w:rsidR="00137C93" w:rsidRPr="00B63BD5">
        <w:rPr>
          <w:lang w:val="fr-CA"/>
        </w:rPr>
        <w:t xml:space="preserve"> pour indiquer son acceptation</w:t>
      </w:r>
      <w:r w:rsidRPr="00B63BD5">
        <w:rPr>
          <w:lang w:val="fr-CA"/>
        </w:rPr>
        <w:t xml:space="preserve">, il </w:t>
      </w:r>
      <w:r w:rsidR="00137C93" w:rsidRPr="00B63BD5">
        <w:rPr>
          <w:lang w:val="fr-CA"/>
        </w:rPr>
        <w:t xml:space="preserve">devra </w:t>
      </w:r>
      <w:r w:rsidRPr="00B63BD5">
        <w:rPr>
          <w:lang w:val="fr-CA"/>
        </w:rPr>
        <w:t>s</w:t>
      </w:r>
      <w:r w:rsidR="00564B0C" w:rsidRPr="00B63BD5">
        <w:rPr>
          <w:lang w:val="fr-CA"/>
        </w:rPr>
        <w:t>’</w:t>
      </w:r>
      <w:r w:rsidRPr="00B63BD5">
        <w:rPr>
          <w:lang w:val="fr-CA"/>
        </w:rPr>
        <w:t xml:space="preserve">assurer que </w:t>
      </w:r>
      <w:r w:rsidR="00137C93" w:rsidRPr="00B63BD5">
        <w:rPr>
          <w:lang w:val="fr-CA"/>
        </w:rPr>
        <w:t xml:space="preserve">cette signature électronique </w:t>
      </w:r>
      <w:r w:rsidRPr="00B63BD5">
        <w:rPr>
          <w:lang w:val="fr-CA"/>
        </w:rPr>
        <w:t xml:space="preserve">est jointe ou </w:t>
      </w:r>
      <w:r w:rsidR="00137C93" w:rsidRPr="00B63BD5">
        <w:rPr>
          <w:lang w:val="fr-CA"/>
        </w:rPr>
        <w:t xml:space="preserve">associée </w:t>
      </w:r>
      <w:r w:rsidRPr="00B63BD5">
        <w:rPr>
          <w:lang w:val="fr-CA"/>
        </w:rPr>
        <w:t xml:space="preserve">à la présente Lettre </w:t>
      </w:r>
      <w:r w:rsidR="00B23F66" w:rsidRPr="00B63BD5">
        <w:rPr>
          <w:lang w:val="fr-CA"/>
        </w:rPr>
        <w:t>relative aux facilités</w:t>
      </w:r>
      <w:r w:rsidRPr="00B63BD5">
        <w:rPr>
          <w:lang w:val="fr-CA"/>
        </w:rPr>
        <w:t xml:space="preserve"> (ou au Document de</w:t>
      </w:r>
      <w:r w:rsidR="008C2CEA" w:rsidRPr="00B63BD5">
        <w:rPr>
          <w:lang w:val="fr-CA"/>
        </w:rPr>
        <w:t> </w:t>
      </w:r>
      <w:r w:rsidRPr="00B63BD5">
        <w:rPr>
          <w:lang w:val="fr-CA"/>
        </w:rPr>
        <w:t xml:space="preserve">prêt en question). </w:t>
      </w:r>
      <w:r w:rsidR="007A28C9" w:rsidRPr="00B63BD5">
        <w:rPr>
          <w:lang w:val="fr-CA"/>
        </w:rPr>
        <w:t>La présente Lettre relative aux facilités et chaque Document de prêt peuvent être signés en un ou en plusieurs exemplaires</w:t>
      </w:r>
      <w:r w:rsidR="00016F01" w:rsidRPr="00B63BD5">
        <w:rPr>
          <w:lang w:val="fr-CA"/>
        </w:rPr>
        <w:t>, de l</w:t>
      </w:r>
      <w:r w:rsidR="00564B0C" w:rsidRPr="00B63BD5">
        <w:rPr>
          <w:lang w:val="fr-CA"/>
        </w:rPr>
        <w:t>’</w:t>
      </w:r>
      <w:r w:rsidR="00016F01" w:rsidRPr="00B63BD5">
        <w:rPr>
          <w:lang w:val="fr-CA"/>
        </w:rPr>
        <w:t>une ou l</w:t>
      </w:r>
      <w:r w:rsidR="00564B0C" w:rsidRPr="00B63BD5">
        <w:rPr>
          <w:lang w:val="fr-CA"/>
        </w:rPr>
        <w:t>’</w:t>
      </w:r>
      <w:r w:rsidR="00016F01" w:rsidRPr="00B63BD5">
        <w:rPr>
          <w:lang w:val="fr-CA"/>
        </w:rPr>
        <w:t>autre des manières indiquées ci</w:t>
      </w:r>
      <w:r w:rsidR="00016F01" w:rsidRPr="00B63BD5">
        <w:rPr>
          <w:lang w:val="fr-CA"/>
        </w:rPr>
        <w:noBreakHyphen/>
        <w:t>dessus</w:t>
      </w:r>
      <w:r w:rsidR="007A28C9" w:rsidRPr="00B63BD5">
        <w:rPr>
          <w:lang w:val="fr-CA"/>
        </w:rPr>
        <w:t xml:space="preserve">, </w:t>
      </w:r>
      <w:r w:rsidR="00AE5281" w:rsidRPr="00B63BD5">
        <w:rPr>
          <w:lang w:val="fr-CA"/>
        </w:rPr>
        <w:t>et</w:t>
      </w:r>
      <w:r w:rsidR="008C2CEA" w:rsidRPr="00B63BD5">
        <w:rPr>
          <w:lang w:val="fr-CA"/>
        </w:rPr>
        <w:t> </w:t>
      </w:r>
      <w:r w:rsidR="00016F01" w:rsidRPr="00B63BD5">
        <w:rPr>
          <w:lang w:val="fr-CA"/>
        </w:rPr>
        <w:t>ces</w:t>
      </w:r>
      <w:r w:rsidR="008C2CEA" w:rsidRPr="00B63BD5">
        <w:rPr>
          <w:lang w:val="fr-CA"/>
        </w:rPr>
        <w:t> </w:t>
      </w:r>
      <w:r w:rsidR="00016F01" w:rsidRPr="00B63BD5">
        <w:rPr>
          <w:lang w:val="fr-CA"/>
        </w:rPr>
        <w:t>exemplaires</w:t>
      </w:r>
      <w:r w:rsidR="007A28C9" w:rsidRPr="00B63BD5">
        <w:rPr>
          <w:lang w:val="fr-CA"/>
        </w:rPr>
        <w:t>, une fois signés, constitu</w:t>
      </w:r>
      <w:r w:rsidR="00AE5281" w:rsidRPr="00B63BD5">
        <w:rPr>
          <w:lang w:val="fr-CA"/>
        </w:rPr>
        <w:t>e</w:t>
      </w:r>
      <w:r w:rsidR="007A28C9" w:rsidRPr="00B63BD5">
        <w:rPr>
          <w:lang w:val="fr-CA"/>
        </w:rPr>
        <w:t xml:space="preserve">nt ensemble un seul et même document. </w:t>
      </w:r>
      <w:r w:rsidR="00016F01" w:rsidRPr="00B63BD5">
        <w:rPr>
          <w:lang w:val="fr-CA"/>
        </w:rPr>
        <w:t xml:space="preserve">Un exemplaire </w:t>
      </w:r>
      <w:r w:rsidR="007A28C9" w:rsidRPr="00B63BD5">
        <w:rPr>
          <w:lang w:val="fr-CA"/>
        </w:rPr>
        <w:t>signé</w:t>
      </w:r>
      <w:r w:rsidR="00016F01" w:rsidRPr="00B63BD5">
        <w:rPr>
          <w:lang w:val="fr-CA"/>
        </w:rPr>
        <w:t xml:space="preserve"> à la main est aussi valide et exécutoire qu</w:t>
      </w:r>
      <w:r w:rsidR="00564B0C" w:rsidRPr="00B63BD5">
        <w:rPr>
          <w:lang w:val="fr-CA"/>
        </w:rPr>
        <w:t>’</w:t>
      </w:r>
      <w:r w:rsidR="00016F01" w:rsidRPr="00B63BD5">
        <w:rPr>
          <w:lang w:val="fr-CA"/>
        </w:rPr>
        <w:t xml:space="preserve">un exemplaire </w:t>
      </w:r>
      <w:r w:rsidR="00BE5979" w:rsidRPr="00B63BD5">
        <w:rPr>
          <w:lang w:val="fr-CA"/>
        </w:rPr>
        <w:t xml:space="preserve">signé sous forme </w:t>
      </w:r>
      <w:r w:rsidR="00016F01" w:rsidRPr="00B63BD5">
        <w:rPr>
          <w:lang w:val="fr-CA"/>
        </w:rPr>
        <w:t>électronique</w:t>
      </w:r>
      <w:r w:rsidR="007A28C9" w:rsidRPr="00B63BD5">
        <w:rPr>
          <w:lang w:val="fr-CA"/>
        </w:rPr>
        <w:t xml:space="preserve"> </w:t>
      </w:r>
      <w:r w:rsidR="00016F01" w:rsidRPr="00B63BD5">
        <w:rPr>
          <w:lang w:val="fr-CA"/>
        </w:rPr>
        <w:t>et envoyé par</w:t>
      </w:r>
      <w:r w:rsidR="008C2CEA" w:rsidRPr="00B63BD5">
        <w:rPr>
          <w:lang w:val="fr-CA"/>
        </w:rPr>
        <w:t> </w:t>
      </w:r>
      <w:r w:rsidR="00016F01" w:rsidRPr="00B63BD5">
        <w:rPr>
          <w:lang w:val="fr-CA"/>
        </w:rPr>
        <w:t>un</w:t>
      </w:r>
      <w:r w:rsidR="008C2CEA" w:rsidRPr="00B63BD5">
        <w:rPr>
          <w:lang w:val="fr-CA"/>
        </w:rPr>
        <w:t> </w:t>
      </w:r>
      <w:r w:rsidR="00016F01" w:rsidRPr="00B63BD5">
        <w:rPr>
          <w:lang w:val="fr-CA"/>
        </w:rPr>
        <w:t>moyen de transmission électronique (y</w:t>
      </w:r>
      <w:r w:rsidR="00AC4107" w:rsidRPr="00B63BD5">
        <w:rPr>
          <w:lang w:val="fr-CA"/>
        </w:rPr>
        <w:t xml:space="preserve"> </w:t>
      </w:r>
      <w:r w:rsidR="00016F01" w:rsidRPr="00B63BD5">
        <w:rPr>
          <w:lang w:val="fr-CA"/>
        </w:rPr>
        <w:t>compris par courrier électronique ou au moyen d</w:t>
      </w:r>
      <w:r w:rsidR="00564B0C" w:rsidRPr="00B63BD5">
        <w:rPr>
          <w:lang w:val="fr-CA"/>
        </w:rPr>
        <w:t>’</w:t>
      </w:r>
      <w:r w:rsidR="00016F01" w:rsidRPr="00B63BD5">
        <w:rPr>
          <w:lang w:val="fr-CA"/>
        </w:rPr>
        <w:t>une</w:t>
      </w:r>
      <w:r w:rsidR="008C2CEA" w:rsidRPr="00B63BD5">
        <w:rPr>
          <w:lang w:val="fr-CA"/>
        </w:rPr>
        <w:t> </w:t>
      </w:r>
      <w:r w:rsidR="00016F01" w:rsidRPr="00B63BD5">
        <w:rPr>
          <w:lang w:val="fr-CA"/>
        </w:rPr>
        <w:t>plateforme de signature électronique jugée acceptable par la Banque)</w:t>
      </w:r>
      <w:r w:rsidR="007A28C9" w:rsidRPr="00B63BD5">
        <w:rPr>
          <w:lang w:val="fr-CA"/>
        </w:rPr>
        <w:t>.</w:t>
      </w:r>
    </w:p>
    <w:p w14:paraId="4604A3F2" w14:textId="3D7EEEDC" w:rsidR="003536F2" w:rsidRPr="00B63BD5" w:rsidRDefault="0003636F" w:rsidP="009027EF">
      <w:pPr>
        <w:pStyle w:val="04LOLglNew1"/>
        <w:rPr>
          <w:lang w:val="fr-CA"/>
        </w:rPr>
      </w:pPr>
      <w:r w:rsidRPr="00B63BD5">
        <w:rPr>
          <w:lang w:val="fr-CA"/>
        </w:rPr>
        <w:t>Avis</w:t>
      </w:r>
    </w:p>
    <w:p w14:paraId="3B1264A4" w14:textId="0A798A61" w:rsidR="003344C8" w:rsidRPr="00B63BD5" w:rsidRDefault="0003636F" w:rsidP="00632863">
      <w:pPr>
        <w:spacing w:after="240"/>
        <w:jc w:val="both"/>
        <w:rPr>
          <w:rFonts w:eastAsiaTheme="minorHAnsi"/>
          <w:lang w:val="fr-CA"/>
        </w:rPr>
      </w:pPr>
      <w:r w:rsidRPr="00B63BD5">
        <w:rPr>
          <w:rFonts w:eastAsiaTheme="minorHAnsi"/>
          <w:lang w:val="fr-CA"/>
        </w:rPr>
        <w:t>Les avis, demande</w:t>
      </w:r>
      <w:r w:rsidR="00190624" w:rsidRPr="00B63BD5">
        <w:rPr>
          <w:rFonts w:eastAsiaTheme="minorHAnsi"/>
          <w:lang w:val="fr-CA"/>
        </w:rPr>
        <w:t>s</w:t>
      </w:r>
      <w:r w:rsidRPr="00B63BD5">
        <w:rPr>
          <w:rFonts w:eastAsiaTheme="minorHAnsi"/>
          <w:lang w:val="fr-CA"/>
        </w:rPr>
        <w:t xml:space="preserve"> </w:t>
      </w:r>
      <w:r w:rsidR="00541516" w:rsidRPr="00B63BD5">
        <w:rPr>
          <w:rFonts w:eastAsiaTheme="minorHAnsi"/>
          <w:lang w:val="fr-CA"/>
        </w:rPr>
        <w:t>ou autre</w:t>
      </w:r>
      <w:r w:rsidR="00190624" w:rsidRPr="00B63BD5">
        <w:rPr>
          <w:rFonts w:eastAsiaTheme="minorHAnsi"/>
          <w:lang w:val="fr-CA"/>
        </w:rPr>
        <w:t>s</w:t>
      </w:r>
      <w:r w:rsidR="00541516" w:rsidRPr="00B63BD5">
        <w:rPr>
          <w:rFonts w:eastAsiaTheme="minorHAnsi"/>
          <w:lang w:val="fr-CA"/>
        </w:rPr>
        <w:t xml:space="preserve"> communication</w:t>
      </w:r>
      <w:r w:rsidR="00190624" w:rsidRPr="00B63BD5">
        <w:rPr>
          <w:rFonts w:eastAsiaTheme="minorHAnsi"/>
          <w:lang w:val="fr-CA"/>
        </w:rPr>
        <w:t>s</w:t>
      </w:r>
      <w:r w:rsidR="00541516" w:rsidRPr="00B63BD5">
        <w:rPr>
          <w:rFonts w:eastAsiaTheme="minorHAnsi"/>
          <w:lang w:val="fr-CA"/>
        </w:rPr>
        <w:t xml:space="preserve"> que la Banque</w:t>
      </w:r>
      <w:r w:rsidR="002037D6" w:rsidRPr="00B63BD5">
        <w:rPr>
          <w:rFonts w:eastAsiaTheme="minorHAnsi"/>
          <w:lang w:val="fr-CA"/>
        </w:rPr>
        <w:t xml:space="preserve"> ou un Bénéficiaire du crédit doit </w:t>
      </w:r>
      <w:r w:rsidR="007779D5" w:rsidRPr="00B63BD5">
        <w:rPr>
          <w:rFonts w:eastAsiaTheme="minorHAnsi"/>
          <w:lang w:val="fr-CA"/>
        </w:rPr>
        <w:t xml:space="preserve">ou </w:t>
      </w:r>
      <w:r w:rsidR="00541516" w:rsidRPr="00B63BD5">
        <w:rPr>
          <w:rFonts w:eastAsiaTheme="minorHAnsi"/>
          <w:lang w:val="fr-CA"/>
        </w:rPr>
        <w:t>souhaite</w:t>
      </w:r>
      <w:r w:rsidR="002037D6" w:rsidRPr="00B63BD5">
        <w:rPr>
          <w:rFonts w:eastAsiaTheme="minorHAnsi"/>
          <w:lang w:val="fr-CA"/>
        </w:rPr>
        <w:t xml:space="preserve"> </w:t>
      </w:r>
      <w:r w:rsidR="00541516" w:rsidRPr="00B63BD5">
        <w:rPr>
          <w:rFonts w:eastAsiaTheme="minorHAnsi"/>
          <w:lang w:val="fr-CA"/>
        </w:rPr>
        <w:t>donner</w:t>
      </w:r>
      <w:r w:rsidR="00AD2ABF" w:rsidRPr="00B63BD5">
        <w:rPr>
          <w:rFonts w:eastAsiaTheme="minorHAnsi"/>
          <w:lang w:val="fr-CA"/>
        </w:rPr>
        <w:t xml:space="preserve">, présenter ou </w:t>
      </w:r>
      <w:r w:rsidR="007869D4" w:rsidRPr="00B63BD5">
        <w:rPr>
          <w:rFonts w:eastAsiaTheme="minorHAnsi"/>
          <w:lang w:val="fr-CA"/>
        </w:rPr>
        <w:t>transmettre</w:t>
      </w:r>
      <w:r w:rsidR="00541516" w:rsidRPr="00B63BD5">
        <w:rPr>
          <w:rFonts w:eastAsiaTheme="minorHAnsi"/>
          <w:lang w:val="fr-CA"/>
        </w:rPr>
        <w:t xml:space="preserve"> aux fins de la présente Lettre </w:t>
      </w:r>
      <w:r w:rsidR="007779D5" w:rsidRPr="00B63BD5">
        <w:rPr>
          <w:rFonts w:eastAsiaTheme="minorHAnsi"/>
          <w:lang w:val="fr-CA"/>
        </w:rPr>
        <w:t>relative aux facilités</w:t>
      </w:r>
      <w:r w:rsidR="00541516" w:rsidRPr="00B63BD5">
        <w:rPr>
          <w:rFonts w:eastAsiaTheme="minorHAnsi"/>
          <w:lang w:val="fr-CA"/>
        </w:rPr>
        <w:t xml:space="preserve"> doivent être faits par</w:t>
      </w:r>
      <w:r w:rsidR="008C2CEA" w:rsidRPr="00B63BD5">
        <w:rPr>
          <w:rFonts w:eastAsiaTheme="minorHAnsi"/>
          <w:lang w:val="fr-CA"/>
        </w:rPr>
        <w:t> </w:t>
      </w:r>
      <w:r w:rsidR="00541516" w:rsidRPr="00B63BD5">
        <w:rPr>
          <w:rFonts w:eastAsiaTheme="minorHAnsi"/>
          <w:lang w:val="fr-CA"/>
        </w:rPr>
        <w:t>écrit et peuvent être envoyés sous forme électronique (par télécopieur ou par courrier électronique)</w:t>
      </w:r>
      <w:r w:rsidR="007779D5" w:rsidRPr="00B63BD5">
        <w:rPr>
          <w:rFonts w:eastAsiaTheme="minorHAnsi"/>
          <w:lang w:val="fr-CA"/>
        </w:rPr>
        <w:t>,</w:t>
      </w:r>
      <w:r w:rsidR="00541516" w:rsidRPr="00B63BD5">
        <w:rPr>
          <w:rFonts w:eastAsiaTheme="minorHAnsi"/>
          <w:lang w:val="fr-CA"/>
        </w:rPr>
        <w:t xml:space="preserve"> remis en mains propres ou envoyés par courrier recommandé de première classe préaffranchi aux</w:t>
      </w:r>
      <w:r w:rsidR="00395C82" w:rsidRPr="00B63BD5">
        <w:rPr>
          <w:rFonts w:eastAsiaTheme="minorHAnsi"/>
          <w:lang w:val="fr-CA"/>
        </w:rPr>
        <w:t> </w:t>
      </w:r>
      <w:r w:rsidR="00541516" w:rsidRPr="00B63BD5">
        <w:rPr>
          <w:rFonts w:eastAsiaTheme="minorHAnsi"/>
          <w:lang w:val="fr-CA"/>
        </w:rPr>
        <w:t>adresses qui figurent ci</w:t>
      </w:r>
      <w:r w:rsidR="00541516" w:rsidRPr="00B63BD5">
        <w:rPr>
          <w:rFonts w:eastAsiaTheme="minorHAnsi"/>
          <w:lang w:val="fr-CA"/>
        </w:rPr>
        <w:noBreakHyphen/>
        <w:t>dessous. Les avis, demande</w:t>
      </w:r>
      <w:r w:rsidR="00190624" w:rsidRPr="00B63BD5">
        <w:rPr>
          <w:rFonts w:eastAsiaTheme="minorHAnsi"/>
          <w:lang w:val="fr-CA"/>
        </w:rPr>
        <w:t>s</w:t>
      </w:r>
      <w:r w:rsidR="00541516" w:rsidRPr="00B63BD5">
        <w:rPr>
          <w:rFonts w:eastAsiaTheme="minorHAnsi"/>
          <w:lang w:val="fr-CA"/>
        </w:rPr>
        <w:t xml:space="preserve"> ou autre</w:t>
      </w:r>
      <w:r w:rsidR="00190624" w:rsidRPr="00B63BD5">
        <w:rPr>
          <w:rFonts w:eastAsiaTheme="minorHAnsi"/>
          <w:lang w:val="fr-CA"/>
        </w:rPr>
        <w:t>s</w:t>
      </w:r>
      <w:r w:rsidR="00541516" w:rsidRPr="00B63BD5">
        <w:rPr>
          <w:rFonts w:eastAsiaTheme="minorHAnsi"/>
          <w:lang w:val="fr-CA"/>
        </w:rPr>
        <w:t xml:space="preserve"> communication</w:t>
      </w:r>
      <w:r w:rsidR="00190624" w:rsidRPr="00B63BD5">
        <w:rPr>
          <w:rFonts w:eastAsiaTheme="minorHAnsi"/>
          <w:lang w:val="fr-CA"/>
        </w:rPr>
        <w:t>s</w:t>
      </w:r>
      <w:r w:rsidR="00541516" w:rsidRPr="00B63BD5">
        <w:rPr>
          <w:rFonts w:eastAsiaTheme="minorHAnsi"/>
          <w:lang w:val="fr-CA"/>
        </w:rPr>
        <w:t xml:space="preserve"> </w:t>
      </w:r>
      <w:r w:rsidR="00190624" w:rsidRPr="00B63BD5">
        <w:rPr>
          <w:rFonts w:eastAsiaTheme="minorHAnsi"/>
          <w:lang w:val="fr-CA"/>
        </w:rPr>
        <w:t xml:space="preserve">sont réputés avoir </w:t>
      </w:r>
      <w:r w:rsidR="007779D5" w:rsidRPr="00B63BD5">
        <w:rPr>
          <w:rFonts w:eastAsiaTheme="minorHAnsi"/>
          <w:lang w:val="fr-CA"/>
        </w:rPr>
        <w:t>été</w:t>
      </w:r>
      <w:r w:rsidR="00190624" w:rsidRPr="00B63BD5">
        <w:rPr>
          <w:rFonts w:eastAsiaTheme="minorHAnsi"/>
          <w:lang w:val="fr-CA"/>
        </w:rPr>
        <w:t xml:space="preserve"> </w:t>
      </w:r>
      <w:r w:rsidR="00FB2306" w:rsidRPr="00B63BD5">
        <w:rPr>
          <w:rFonts w:eastAsiaTheme="minorHAnsi"/>
          <w:lang w:val="fr-CA"/>
        </w:rPr>
        <w:t xml:space="preserve">effectivement </w:t>
      </w:r>
      <w:r w:rsidR="00190624" w:rsidRPr="00B63BD5">
        <w:rPr>
          <w:rFonts w:eastAsiaTheme="minorHAnsi"/>
          <w:lang w:val="fr-CA"/>
        </w:rPr>
        <w:t>donnés</w:t>
      </w:r>
      <w:r w:rsidR="00D86AC2" w:rsidRPr="00B63BD5">
        <w:rPr>
          <w:rFonts w:eastAsiaTheme="minorHAnsi"/>
          <w:lang w:val="fr-CA"/>
        </w:rPr>
        <w:t>, envoyés</w:t>
      </w:r>
      <w:r w:rsidR="00190624" w:rsidRPr="00B63BD5">
        <w:rPr>
          <w:rFonts w:eastAsiaTheme="minorHAnsi"/>
          <w:lang w:val="fr-CA"/>
        </w:rPr>
        <w:t xml:space="preserve"> et reçus (i)</w:t>
      </w:r>
      <w:r w:rsidR="00AC4107" w:rsidRPr="00B63BD5">
        <w:rPr>
          <w:rFonts w:eastAsiaTheme="minorHAnsi"/>
          <w:lang w:val="fr-CA"/>
        </w:rPr>
        <w:t xml:space="preserve"> </w:t>
      </w:r>
      <w:r w:rsidR="00825A12" w:rsidRPr="00B63BD5">
        <w:rPr>
          <w:rFonts w:eastAsiaTheme="minorHAnsi"/>
          <w:lang w:val="fr-CA"/>
        </w:rPr>
        <w:t xml:space="preserve">le Jour ouvrable où ils sont </w:t>
      </w:r>
      <w:r w:rsidR="00D86AC2" w:rsidRPr="00B63BD5">
        <w:rPr>
          <w:rFonts w:eastAsiaTheme="minorHAnsi"/>
          <w:lang w:val="fr-CA"/>
        </w:rPr>
        <w:t>transmis</w:t>
      </w:r>
      <w:r w:rsidR="00137C93" w:rsidRPr="00B63BD5">
        <w:rPr>
          <w:rFonts w:eastAsiaTheme="minorHAnsi"/>
          <w:lang w:val="fr-CA"/>
        </w:rPr>
        <w:t>,</w:t>
      </w:r>
      <w:r w:rsidR="00D86AC2" w:rsidRPr="00B63BD5">
        <w:rPr>
          <w:rFonts w:eastAsiaTheme="minorHAnsi"/>
          <w:lang w:val="fr-CA"/>
        </w:rPr>
        <w:t xml:space="preserve"> s</w:t>
      </w:r>
      <w:r w:rsidR="00564B0C" w:rsidRPr="00B63BD5">
        <w:rPr>
          <w:rFonts w:eastAsiaTheme="minorHAnsi"/>
          <w:lang w:val="fr-CA"/>
        </w:rPr>
        <w:t>’</w:t>
      </w:r>
      <w:r w:rsidR="00D86AC2" w:rsidRPr="00B63BD5">
        <w:rPr>
          <w:rFonts w:eastAsiaTheme="minorHAnsi"/>
          <w:lang w:val="fr-CA"/>
        </w:rPr>
        <w:t xml:space="preserve">ils </w:t>
      </w:r>
      <w:r w:rsidR="00137C93" w:rsidRPr="00B63BD5">
        <w:rPr>
          <w:rFonts w:eastAsiaTheme="minorHAnsi"/>
          <w:lang w:val="fr-CA"/>
        </w:rPr>
        <w:t>s</w:t>
      </w:r>
      <w:r w:rsidR="00D86AC2" w:rsidRPr="00B63BD5">
        <w:rPr>
          <w:rFonts w:eastAsiaTheme="minorHAnsi"/>
          <w:lang w:val="fr-CA"/>
        </w:rPr>
        <w:t>ont</w:t>
      </w:r>
      <w:r w:rsidR="00825A12" w:rsidRPr="00B63BD5">
        <w:rPr>
          <w:rFonts w:eastAsiaTheme="minorHAnsi"/>
          <w:lang w:val="fr-CA"/>
        </w:rPr>
        <w:t xml:space="preserve"> </w:t>
      </w:r>
      <w:r w:rsidR="00190624" w:rsidRPr="00B63BD5">
        <w:rPr>
          <w:rFonts w:eastAsiaTheme="minorHAnsi"/>
          <w:lang w:val="fr-CA"/>
        </w:rPr>
        <w:t>transmis</w:t>
      </w:r>
      <w:r w:rsidR="00D86AC2" w:rsidRPr="00B63BD5">
        <w:rPr>
          <w:rFonts w:eastAsiaTheme="minorHAnsi"/>
          <w:lang w:val="fr-CA"/>
        </w:rPr>
        <w:t xml:space="preserve"> sous</w:t>
      </w:r>
      <w:r w:rsidR="00395C82" w:rsidRPr="00B63BD5">
        <w:rPr>
          <w:rFonts w:eastAsiaTheme="minorHAnsi"/>
          <w:lang w:val="fr-CA"/>
        </w:rPr>
        <w:t> </w:t>
      </w:r>
      <w:r w:rsidR="00D86AC2" w:rsidRPr="00B63BD5">
        <w:rPr>
          <w:rFonts w:eastAsiaTheme="minorHAnsi"/>
          <w:lang w:val="fr-CA"/>
        </w:rPr>
        <w:t>forme</w:t>
      </w:r>
      <w:r w:rsidR="00190624" w:rsidRPr="00B63BD5">
        <w:rPr>
          <w:rFonts w:eastAsiaTheme="minorHAnsi"/>
          <w:lang w:val="fr-CA"/>
        </w:rPr>
        <w:t xml:space="preserve"> électronique avec accusé de réception au plus tard à 17</w:t>
      </w:r>
      <w:r w:rsidR="00AC4107" w:rsidRPr="00B63BD5">
        <w:rPr>
          <w:rFonts w:eastAsiaTheme="minorHAnsi"/>
          <w:lang w:val="fr-CA"/>
        </w:rPr>
        <w:t xml:space="preserve"> </w:t>
      </w:r>
      <w:r w:rsidR="00190624" w:rsidRPr="00B63BD5">
        <w:rPr>
          <w:rFonts w:eastAsiaTheme="minorHAnsi"/>
          <w:lang w:val="fr-CA"/>
        </w:rPr>
        <w:t xml:space="preserve">h (heure de </w:t>
      </w:r>
      <w:r w:rsidR="00E37C6F" w:rsidRPr="00B63BD5">
        <w:rPr>
          <w:rFonts w:eastAsiaTheme="minorHAnsi"/>
          <w:lang w:val="fr-CA"/>
        </w:rPr>
        <w:t>l</w:t>
      </w:r>
      <w:r w:rsidR="00564B0C" w:rsidRPr="00B63BD5">
        <w:rPr>
          <w:rFonts w:eastAsiaTheme="minorHAnsi"/>
          <w:lang w:val="fr-CA"/>
        </w:rPr>
        <w:t>’</w:t>
      </w:r>
      <w:r w:rsidR="00E37C6F" w:rsidRPr="00B63BD5">
        <w:rPr>
          <w:rFonts w:eastAsiaTheme="minorHAnsi"/>
          <w:lang w:val="fr-CA"/>
        </w:rPr>
        <w:t>Est</w:t>
      </w:r>
      <w:r w:rsidR="00190624" w:rsidRPr="00B63BD5">
        <w:rPr>
          <w:rFonts w:eastAsiaTheme="minorHAnsi"/>
          <w:lang w:val="fr-CA"/>
        </w:rPr>
        <w:t>)</w:t>
      </w:r>
      <w:r w:rsidR="00137C93" w:rsidRPr="00B63BD5">
        <w:rPr>
          <w:rFonts w:eastAsiaTheme="minorHAnsi"/>
          <w:lang w:val="fr-CA"/>
        </w:rPr>
        <w:t xml:space="preserve"> le jour en question</w:t>
      </w:r>
      <w:r w:rsidR="00190624" w:rsidRPr="00B63BD5">
        <w:rPr>
          <w:rFonts w:eastAsiaTheme="minorHAnsi"/>
          <w:lang w:val="fr-CA"/>
        </w:rPr>
        <w:t xml:space="preserve">, </w:t>
      </w:r>
      <w:r w:rsidR="00825A12" w:rsidRPr="00B63BD5">
        <w:rPr>
          <w:rFonts w:eastAsiaTheme="minorHAnsi"/>
          <w:lang w:val="fr-CA"/>
        </w:rPr>
        <w:t>faute de quoi</w:t>
      </w:r>
      <w:r w:rsidR="00190624" w:rsidRPr="00B63BD5">
        <w:rPr>
          <w:rFonts w:eastAsiaTheme="minorHAnsi"/>
          <w:lang w:val="fr-CA"/>
        </w:rPr>
        <w:t xml:space="preserve"> il</w:t>
      </w:r>
      <w:r w:rsidR="00825A12" w:rsidRPr="00B63BD5">
        <w:rPr>
          <w:rFonts w:eastAsiaTheme="minorHAnsi"/>
          <w:lang w:val="fr-CA"/>
        </w:rPr>
        <w:t>s</w:t>
      </w:r>
      <w:r w:rsidR="00190624" w:rsidRPr="00B63BD5">
        <w:rPr>
          <w:rFonts w:eastAsiaTheme="minorHAnsi"/>
          <w:lang w:val="fr-CA"/>
        </w:rPr>
        <w:t xml:space="preserve"> s</w:t>
      </w:r>
      <w:r w:rsidR="00825A12" w:rsidRPr="00B63BD5">
        <w:rPr>
          <w:rFonts w:eastAsiaTheme="minorHAnsi"/>
          <w:lang w:val="fr-CA"/>
        </w:rPr>
        <w:t>on</w:t>
      </w:r>
      <w:r w:rsidR="00190624" w:rsidRPr="00B63BD5">
        <w:rPr>
          <w:rFonts w:eastAsiaTheme="minorHAnsi"/>
          <w:lang w:val="fr-CA"/>
        </w:rPr>
        <w:t>t réputé</w:t>
      </w:r>
      <w:r w:rsidR="00825A12" w:rsidRPr="00B63BD5">
        <w:rPr>
          <w:rFonts w:eastAsiaTheme="minorHAnsi"/>
          <w:lang w:val="fr-CA"/>
        </w:rPr>
        <w:t>s</w:t>
      </w:r>
      <w:r w:rsidR="00190624" w:rsidRPr="00B63BD5">
        <w:rPr>
          <w:rFonts w:eastAsiaTheme="minorHAnsi"/>
          <w:lang w:val="fr-CA"/>
        </w:rPr>
        <w:t xml:space="preserve"> avoir </w:t>
      </w:r>
      <w:r w:rsidR="00825A12" w:rsidRPr="00B63BD5">
        <w:rPr>
          <w:rFonts w:eastAsiaTheme="minorHAnsi"/>
          <w:lang w:val="fr-CA"/>
        </w:rPr>
        <w:t>été</w:t>
      </w:r>
      <w:r w:rsidR="00190624" w:rsidRPr="00B63BD5">
        <w:rPr>
          <w:rFonts w:eastAsiaTheme="minorHAnsi"/>
          <w:lang w:val="fr-CA"/>
        </w:rPr>
        <w:t xml:space="preserve"> </w:t>
      </w:r>
      <w:r w:rsidR="00FB2306" w:rsidRPr="00B63BD5">
        <w:rPr>
          <w:rFonts w:eastAsiaTheme="minorHAnsi"/>
          <w:lang w:val="fr-CA"/>
        </w:rPr>
        <w:t xml:space="preserve">effectivement </w:t>
      </w:r>
      <w:r w:rsidR="00190624" w:rsidRPr="00B63BD5">
        <w:rPr>
          <w:rFonts w:eastAsiaTheme="minorHAnsi"/>
          <w:lang w:val="fr-CA"/>
        </w:rPr>
        <w:t>donné</w:t>
      </w:r>
      <w:r w:rsidR="00825A12" w:rsidRPr="00B63BD5">
        <w:rPr>
          <w:rFonts w:eastAsiaTheme="minorHAnsi"/>
          <w:lang w:val="fr-CA"/>
        </w:rPr>
        <w:t>s, envoyés</w:t>
      </w:r>
      <w:r w:rsidR="00190624" w:rsidRPr="00B63BD5">
        <w:rPr>
          <w:rFonts w:eastAsiaTheme="minorHAnsi"/>
          <w:lang w:val="fr-CA"/>
        </w:rPr>
        <w:t xml:space="preserve"> et reçu</w:t>
      </w:r>
      <w:r w:rsidR="00825A12" w:rsidRPr="00B63BD5">
        <w:rPr>
          <w:rFonts w:eastAsiaTheme="minorHAnsi"/>
          <w:lang w:val="fr-CA"/>
        </w:rPr>
        <w:t>s</w:t>
      </w:r>
      <w:r w:rsidR="00190624" w:rsidRPr="00B63BD5">
        <w:rPr>
          <w:rFonts w:eastAsiaTheme="minorHAnsi"/>
          <w:lang w:val="fr-CA"/>
        </w:rPr>
        <w:t xml:space="preserve"> le Jour ouvrable suivant</w:t>
      </w:r>
      <w:r w:rsidR="00825A12" w:rsidRPr="00B63BD5">
        <w:rPr>
          <w:rFonts w:eastAsiaTheme="minorHAnsi"/>
          <w:lang w:val="fr-CA"/>
        </w:rPr>
        <w:t>,</w:t>
      </w:r>
      <w:r w:rsidR="00190624" w:rsidRPr="00B63BD5">
        <w:rPr>
          <w:rFonts w:eastAsiaTheme="minorHAnsi"/>
          <w:lang w:val="fr-CA"/>
        </w:rPr>
        <w:t xml:space="preserve"> (ii)</w:t>
      </w:r>
      <w:r w:rsidR="00AC4107" w:rsidRPr="00B63BD5">
        <w:rPr>
          <w:rFonts w:eastAsiaTheme="minorHAnsi"/>
          <w:lang w:val="fr-CA"/>
        </w:rPr>
        <w:t xml:space="preserve"> </w:t>
      </w:r>
      <w:r w:rsidR="00825A12" w:rsidRPr="00B63BD5">
        <w:rPr>
          <w:rFonts w:eastAsiaTheme="minorHAnsi"/>
          <w:lang w:val="fr-CA"/>
        </w:rPr>
        <w:t>le Jour ouvrable où ils sont reçu</w:t>
      </w:r>
      <w:r w:rsidR="00190624" w:rsidRPr="00B63BD5">
        <w:rPr>
          <w:rFonts w:eastAsiaTheme="minorHAnsi"/>
          <w:lang w:val="fr-CA"/>
        </w:rPr>
        <w:t>s</w:t>
      </w:r>
      <w:r w:rsidR="00825A12" w:rsidRPr="00B63BD5">
        <w:rPr>
          <w:rFonts w:eastAsiaTheme="minorHAnsi"/>
          <w:lang w:val="fr-CA"/>
        </w:rPr>
        <w:t xml:space="preserve"> s</w:t>
      </w:r>
      <w:r w:rsidR="00564B0C" w:rsidRPr="00B63BD5">
        <w:rPr>
          <w:rFonts w:eastAsiaTheme="minorHAnsi"/>
          <w:lang w:val="fr-CA"/>
        </w:rPr>
        <w:t>’</w:t>
      </w:r>
      <w:r w:rsidR="00190624" w:rsidRPr="00B63BD5">
        <w:rPr>
          <w:rFonts w:eastAsiaTheme="minorHAnsi"/>
          <w:lang w:val="fr-CA"/>
        </w:rPr>
        <w:t>ils</w:t>
      </w:r>
      <w:r w:rsidR="00825A12" w:rsidRPr="00B63BD5">
        <w:rPr>
          <w:rFonts w:eastAsiaTheme="minorHAnsi"/>
          <w:lang w:val="fr-CA"/>
        </w:rPr>
        <w:t xml:space="preserve"> </w:t>
      </w:r>
      <w:r w:rsidR="00137C93" w:rsidRPr="00B63BD5">
        <w:rPr>
          <w:rFonts w:eastAsiaTheme="minorHAnsi"/>
          <w:lang w:val="fr-CA"/>
        </w:rPr>
        <w:t>s</w:t>
      </w:r>
      <w:r w:rsidR="00825A12" w:rsidRPr="00B63BD5">
        <w:rPr>
          <w:rFonts w:eastAsiaTheme="minorHAnsi"/>
          <w:lang w:val="fr-CA"/>
        </w:rPr>
        <w:t>on</w:t>
      </w:r>
      <w:r w:rsidR="00190624" w:rsidRPr="00B63BD5">
        <w:rPr>
          <w:rFonts w:eastAsiaTheme="minorHAnsi"/>
          <w:lang w:val="fr-CA"/>
        </w:rPr>
        <w:t>t</w:t>
      </w:r>
      <w:r w:rsidR="00825A12" w:rsidRPr="00B63BD5">
        <w:rPr>
          <w:rFonts w:eastAsiaTheme="minorHAnsi"/>
          <w:lang w:val="fr-CA"/>
        </w:rPr>
        <w:t xml:space="preserve"> </w:t>
      </w:r>
      <w:r w:rsidR="00190624" w:rsidRPr="00B63BD5">
        <w:rPr>
          <w:rFonts w:eastAsiaTheme="minorHAnsi"/>
          <w:lang w:val="fr-CA"/>
        </w:rPr>
        <w:t>remis en mains propres au plus tard à 17</w:t>
      </w:r>
      <w:r w:rsidR="00AC4107" w:rsidRPr="00B63BD5">
        <w:rPr>
          <w:rFonts w:eastAsiaTheme="minorHAnsi"/>
          <w:lang w:val="fr-CA"/>
        </w:rPr>
        <w:t xml:space="preserve"> </w:t>
      </w:r>
      <w:r w:rsidR="00190624" w:rsidRPr="00B63BD5">
        <w:rPr>
          <w:rFonts w:eastAsiaTheme="minorHAnsi"/>
          <w:lang w:val="fr-CA"/>
        </w:rPr>
        <w:t xml:space="preserve">h (heure de </w:t>
      </w:r>
      <w:r w:rsidR="00E37C6F" w:rsidRPr="00B63BD5">
        <w:rPr>
          <w:rFonts w:eastAsiaTheme="minorHAnsi"/>
          <w:lang w:val="fr-CA"/>
        </w:rPr>
        <w:t>l</w:t>
      </w:r>
      <w:r w:rsidR="00564B0C" w:rsidRPr="00B63BD5">
        <w:rPr>
          <w:rFonts w:eastAsiaTheme="minorHAnsi"/>
          <w:lang w:val="fr-CA"/>
        </w:rPr>
        <w:t>’</w:t>
      </w:r>
      <w:r w:rsidR="00E37C6F" w:rsidRPr="00B63BD5">
        <w:rPr>
          <w:rFonts w:eastAsiaTheme="minorHAnsi"/>
          <w:lang w:val="fr-CA"/>
        </w:rPr>
        <w:t>Est</w:t>
      </w:r>
      <w:r w:rsidR="00190624" w:rsidRPr="00B63BD5">
        <w:rPr>
          <w:rFonts w:eastAsiaTheme="minorHAnsi"/>
          <w:lang w:val="fr-CA"/>
        </w:rPr>
        <w:t>)</w:t>
      </w:r>
      <w:r w:rsidR="00137C93" w:rsidRPr="00B63BD5">
        <w:rPr>
          <w:rFonts w:eastAsiaTheme="minorHAnsi"/>
          <w:lang w:val="fr-CA"/>
        </w:rPr>
        <w:t xml:space="preserve"> le jour en question</w:t>
      </w:r>
      <w:r w:rsidR="00190624" w:rsidRPr="00B63BD5">
        <w:rPr>
          <w:rFonts w:eastAsiaTheme="minorHAnsi"/>
          <w:lang w:val="fr-CA"/>
        </w:rPr>
        <w:t>,</w:t>
      </w:r>
      <w:r w:rsidR="00825A12" w:rsidRPr="00B63BD5">
        <w:rPr>
          <w:rFonts w:eastAsiaTheme="minorHAnsi"/>
          <w:lang w:val="fr-CA"/>
        </w:rPr>
        <w:t xml:space="preserve"> faute de quoi</w:t>
      </w:r>
      <w:r w:rsidR="00190624" w:rsidRPr="00B63BD5">
        <w:rPr>
          <w:rFonts w:eastAsiaTheme="minorHAnsi"/>
          <w:lang w:val="fr-CA"/>
        </w:rPr>
        <w:t xml:space="preserve"> il</w:t>
      </w:r>
      <w:r w:rsidR="00825A12" w:rsidRPr="00B63BD5">
        <w:rPr>
          <w:rFonts w:eastAsiaTheme="minorHAnsi"/>
          <w:lang w:val="fr-CA"/>
        </w:rPr>
        <w:t>s</w:t>
      </w:r>
      <w:r w:rsidR="00190624" w:rsidRPr="00B63BD5">
        <w:rPr>
          <w:rFonts w:eastAsiaTheme="minorHAnsi"/>
          <w:lang w:val="fr-CA"/>
        </w:rPr>
        <w:t xml:space="preserve"> s</w:t>
      </w:r>
      <w:r w:rsidR="00825A12" w:rsidRPr="00B63BD5">
        <w:rPr>
          <w:rFonts w:eastAsiaTheme="minorHAnsi"/>
          <w:lang w:val="fr-CA"/>
        </w:rPr>
        <w:t>on</w:t>
      </w:r>
      <w:r w:rsidR="00190624" w:rsidRPr="00B63BD5">
        <w:rPr>
          <w:rFonts w:eastAsiaTheme="minorHAnsi"/>
          <w:lang w:val="fr-CA"/>
        </w:rPr>
        <w:t>t réputé</w:t>
      </w:r>
      <w:r w:rsidR="00825A12" w:rsidRPr="00B63BD5">
        <w:rPr>
          <w:rFonts w:eastAsiaTheme="minorHAnsi"/>
          <w:lang w:val="fr-CA"/>
        </w:rPr>
        <w:t>s</w:t>
      </w:r>
      <w:r w:rsidR="00190624" w:rsidRPr="00B63BD5">
        <w:rPr>
          <w:rFonts w:eastAsiaTheme="minorHAnsi"/>
          <w:lang w:val="fr-CA"/>
        </w:rPr>
        <w:t xml:space="preserve"> avoir effectivement</w:t>
      </w:r>
      <w:r w:rsidR="00825A12" w:rsidRPr="00B63BD5">
        <w:rPr>
          <w:rFonts w:eastAsiaTheme="minorHAnsi"/>
          <w:lang w:val="fr-CA"/>
        </w:rPr>
        <w:t xml:space="preserve"> été</w:t>
      </w:r>
      <w:r w:rsidR="00190624" w:rsidRPr="00B63BD5">
        <w:rPr>
          <w:rFonts w:eastAsiaTheme="minorHAnsi"/>
          <w:lang w:val="fr-CA"/>
        </w:rPr>
        <w:t xml:space="preserve"> donné</w:t>
      </w:r>
      <w:r w:rsidR="00825A12" w:rsidRPr="00B63BD5">
        <w:rPr>
          <w:rFonts w:eastAsiaTheme="minorHAnsi"/>
          <w:lang w:val="fr-CA"/>
        </w:rPr>
        <w:t>s, envoyés</w:t>
      </w:r>
      <w:r w:rsidR="00190624" w:rsidRPr="00B63BD5">
        <w:rPr>
          <w:rFonts w:eastAsiaTheme="minorHAnsi"/>
          <w:lang w:val="fr-CA"/>
        </w:rPr>
        <w:t xml:space="preserve"> et reçu</w:t>
      </w:r>
      <w:r w:rsidR="00825A12" w:rsidRPr="00B63BD5">
        <w:rPr>
          <w:rFonts w:eastAsiaTheme="minorHAnsi"/>
          <w:lang w:val="fr-CA"/>
        </w:rPr>
        <w:t>s</w:t>
      </w:r>
      <w:r w:rsidR="00190624" w:rsidRPr="00B63BD5">
        <w:rPr>
          <w:rFonts w:eastAsiaTheme="minorHAnsi"/>
          <w:lang w:val="fr-CA"/>
        </w:rPr>
        <w:t xml:space="preserve"> le Jour ouvrable suivant</w:t>
      </w:r>
      <w:r w:rsidR="00825A12" w:rsidRPr="00B63BD5">
        <w:rPr>
          <w:rFonts w:eastAsiaTheme="minorHAnsi"/>
          <w:lang w:val="fr-CA"/>
        </w:rPr>
        <w:t>, ou</w:t>
      </w:r>
      <w:r w:rsidR="00190624" w:rsidRPr="00B63BD5">
        <w:rPr>
          <w:rFonts w:eastAsiaTheme="minorHAnsi"/>
          <w:lang w:val="fr-CA"/>
        </w:rPr>
        <w:t xml:space="preserve"> (iii)</w:t>
      </w:r>
      <w:r w:rsidR="00AC4107" w:rsidRPr="00B63BD5">
        <w:rPr>
          <w:rFonts w:eastAsiaTheme="minorHAnsi"/>
          <w:lang w:val="fr-CA"/>
        </w:rPr>
        <w:t xml:space="preserve"> </w:t>
      </w:r>
      <w:r w:rsidR="00825A12" w:rsidRPr="00B63BD5">
        <w:rPr>
          <w:rFonts w:eastAsiaTheme="minorHAnsi"/>
          <w:lang w:val="fr-CA"/>
        </w:rPr>
        <w:t xml:space="preserve">le </w:t>
      </w:r>
      <w:r w:rsidR="00190624" w:rsidRPr="00B63BD5">
        <w:rPr>
          <w:rFonts w:eastAsiaTheme="minorHAnsi"/>
          <w:lang w:val="fr-CA"/>
        </w:rPr>
        <w:t>cinq</w:t>
      </w:r>
      <w:r w:rsidR="00825A12" w:rsidRPr="00B63BD5">
        <w:rPr>
          <w:rFonts w:eastAsiaTheme="minorHAnsi"/>
          <w:lang w:val="fr-CA"/>
        </w:rPr>
        <w:t>uième</w:t>
      </w:r>
      <w:r w:rsidR="00AC4107" w:rsidRPr="00B63BD5">
        <w:rPr>
          <w:rFonts w:eastAsiaTheme="minorHAnsi"/>
          <w:lang w:val="fr-CA"/>
        </w:rPr>
        <w:t xml:space="preserve"> </w:t>
      </w:r>
      <w:r w:rsidR="00190624" w:rsidRPr="00B63BD5">
        <w:rPr>
          <w:rFonts w:eastAsiaTheme="minorHAnsi"/>
          <w:lang w:val="fr-CA"/>
        </w:rPr>
        <w:t>(5</w:t>
      </w:r>
      <w:r w:rsidR="00825A12" w:rsidRPr="00B63BD5">
        <w:rPr>
          <w:rFonts w:eastAsiaTheme="minorHAnsi"/>
          <w:vertAlign w:val="superscript"/>
          <w:lang w:val="fr-CA"/>
        </w:rPr>
        <w:t>e</w:t>
      </w:r>
      <w:r w:rsidR="00190624" w:rsidRPr="00B63BD5">
        <w:rPr>
          <w:rFonts w:eastAsiaTheme="minorHAnsi"/>
          <w:lang w:val="fr-CA"/>
        </w:rPr>
        <w:t>) jour</w:t>
      </w:r>
      <w:r w:rsidR="00825A12" w:rsidRPr="00B63BD5">
        <w:rPr>
          <w:rFonts w:eastAsiaTheme="minorHAnsi"/>
          <w:lang w:val="fr-CA"/>
        </w:rPr>
        <w:t xml:space="preserve"> suivant </w:t>
      </w:r>
      <w:r w:rsidR="00190624" w:rsidRPr="00B63BD5">
        <w:rPr>
          <w:rFonts w:eastAsiaTheme="minorHAnsi"/>
          <w:lang w:val="fr-CA"/>
        </w:rPr>
        <w:t>l</w:t>
      </w:r>
      <w:r w:rsidR="00825A12" w:rsidRPr="00B63BD5">
        <w:rPr>
          <w:rFonts w:eastAsiaTheme="minorHAnsi"/>
          <w:lang w:val="fr-CA"/>
        </w:rPr>
        <w:t>eur</w:t>
      </w:r>
      <w:r w:rsidR="00190624" w:rsidRPr="00B63BD5">
        <w:rPr>
          <w:rFonts w:eastAsiaTheme="minorHAnsi"/>
          <w:lang w:val="fr-CA"/>
        </w:rPr>
        <w:t xml:space="preserve"> mise à la poste s</w:t>
      </w:r>
      <w:r w:rsidR="00564B0C" w:rsidRPr="00B63BD5">
        <w:rPr>
          <w:rFonts w:eastAsiaTheme="minorHAnsi"/>
          <w:lang w:val="fr-CA"/>
        </w:rPr>
        <w:t>’</w:t>
      </w:r>
      <w:r w:rsidR="00190624" w:rsidRPr="00B63BD5">
        <w:rPr>
          <w:rFonts w:eastAsiaTheme="minorHAnsi"/>
          <w:lang w:val="fr-CA"/>
        </w:rPr>
        <w:t>il</w:t>
      </w:r>
      <w:r w:rsidR="00825A12" w:rsidRPr="00B63BD5">
        <w:rPr>
          <w:rFonts w:eastAsiaTheme="minorHAnsi"/>
          <w:lang w:val="fr-CA"/>
        </w:rPr>
        <w:t>s</w:t>
      </w:r>
      <w:r w:rsidR="00190624" w:rsidRPr="00B63BD5">
        <w:rPr>
          <w:rFonts w:eastAsiaTheme="minorHAnsi"/>
          <w:lang w:val="fr-CA"/>
        </w:rPr>
        <w:t xml:space="preserve"> </w:t>
      </w:r>
      <w:r w:rsidR="00137C93" w:rsidRPr="00B63BD5">
        <w:rPr>
          <w:rFonts w:eastAsiaTheme="minorHAnsi"/>
          <w:lang w:val="fr-CA"/>
        </w:rPr>
        <w:t>s</w:t>
      </w:r>
      <w:r w:rsidR="00825A12" w:rsidRPr="00B63BD5">
        <w:rPr>
          <w:rFonts w:eastAsiaTheme="minorHAnsi"/>
          <w:lang w:val="fr-CA"/>
        </w:rPr>
        <w:t>on</w:t>
      </w:r>
      <w:r w:rsidR="00EF3133" w:rsidRPr="00B63BD5">
        <w:rPr>
          <w:rFonts w:eastAsiaTheme="minorHAnsi"/>
          <w:lang w:val="fr-CA"/>
        </w:rPr>
        <w:t>t</w:t>
      </w:r>
      <w:r w:rsidR="00825A12" w:rsidRPr="00B63BD5">
        <w:rPr>
          <w:rFonts w:eastAsiaTheme="minorHAnsi"/>
          <w:lang w:val="fr-CA"/>
        </w:rPr>
        <w:t xml:space="preserve"> </w:t>
      </w:r>
      <w:r w:rsidR="00190624" w:rsidRPr="00B63BD5">
        <w:rPr>
          <w:rFonts w:eastAsiaTheme="minorHAnsi"/>
          <w:lang w:val="fr-CA"/>
        </w:rPr>
        <w:t>posté</w:t>
      </w:r>
      <w:r w:rsidR="00825A12" w:rsidRPr="00B63BD5">
        <w:rPr>
          <w:rFonts w:eastAsiaTheme="minorHAnsi"/>
          <w:lang w:val="fr-CA"/>
        </w:rPr>
        <w:t>s</w:t>
      </w:r>
      <w:r w:rsidR="00190624" w:rsidRPr="00B63BD5">
        <w:rPr>
          <w:rFonts w:eastAsiaTheme="minorHAnsi"/>
          <w:lang w:val="fr-CA"/>
        </w:rPr>
        <w:t>, mais les avis, demandes ou autres communications devant être donnés ou faits pendant une grève, un</w:t>
      </w:r>
      <w:r w:rsidR="00395C82" w:rsidRPr="00B63BD5">
        <w:rPr>
          <w:rFonts w:eastAsiaTheme="minorHAnsi"/>
          <w:lang w:val="fr-CA"/>
        </w:rPr>
        <w:t> </w:t>
      </w:r>
      <w:r w:rsidR="00190624" w:rsidRPr="00B63BD5">
        <w:rPr>
          <w:rFonts w:eastAsiaTheme="minorHAnsi"/>
          <w:lang w:val="fr-CA"/>
        </w:rPr>
        <w:t>lock</w:t>
      </w:r>
      <w:r w:rsidR="00190624" w:rsidRPr="00B63BD5">
        <w:rPr>
          <w:rFonts w:eastAsiaTheme="minorHAnsi"/>
          <w:lang w:val="fr-CA"/>
        </w:rPr>
        <w:noBreakHyphen/>
        <w:t>out</w:t>
      </w:r>
      <w:r w:rsidR="00395C82" w:rsidRPr="00B63BD5">
        <w:rPr>
          <w:rFonts w:eastAsiaTheme="minorHAnsi"/>
          <w:lang w:val="fr-CA"/>
        </w:rPr>
        <w:t> </w:t>
      </w:r>
      <w:r w:rsidR="00190624" w:rsidRPr="00B63BD5">
        <w:rPr>
          <w:rFonts w:eastAsiaTheme="minorHAnsi"/>
          <w:lang w:val="fr-CA"/>
        </w:rPr>
        <w:t>ou</w:t>
      </w:r>
      <w:r w:rsidR="00395C82" w:rsidRPr="00B63BD5">
        <w:rPr>
          <w:rFonts w:eastAsiaTheme="minorHAnsi"/>
          <w:lang w:val="fr-CA"/>
        </w:rPr>
        <w:t> </w:t>
      </w:r>
      <w:r w:rsidR="00190624" w:rsidRPr="00B63BD5">
        <w:rPr>
          <w:rFonts w:eastAsiaTheme="minorHAnsi"/>
          <w:lang w:val="fr-CA"/>
        </w:rPr>
        <w:t>un</w:t>
      </w:r>
      <w:r w:rsidR="00395C82" w:rsidRPr="00B63BD5">
        <w:rPr>
          <w:rFonts w:eastAsiaTheme="minorHAnsi"/>
          <w:lang w:val="fr-CA"/>
        </w:rPr>
        <w:t> </w:t>
      </w:r>
      <w:r w:rsidR="00190624" w:rsidRPr="00B63BD5">
        <w:rPr>
          <w:rFonts w:eastAsiaTheme="minorHAnsi"/>
          <w:lang w:val="fr-CA"/>
        </w:rPr>
        <w:t xml:space="preserve">autre conflit de travail </w:t>
      </w:r>
      <w:r w:rsidR="00EF3133" w:rsidRPr="00B63BD5">
        <w:rPr>
          <w:rFonts w:eastAsiaTheme="minorHAnsi"/>
          <w:lang w:val="fr-CA"/>
        </w:rPr>
        <w:t xml:space="preserve">des employés des postes </w:t>
      </w:r>
      <w:r w:rsidR="00190624" w:rsidRPr="00B63BD5">
        <w:rPr>
          <w:rFonts w:eastAsiaTheme="minorHAnsi"/>
          <w:lang w:val="fr-CA"/>
        </w:rPr>
        <w:t xml:space="preserve">ou pendant une </w:t>
      </w:r>
      <w:r w:rsidR="00825A12" w:rsidRPr="00B63BD5">
        <w:rPr>
          <w:rFonts w:eastAsiaTheme="minorHAnsi"/>
          <w:lang w:val="fr-CA"/>
        </w:rPr>
        <w:t>période d</w:t>
      </w:r>
      <w:r w:rsidR="00564B0C" w:rsidRPr="00B63BD5">
        <w:rPr>
          <w:rFonts w:eastAsiaTheme="minorHAnsi"/>
          <w:lang w:val="fr-CA"/>
        </w:rPr>
        <w:t>’</w:t>
      </w:r>
      <w:r w:rsidR="00190624" w:rsidRPr="00B63BD5">
        <w:rPr>
          <w:rFonts w:eastAsiaTheme="minorHAnsi"/>
          <w:lang w:val="fr-CA"/>
        </w:rPr>
        <w:t>interruption</w:t>
      </w:r>
      <w:r w:rsidR="00825A12" w:rsidRPr="00B63BD5">
        <w:rPr>
          <w:rFonts w:eastAsiaTheme="minorHAnsi"/>
          <w:lang w:val="fr-CA"/>
        </w:rPr>
        <w:t>,</w:t>
      </w:r>
      <w:r w:rsidR="00190624" w:rsidRPr="00B63BD5">
        <w:rPr>
          <w:rFonts w:eastAsiaTheme="minorHAnsi"/>
          <w:lang w:val="fr-CA"/>
        </w:rPr>
        <w:t xml:space="preserve"> réelle ou</w:t>
      </w:r>
      <w:r w:rsidR="00395C82" w:rsidRPr="00B63BD5">
        <w:rPr>
          <w:rFonts w:eastAsiaTheme="minorHAnsi"/>
          <w:lang w:val="fr-CA"/>
        </w:rPr>
        <w:t> </w:t>
      </w:r>
      <w:r w:rsidR="00190624" w:rsidRPr="00B63BD5">
        <w:rPr>
          <w:rFonts w:eastAsiaTheme="minorHAnsi"/>
          <w:lang w:val="fr-CA"/>
        </w:rPr>
        <w:t>imminente</w:t>
      </w:r>
      <w:r w:rsidR="00825A12" w:rsidRPr="00B63BD5">
        <w:rPr>
          <w:rFonts w:eastAsiaTheme="minorHAnsi"/>
          <w:lang w:val="fr-CA"/>
        </w:rPr>
        <w:t>,</w:t>
      </w:r>
      <w:r w:rsidR="00190624" w:rsidRPr="00B63BD5">
        <w:rPr>
          <w:rFonts w:eastAsiaTheme="minorHAnsi"/>
          <w:lang w:val="fr-CA"/>
        </w:rPr>
        <w:t xml:space="preserve"> du service postal doivent être remis en mains propres ou transmis</w:t>
      </w:r>
      <w:r w:rsidR="00825A12" w:rsidRPr="00B63BD5">
        <w:rPr>
          <w:rFonts w:eastAsiaTheme="minorHAnsi"/>
          <w:lang w:val="fr-CA"/>
        </w:rPr>
        <w:t xml:space="preserve"> sous forme</w:t>
      </w:r>
      <w:r w:rsidR="00190624" w:rsidRPr="00B63BD5">
        <w:rPr>
          <w:rFonts w:eastAsiaTheme="minorHAnsi"/>
          <w:lang w:val="fr-CA"/>
        </w:rPr>
        <w:t xml:space="preserve"> électronique et</w:t>
      </w:r>
      <w:r w:rsidR="00825A12" w:rsidRPr="00B63BD5">
        <w:rPr>
          <w:rFonts w:eastAsiaTheme="minorHAnsi"/>
          <w:lang w:val="fr-CA"/>
        </w:rPr>
        <w:t xml:space="preserve"> </w:t>
      </w:r>
      <w:r w:rsidR="00EF3133" w:rsidRPr="00B63BD5">
        <w:rPr>
          <w:rFonts w:eastAsiaTheme="minorHAnsi"/>
          <w:lang w:val="fr-CA"/>
        </w:rPr>
        <w:t>non</w:t>
      </w:r>
      <w:r w:rsidR="00AC4107" w:rsidRPr="00B63BD5">
        <w:rPr>
          <w:rFonts w:eastAsiaTheme="minorHAnsi"/>
          <w:lang w:val="fr-CA"/>
        </w:rPr>
        <w:t xml:space="preserve"> </w:t>
      </w:r>
      <w:r w:rsidR="00EF3133" w:rsidRPr="00B63BD5">
        <w:rPr>
          <w:rFonts w:eastAsiaTheme="minorHAnsi"/>
          <w:lang w:val="fr-CA"/>
        </w:rPr>
        <w:t>envoyés par la poste</w:t>
      </w:r>
      <w:r w:rsidR="00190624" w:rsidRPr="00B63BD5">
        <w:rPr>
          <w:rFonts w:eastAsiaTheme="minorHAnsi"/>
          <w:lang w:val="fr-CA"/>
        </w:rPr>
        <w:t>. L</w:t>
      </w:r>
      <w:r w:rsidR="00564B0C" w:rsidRPr="00B63BD5">
        <w:rPr>
          <w:rFonts w:eastAsiaTheme="minorHAnsi"/>
          <w:lang w:val="fr-CA"/>
        </w:rPr>
        <w:t>’</w:t>
      </w:r>
      <w:r w:rsidR="00190624" w:rsidRPr="00B63BD5">
        <w:rPr>
          <w:rFonts w:eastAsiaTheme="minorHAnsi"/>
          <w:lang w:val="fr-CA"/>
        </w:rPr>
        <w:t>une ou l</w:t>
      </w:r>
      <w:r w:rsidR="00564B0C" w:rsidRPr="00B63BD5">
        <w:rPr>
          <w:rFonts w:eastAsiaTheme="minorHAnsi"/>
          <w:lang w:val="fr-CA"/>
        </w:rPr>
        <w:t>’</w:t>
      </w:r>
      <w:r w:rsidR="00190624" w:rsidRPr="00B63BD5">
        <w:rPr>
          <w:rFonts w:eastAsiaTheme="minorHAnsi"/>
          <w:lang w:val="fr-CA"/>
        </w:rPr>
        <w:t>autre des parties aux présentes peut modifier l</w:t>
      </w:r>
      <w:r w:rsidR="00564B0C" w:rsidRPr="00B63BD5">
        <w:rPr>
          <w:rFonts w:eastAsiaTheme="minorHAnsi"/>
          <w:lang w:val="fr-CA"/>
        </w:rPr>
        <w:t>’</w:t>
      </w:r>
      <w:r w:rsidR="00190624" w:rsidRPr="00B63BD5">
        <w:rPr>
          <w:rFonts w:eastAsiaTheme="minorHAnsi"/>
          <w:lang w:val="fr-CA"/>
        </w:rPr>
        <w:t xml:space="preserve">adresse à laquelle les avis, demandes et autres communications doivent </w:t>
      </w:r>
      <w:r w:rsidR="00EF3133" w:rsidRPr="00B63BD5">
        <w:rPr>
          <w:rFonts w:eastAsiaTheme="minorHAnsi"/>
          <w:lang w:val="fr-CA"/>
        </w:rPr>
        <w:t xml:space="preserve">lui </w:t>
      </w:r>
      <w:r w:rsidR="00190624" w:rsidRPr="00B63BD5">
        <w:rPr>
          <w:rFonts w:eastAsiaTheme="minorHAnsi"/>
          <w:lang w:val="fr-CA"/>
        </w:rPr>
        <w:t xml:space="preserve">être envoyés en donnant un avis écrit de </w:t>
      </w:r>
      <w:r w:rsidR="00EF3133" w:rsidRPr="00B63BD5">
        <w:rPr>
          <w:rFonts w:eastAsiaTheme="minorHAnsi"/>
          <w:lang w:val="fr-CA"/>
        </w:rPr>
        <w:t xml:space="preserve">changement </w:t>
      </w:r>
      <w:r w:rsidR="00190624" w:rsidRPr="00B63BD5">
        <w:rPr>
          <w:rFonts w:eastAsiaTheme="minorHAnsi"/>
          <w:lang w:val="fr-CA"/>
        </w:rPr>
        <w:t>d</w:t>
      </w:r>
      <w:r w:rsidR="00564B0C" w:rsidRPr="00B63BD5">
        <w:rPr>
          <w:rFonts w:eastAsiaTheme="minorHAnsi"/>
          <w:lang w:val="fr-CA"/>
        </w:rPr>
        <w:t>’</w:t>
      </w:r>
      <w:r w:rsidR="00190624" w:rsidRPr="00B63BD5">
        <w:rPr>
          <w:rFonts w:eastAsiaTheme="minorHAnsi"/>
          <w:lang w:val="fr-CA"/>
        </w:rPr>
        <w:t xml:space="preserve">adresse aux autres parties conformément au présent paragraphe, mais la modification ne prendra effet </w:t>
      </w:r>
      <w:r w:rsidR="00EF3133" w:rsidRPr="00B63BD5">
        <w:rPr>
          <w:rFonts w:eastAsiaTheme="minorHAnsi"/>
          <w:lang w:val="fr-CA"/>
        </w:rPr>
        <w:t>qu</w:t>
      </w:r>
      <w:r w:rsidR="00564B0C" w:rsidRPr="00B63BD5">
        <w:rPr>
          <w:rFonts w:eastAsiaTheme="minorHAnsi"/>
          <w:lang w:val="fr-CA"/>
        </w:rPr>
        <w:t>’</w:t>
      </w:r>
      <w:r w:rsidR="00EF3133" w:rsidRPr="00B63BD5">
        <w:rPr>
          <w:rFonts w:eastAsiaTheme="minorHAnsi"/>
          <w:lang w:val="fr-CA"/>
        </w:rPr>
        <w:t xml:space="preserve">une fois que </w:t>
      </w:r>
      <w:r w:rsidR="00190624" w:rsidRPr="00B63BD5">
        <w:rPr>
          <w:rFonts w:eastAsiaTheme="minorHAnsi"/>
          <w:lang w:val="fr-CA"/>
        </w:rPr>
        <w:t>les autres parties auront reçu l</w:t>
      </w:r>
      <w:r w:rsidR="00564B0C" w:rsidRPr="00B63BD5">
        <w:rPr>
          <w:rFonts w:eastAsiaTheme="minorHAnsi"/>
          <w:lang w:val="fr-CA"/>
        </w:rPr>
        <w:t>’</w:t>
      </w:r>
      <w:r w:rsidR="00190624" w:rsidRPr="00B63BD5">
        <w:rPr>
          <w:rFonts w:eastAsiaTheme="minorHAnsi"/>
          <w:lang w:val="fr-CA"/>
        </w:rPr>
        <w:t>avis en question. Les adresses des parties aux fins des présentes sont les suivantes</w:t>
      </w:r>
      <w:r w:rsidR="00AC4107" w:rsidRPr="00B63BD5">
        <w:rPr>
          <w:rFonts w:eastAsiaTheme="minorHAnsi"/>
          <w:lang w:val="fr-CA"/>
        </w:rPr>
        <w:t xml:space="preserve"> </w:t>
      </w:r>
      <w:r w:rsidR="00190624" w:rsidRPr="00B63BD5">
        <w:rPr>
          <w:rFonts w:eastAsiaTheme="minorHAnsi"/>
          <w:lang w:val="fr-CA"/>
        </w:rPr>
        <w:t xml:space="preserve">: </w:t>
      </w:r>
    </w:p>
    <w:p w14:paraId="4BABBD5F" w14:textId="7574F8BA" w:rsidR="002037D6" w:rsidRPr="00B63BD5" w:rsidRDefault="002037D6" w:rsidP="00632863">
      <w:pPr>
        <w:keepNext/>
        <w:spacing w:after="240"/>
        <w:jc w:val="both"/>
        <w:rPr>
          <w:b/>
          <w:color w:val="00B0F0"/>
          <w:lang w:val="fr-CA"/>
        </w:rPr>
      </w:pPr>
      <w:r w:rsidRPr="00B63BD5">
        <w:rPr>
          <w:b/>
          <w:color w:val="00B0F0"/>
          <w:lang w:val="fr-CA"/>
        </w:rPr>
        <w:lastRenderedPageBreak/>
        <w:t>[N.B.</w:t>
      </w:r>
      <w:r w:rsidR="00AC4107" w:rsidRPr="00B63BD5">
        <w:rPr>
          <w:b/>
          <w:color w:val="00B0F0"/>
          <w:lang w:val="fr-CA"/>
        </w:rPr>
        <w:t xml:space="preserve"> </w:t>
      </w:r>
      <w:r w:rsidRPr="00B63BD5">
        <w:rPr>
          <w:b/>
          <w:color w:val="00B0F0"/>
          <w:lang w:val="fr-CA"/>
        </w:rPr>
        <w:t>: S</w:t>
      </w:r>
      <w:r w:rsidR="00564B0C" w:rsidRPr="00B63BD5">
        <w:rPr>
          <w:b/>
          <w:color w:val="00B0F0"/>
          <w:lang w:val="fr-CA"/>
        </w:rPr>
        <w:t>’</w:t>
      </w:r>
      <w:r w:rsidRPr="00B63BD5">
        <w:rPr>
          <w:b/>
          <w:color w:val="00B0F0"/>
          <w:lang w:val="fr-CA"/>
        </w:rPr>
        <w:t>il y a plusieurs Emprunteurs, il est possible d</w:t>
      </w:r>
      <w:r w:rsidR="00564B0C" w:rsidRPr="00B63BD5">
        <w:rPr>
          <w:b/>
          <w:color w:val="00B0F0"/>
          <w:lang w:val="fr-CA"/>
        </w:rPr>
        <w:t>’</w:t>
      </w:r>
      <w:r w:rsidRPr="00B63BD5">
        <w:rPr>
          <w:b/>
          <w:color w:val="00B0F0"/>
          <w:lang w:val="fr-CA"/>
        </w:rPr>
        <w:t>indiquer que l</w:t>
      </w:r>
      <w:r w:rsidR="00564B0C" w:rsidRPr="00B63BD5">
        <w:rPr>
          <w:b/>
          <w:color w:val="00B0F0"/>
          <w:lang w:val="fr-CA"/>
        </w:rPr>
        <w:t>’</w:t>
      </w:r>
      <w:r w:rsidRPr="00B63BD5">
        <w:rPr>
          <w:b/>
          <w:color w:val="00B0F0"/>
          <w:lang w:val="fr-CA"/>
        </w:rPr>
        <w:t xml:space="preserve">avis </w:t>
      </w:r>
      <w:r w:rsidR="0046138F" w:rsidRPr="00B63BD5">
        <w:rPr>
          <w:b/>
          <w:color w:val="00B0F0"/>
          <w:lang w:val="fr-CA"/>
        </w:rPr>
        <w:t>est destiné</w:t>
      </w:r>
      <w:r w:rsidRPr="00B63BD5">
        <w:rPr>
          <w:b/>
          <w:color w:val="00B0F0"/>
          <w:lang w:val="fr-CA"/>
        </w:rPr>
        <w:t xml:space="preserve"> à l</w:t>
      </w:r>
      <w:r w:rsidR="00564B0C" w:rsidRPr="00B63BD5">
        <w:rPr>
          <w:b/>
          <w:color w:val="00B0F0"/>
          <w:lang w:val="fr-CA"/>
        </w:rPr>
        <w:t>’</w:t>
      </w:r>
      <w:r w:rsidRPr="00B63BD5">
        <w:rPr>
          <w:b/>
          <w:color w:val="00B0F0"/>
          <w:lang w:val="fr-CA"/>
        </w:rPr>
        <w:t>un d</w:t>
      </w:r>
      <w:r w:rsidR="00564B0C" w:rsidRPr="00B63BD5">
        <w:rPr>
          <w:b/>
          <w:color w:val="00B0F0"/>
          <w:lang w:val="fr-CA"/>
        </w:rPr>
        <w:t>’</w:t>
      </w:r>
      <w:r w:rsidRPr="00B63BD5">
        <w:rPr>
          <w:b/>
          <w:color w:val="00B0F0"/>
          <w:lang w:val="fr-CA"/>
        </w:rPr>
        <w:t xml:space="preserve">entre eux </w:t>
      </w:r>
      <w:r w:rsidR="000B7256" w:rsidRPr="00B63BD5">
        <w:rPr>
          <w:b/>
          <w:color w:val="00B0F0"/>
          <w:lang w:val="fr-CA"/>
        </w:rPr>
        <w:t xml:space="preserve">seulement </w:t>
      </w:r>
      <w:r w:rsidRPr="00B63BD5">
        <w:rPr>
          <w:b/>
          <w:color w:val="00B0F0"/>
          <w:u w:val="single"/>
          <w:lang w:val="fr-CA"/>
        </w:rPr>
        <w:t>ou</w:t>
      </w:r>
      <w:r w:rsidRPr="00B63BD5">
        <w:rPr>
          <w:b/>
          <w:color w:val="00B0F0"/>
          <w:lang w:val="fr-CA"/>
        </w:rPr>
        <w:t xml:space="preserve"> à tous les Emprunteurs nommés.</w:t>
      </w:r>
      <w:r w:rsidR="00950892" w:rsidRPr="00B63BD5">
        <w:rPr>
          <w:b/>
          <w:color w:val="00B0F0"/>
          <w:lang w:val="fr-CA"/>
        </w:rPr>
        <w:t xml:space="preserve"> Ne pas indiquer les numéros de téléphone.</w:t>
      </w:r>
      <w:r w:rsidRPr="00B63BD5">
        <w:rPr>
          <w:b/>
          <w:color w:val="00B0F0"/>
          <w:lang w:val="fr-CA"/>
        </w:rPr>
        <w:t>]</w:t>
      </w:r>
    </w:p>
    <w:p w14:paraId="307612CA" w14:textId="367BDA8B" w:rsidR="00E439BB" w:rsidRPr="00B63BD5" w:rsidRDefault="00190624" w:rsidP="00632863">
      <w:pPr>
        <w:keepNext/>
        <w:spacing w:after="240"/>
        <w:ind w:left="720"/>
        <w:rPr>
          <w:lang w:val="fr-CA"/>
        </w:rPr>
      </w:pPr>
      <w:r w:rsidRPr="00B63BD5">
        <w:rPr>
          <w:lang w:val="fr-CA"/>
        </w:rPr>
        <w:t xml:space="preserve">Dans le cas </w:t>
      </w:r>
      <w:r w:rsidR="00904F3F" w:rsidRPr="00B63BD5">
        <w:rPr>
          <w:lang w:val="fr-CA"/>
        </w:rPr>
        <w:t>[</w:t>
      </w:r>
      <w:r w:rsidRPr="00B63BD5">
        <w:rPr>
          <w:lang w:val="fr-CA"/>
        </w:rPr>
        <w:t>de l</w:t>
      </w:r>
      <w:r w:rsidR="00564B0C" w:rsidRPr="00B63BD5">
        <w:rPr>
          <w:lang w:val="fr-CA"/>
        </w:rPr>
        <w:t>’</w:t>
      </w:r>
      <w:r w:rsidRPr="00B63BD5">
        <w:rPr>
          <w:lang w:val="fr-CA"/>
        </w:rPr>
        <w:t>Emprunteur</w:t>
      </w:r>
      <w:r w:rsidR="00DC718F" w:rsidRPr="00B63BD5">
        <w:rPr>
          <w:lang w:val="fr-CA"/>
        </w:rPr>
        <w:t xml:space="preserve"> </w:t>
      </w:r>
      <w:r w:rsidR="00DC718F" w:rsidRPr="00B63BD5">
        <w:rPr>
          <w:b/>
          <w:color w:val="00B0F0"/>
          <w:highlight w:val="yellow"/>
          <w:lang w:val="fr-CA"/>
        </w:rPr>
        <w:t>OU</w:t>
      </w:r>
      <w:r w:rsidR="00DC718F" w:rsidRPr="00B63BD5">
        <w:rPr>
          <w:b/>
          <w:lang w:val="fr-CA"/>
        </w:rPr>
        <w:t xml:space="preserve"> </w:t>
      </w:r>
      <w:r w:rsidR="002037D6" w:rsidRPr="00B63BD5">
        <w:rPr>
          <w:lang w:val="fr-CA"/>
        </w:rPr>
        <w:t>des Emprunteurs]</w:t>
      </w:r>
      <w:r w:rsidR="00AC4107" w:rsidRPr="00B63BD5">
        <w:rPr>
          <w:lang w:val="fr-CA"/>
        </w:rPr>
        <w:t xml:space="preserve"> </w:t>
      </w:r>
      <w:r w:rsidR="00A10840" w:rsidRPr="00B63BD5">
        <w:rPr>
          <w:lang w:val="fr-CA"/>
        </w:rPr>
        <w:t xml:space="preserve">: </w:t>
      </w:r>
      <w:r w:rsidR="00E439BB" w:rsidRPr="00B63BD5">
        <w:rPr>
          <w:lang w:val="fr-CA"/>
        </w:rPr>
        <w:br/>
      </w:r>
      <w:r w:rsidR="00E439BB" w:rsidRPr="00B63BD5">
        <w:rPr>
          <w:lang w:val="fr-CA"/>
        </w:rPr>
        <w:br/>
      </w:r>
      <w:r w:rsidR="00950892" w:rsidRPr="00B63BD5">
        <w:rPr>
          <w:rStyle w:val="Prompt"/>
          <w:lang w:val="fr-CA"/>
        </w:rPr>
        <w:t>[Nom de l</w:t>
      </w:r>
      <w:r w:rsidR="00564B0C" w:rsidRPr="00B63BD5">
        <w:rPr>
          <w:rStyle w:val="Prompt"/>
          <w:lang w:val="fr-CA"/>
        </w:rPr>
        <w:t>’</w:t>
      </w:r>
      <w:r w:rsidR="00950892" w:rsidRPr="00B63BD5">
        <w:rPr>
          <w:rStyle w:val="Prompt"/>
          <w:lang w:val="fr-CA"/>
        </w:rPr>
        <w:t>Emprunteur]</w:t>
      </w:r>
      <w:r w:rsidR="00395C82" w:rsidRPr="00B63BD5">
        <w:rPr>
          <w:rStyle w:val="Prompt"/>
          <w:lang w:val="fr-CA"/>
        </w:rPr>
        <w:br/>
      </w:r>
      <w:r w:rsidR="009D0841" w:rsidRPr="00B63BD5">
        <w:rPr>
          <w:rStyle w:val="Prompt"/>
          <w:lang w:val="fr-CA"/>
        </w:rPr>
        <w:t>●</w:t>
      </w:r>
      <w:r w:rsidR="00950892" w:rsidRPr="00B63BD5">
        <w:rPr>
          <w:rStyle w:val="Prompt"/>
          <w:lang w:val="fr-CA"/>
        </w:rPr>
        <w:br/>
      </w:r>
      <w:r w:rsidR="00E439BB" w:rsidRPr="00B63BD5">
        <w:rPr>
          <w:lang w:val="fr-CA"/>
        </w:rPr>
        <w:br/>
      </w:r>
      <w:r w:rsidRPr="00B63BD5">
        <w:rPr>
          <w:lang w:val="fr-CA"/>
        </w:rPr>
        <w:t>À l</w:t>
      </w:r>
      <w:r w:rsidR="00564B0C" w:rsidRPr="00B63BD5">
        <w:rPr>
          <w:lang w:val="fr-CA"/>
        </w:rPr>
        <w:t>’</w:t>
      </w:r>
      <w:r w:rsidRPr="00B63BD5">
        <w:rPr>
          <w:lang w:val="fr-CA"/>
        </w:rPr>
        <w:t>a</w:t>
      </w:r>
      <w:r w:rsidR="00E439BB" w:rsidRPr="00B63BD5">
        <w:rPr>
          <w:lang w:val="fr-CA"/>
        </w:rPr>
        <w:t>ttention</w:t>
      </w:r>
      <w:r w:rsidR="001A22D5" w:rsidRPr="00B63BD5">
        <w:rPr>
          <w:lang w:val="fr-CA"/>
        </w:rPr>
        <w:t xml:space="preserve"> de </w:t>
      </w:r>
      <w:r w:rsidR="00395C82" w:rsidRPr="00B63BD5">
        <w:rPr>
          <w:lang w:val="fr-CA"/>
        </w:rPr>
        <w:tab/>
      </w:r>
      <w:r w:rsidR="00395C82" w:rsidRPr="00B63BD5">
        <w:rPr>
          <w:lang w:val="fr-CA"/>
        </w:rPr>
        <w:tab/>
      </w:r>
      <w:r w:rsidR="00950892" w:rsidRPr="00B63BD5">
        <w:rPr>
          <w:rStyle w:val="Prompt"/>
          <w:lang w:val="fr-CA"/>
        </w:rPr>
        <w:t>●</w:t>
      </w:r>
      <w:r w:rsidR="00E439BB" w:rsidRPr="00B63BD5">
        <w:rPr>
          <w:lang w:val="fr-CA"/>
        </w:rPr>
        <w:br/>
      </w:r>
      <w:r w:rsidRPr="00B63BD5">
        <w:rPr>
          <w:lang w:val="fr-CA"/>
        </w:rPr>
        <w:t>N</w:t>
      </w:r>
      <w:r w:rsidRPr="00B63BD5">
        <w:rPr>
          <w:vertAlign w:val="superscript"/>
          <w:lang w:val="fr-CA"/>
        </w:rPr>
        <w:t>o</w:t>
      </w:r>
      <w:r w:rsidRPr="00B63BD5">
        <w:rPr>
          <w:lang w:val="fr-CA"/>
        </w:rPr>
        <w:t xml:space="preserve"> de télécopieur</w:t>
      </w:r>
      <w:r w:rsidR="00AC4107" w:rsidRPr="00B63BD5">
        <w:rPr>
          <w:lang w:val="fr-CA"/>
        </w:rPr>
        <w:t xml:space="preserve"> </w:t>
      </w:r>
      <w:r w:rsidR="00E439BB" w:rsidRPr="00B63BD5">
        <w:rPr>
          <w:lang w:val="fr-CA"/>
        </w:rPr>
        <w:t xml:space="preserve">: </w:t>
      </w:r>
      <w:r w:rsidR="00395C82" w:rsidRPr="00B63BD5">
        <w:rPr>
          <w:lang w:val="fr-CA"/>
        </w:rPr>
        <w:tab/>
      </w:r>
      <w:r w:rsidR="00950892" w:rsidRPr="00B63BD5">
        <w:rPr>
          <w:rStyle w:val="Prompt"/>
          <w:lang w:val="fr-CA"/>
        </w:rPr>
        <w:t>●</w:t>
      </w:r>
      <w:r w:rsidR="00E439BB" w:rsidRPr="00B63BD5">
        <w:rPr>
          <w:lang w:val="fr-CA"/>
        </w:rPr>
        <w:br/>
      </w:r>
      <w:r w:rsidRPr="00B63BD5">
        <w:rPr>
          <w:lang w:val="fr-CA"/>
        </w:rPr>
        <w:t>Adresse électronique</w:t>
      </w:r>
      <w:r w:rsidR="00AC4107" w:rsidRPr="00B63BD5">
        <w:rPr>
          <w:lang w:val="fr-CA"/>
        </w:rPr>
        <w:t xml:space="preserve"> </w:t>
      </w:r>
      <w:r w:rsidR="0055614F" w:rsidRPr="00B63BD5">
        <w:rPr>
          <w:lang w:val="fr-CA"/>
        </w:rPr>
        <w:t xml:space="preserve">: </w:t>
      </w:r>
      <w:r w:rsidR="00395C82" w:rsidRPr="00B63BD5">
        <w:rPr>
          <w:lang w:val="fr-CA"/>
        </w:rPr>
        <w:tab/>
      </w:r>
      <w:r w:rsidR="00950892" w:rsidRPr="00B63BD5">
        <w:rPr>
          <w:rStyle w:val="Prompt"/>
          <w:lang w:val="fr-CA"/>
        </w:rPr>
        <w:t>●</w:t>
      </w:r>
    </w:p>
    <w:p w14:paraId="3CBBAFBE" w14:textId="3313B0AF" w:rsidR="00E439BB" w:rsidRPr="00B63BD5" w:rsidRDefault="00190624" w:rsidP="00632863">
      <w:pPr>
        <w:keepLines/>
        <w:spacing w:after="240"/>
        <w:ind w:left="720"/>
        <w:rPr>
          <w:rStyle w:val="Prompt"/>
          <w:lang w:val="fr-CA"/>
        </w:rPr>
      </w:pPr>
      <w:r w:rsidRPr="00B63BD5">
        <w:rPr>
          <w:lang w:val="fr-CA"/>
        </w:rPr>
        <w:t>Dans le cas de la Banque</w:t>
      </w:r>
      <w:r w:rsidR="00AC4107" w:rsidRPr="00B63BD5">
        <w:rPr>
          <w:lang w:val="fr-CA"/>
        </w:rPr>
        <w:t xml:space="preserve"> </w:t>
      </w:r>
      <w:r w:rsidRPr="00B63BD5">
        <w:rPr>
          <w:lang w:val="fr-CA"/>
        </w:rPr>
        <w:t xml:space="preserve">: </w:t>
      </w:r>
      <w:r w:rsidR="00E439BB" w:rsidRPr="00B63BD5">
        <w:rPr>
          <w:lang w:val="fr-CA"/>
        </w:rPr>
        <w:br/>
      </w:r>
      <w:r w:rsidR="00E439BB" w:rsidRPr="00B63BD5">
        <w:rPr>
          <w:lang w:val="fr-CA"/>
        </w:rPr>
        <w:br/>
      </w:r>
      <w:r w:rsidRPr="00B63BD5">
        <w:rPr>
          <w:lang w:val="fr-CA"/>
        </w:rPr>
        <w:t xml:space="preserve">Banque </w:t>
      </w:r>
      <w:r w:rsidR="00E439BB" w:rsidRPr="00B63BD5">
        <w:rPr>
          <w:lang w:val="fr-CA"/>
        </w:rPr>
        <w:t>HSBC Canada</w:t>
      </w:r>
      <w:r w:rsidR="00E439BB" w:rsidRPr="00B63BD5">
        <w:rPr>
          <w:lang w:val="fr-CA"/>
        </w:rPr>
        <w:br/>
      </w:r>
      <w:r w:rsidR="009D0841" w:rsidRPr="00B63BD5">
        <w:rPr>
          <w:rStyle w:val="Prompt"/>
          <w:lang w:val="fr-CA"/>
        </w:rPr>
        <w:t>●</w:t>
      </w:r>
      <w:r w:rsidR="00E439BB" w:rsidRPr="00B63BD5">
        <w:rPr>
          <w:lang w:val="fr-CA"/>
        </w:rPr>
        <w:br/>
      </w:r>
      <w:r w:rsidR="00E439BB" w:rsidRPr="00B63BD5">
        <w:rPr>
          <w:lang w:val="fr-CA"/>
        </w:rPr>
        <w:br/>
      </w:r>
      <w:r w:rsidR="001A22D5" w:rsidRPr="00B63BD5">
        <w:rPr>
          <w:lang w:val="fr-CA"/>
        </w:rPr>
        <w:t>À l</w:t>
      </w:r>
      <w:r w:rsidR="00564B0C" w:rsidRPr="00B63BD5">
        <w:rPr>
          <w:lang w:val="fr-CA"/>
        </w:rPr>
        <w:t>’</w:t>
      </w:r>
      <w:r w:rsidR="001A22D5" w:rsidRPr="00B63BD5">
        <w:rPr>
          <w:lang w:val="fr-CA"/>
        </w:rPr>
        <w:t xml:space="preserve">attention de </w:t>
      </w:r>
      <w:r w:rsidR="00395C82" w:rsidRPr="00B63BD5">
        <w:rPr>
          <w:lang w:val="fr-CA"/>
        </w:rPr>
        <w:tab/>
      </w:r>
      <w:r w:rsidR="00395C82" w:rsidRPr="00B63BD5">
        <w:rPr>
          <w:lang w:val="fr-CA"/>
        </w:rPr>
        <w:tab/>
      </w:r>
      <w:r w:rsidR="00950892" w:rsidRPr="00B63BD5">
        <w:rPr>
          <w:rStyle w:val="Prompt"/>
          <w:lang w:val="fr-CA"/>
        </w:rPr>
        <w:t>●</w:t>
      </w:r>
      <w:r w:rsidRPr="00B63BD5">
        <w:rPr>
          <w:lang w:val="fr-CA"/>
        </w:rPr>
        <w:br/>
      </w:r>
      <w:r w:rsidR="0055614F" w:rsidRPr="00B63BD5">
        <w:rPr>
          <w:lang w:val="fr-CA"/>
        </w:rPr>
        <w:t>Adresse électronique</w:t>
      </w:r>
      <w:r w:rsidR="00AC4107" w:rsidRPr="00B63BD5">
        <w:rPr>
          <w:lang w:val="fr-CA"/>
        </w:rPr>
        <w:t xml:space="preserve"> </w:t>
      </w:r>
      <w:r w:rsidR="0055614F" w:rsidRPr="00B63BD5">
        <w:rPr>
          <w:lang w:val="fr-CA"/>
        </w:rPr>
        <w:t xml:space="preserve">: </w:t>
      </w:r>
      <w:r w:rsidR="00395C82" w:rsidRPr="00B63BD5">
        <w:rPr>
          <w:lang w:val="fr-CA"/>
        </w:rPr>
        <w:tab/>
      </w:r>
      <w:r w:rsidR="00950892" w:rsidRPr="00B63BD5">
        <w:rPr>
          <w:rStyle w:val="Prompt"/>
          <w:lang w:val="fr-CA"/>
        </w:rPr>
        <w:t>●</w:t>
      </w:r>
    </w:p>
    <w:p w14:paraId="0751D622" w14:textId="5519933C" w:rsidR="002037D6" w:rsidRPr="00B63BD5" w:rsidRDefault="002037D6" w:rsidP="00632863">
      <w:pPr>
        <w:keepNext/>
        <w:spacing w:after="240"/>
        <w:ind w:left="720"/>
        <w:jc w:val="both"/>
        <w:rPr>
          <w:b/>
          <w:color w:val="00B0F0"/>
          <w:lang w:val="fr-CA"/>
        </w:rPr>
      </w:pPr>
      <w:r w:rsidRPr="00B63BD5">
        <w:rPr>
          <w:b/>
          <w:color w:val="00B0F0"/>
          <w:lang w:val="fr-CA"/>
        </w:rPr>
        <w:t>[N.B.</w:t>
      </w:r>
      <w:r w:rsidR="00AC4107" w:rsidRPr="00B63BD5">
        <w:rPr>
          <w:b/>
          <w:color w:val="00B0F0"/>
          <w:lang w:val="fr-CA"/>
        </w:rPr>
        <w:t xml:space="preserve"> </w:t>
      </w:r>
      <w:r w:rsidRPr="00B63BD5">
        <w:rPr>
          <w:b/>
          <w:color w:val="00B0F0"/>
          <w:lang w:val="fr-CA"/>
        </w:rPr>
        <w:t xml:space="preserve">: </w:t>
      </w:r>
      <w:r w:rsidR="007A6048" w:rsidRPr="00B63BD5">
        <w:rPr>
          <w:b/>
          <w:color w:val="00B0F0"/>
          <w:lang w:val="fr-CA"/>
        </w:rPr>
        <w:t>Nommer tous les Garants s</w:t>
      </w:r>
      <w:r w:rsidR="00564B0C" w:rsidRPr="00B63BD5">
        <w:rPr>
          <w:b/>
          <w:color w:val="00B0F0"/>
          <w:lang w:val="fr-CA"/>
        </w:rPr>
        <w:t>’</w:t>
      </w:r>
      <w:r w:rsidR="007A6048" w:rsidRPr="00B63BD5">
        <w:rPr>
          <w:b/>
          <w:color w:val="00B0F0"/>
          <w:lang w:val="fr-CA"/>
        </w:rPr>
        <w:t>il y en a plusieurs.</w:t>
      </w:r>
      <w:r w:rsidR="00950892" w:rsidRPr="00B63BD5">
        <w:rPr>
          <w:b/>
          <w:color w:val="00B0F0"/>
          <w:lang w:val="fr-CA"/>
        </w:rPr>
        <w:t xml:space="preserve"> Ne pas indiquer les numéros de</w:t>
      </w:r>
      <w:r w:rsidR="00395C82" w:rsidRPr="00B63BD5">
        <w:rPr>
          <w:b/>
          <w:color w:val="00B0F0"/>
          <w:lang w:val="fr-CA"/>
        </w:rPr>
        <w:t> </w:t>
      </w:r>
      <w:r w:rsidR="00950892" w:rsidRPr="00B63BD5">
        <w:rPr>
          <w:b/>
          <w:color w:val="00B0F0"/>
          <w:lang w:val="fr-CA"/>
        </w:rPr>
        <w:t xml:space="preserve">téléphone. </w:t>
      </w:r>
      <w:r w:rsidR="000B7256" w:rsidRPr="00B63BD5">
        <w:rPr>
          <w:b/>
          <w:color w:val="00B0F0"/>
          <w:lang w:val="fr-CA"/>
        </w:rPr>
        <w:t>Indiquer</w:t>
      </w:r>
      <w:r w:rsidR="00950892" w:rsidRPr="00B63BD5">
        <w:rPr>
          <w:b/>
          <w:color w:val="00B0F0"/>
          <w:lang w:val="fr-CA"/>
        </w:rPr>
        <w:t xml:space="preserve"> au moins une adresse, un numéro de télécopieur ou une adresse électronique pour chaque Garant. S</w:t>
      </w:r>
      <w:r w:rsidR="00564B0C" w:rsidRPr="00B63BD5">
        <w:rPr>
          <w:b/>
          <w:color w:val="00B0F0"/>
          <w:lang w:val="fr-CA"/>
        </w:rPr>
        <w:t>’</w:t>
      </w:r>
      <w:r w:rsidR="00950892" w:rsidRPr="00B63BD5">
        <w:rPr>
          <w:b/>
          <w:color w:val="00B0F0"/>
          <w:lang w:val="fr-CA"/>
        </w:rPr>
        <w:t>il s</w:t>
      </w:r>
      <w:r w:rsidR="00564B0C" w:rsidRPr="00B63BD5">
        <w:rPr>
          <w:b/>
          <w:color w:val="00B0F0"/>
          <w:lang w:val="fr-CA"/>
        </w:rPr>
        <w:t>’</w:t>
      </w:r>
      <w:r w:rsidR="00950892" w:rsidRPr="00B63BD5">
        <w:rPr>
          <w:b/>
          <w:color w:val="00B0F0"/>
          <w:lang w:val="fr-CA"/>
        </w:rPr>
        <w:t>agit d</w:t>
      </w:r>
      <w:r w:rsidR="00564B0C" w:rsidRPr="00B63BD5">
        <w:rPr>
          <w:b/>
          <w:color w:val="00B0F0"/>
          <w:lang w:val="fr-CA"/>
        </w:rPr>
        <w:t>’</w:t>
      </w:r>
      <w:r w:rsidR="00950892" w:rsidRPr="00B63BD5">
        <w:rPr>
          <w:b/>
          <w:color w:val="00B0F0"/>
          <w:lang w:val="fr-CA"/>
        </w:rPr>
        <w:t>un particulier, il n</w:t>
      </w:r>
      <w:r w:rsidR="00564B0C" w:rsidRPr="00B63BD5">
        <w:rPr>
          <w:b/>
          <w:color w:val="00B0F0"/>
          <w:lang w:val="fr-CA"/>
        </w:rPr>
        <w:t>’</w:t>
      </w:r>
      <w:r w:rsidR="00950892" w:rsidRPr="00B63BD5">
        <w:rPr>
          <w:b/>
          <w:color w:val="00B0F0"/>
          <w:lang w:val="fr-CA"/>
        </w:rPr>
        <w:t>est pas nécessaire d</w:t>
      </w:r>
      <w:r w:rsidR="00564B0C" w:rsidRPr="00B63BD5">
        <w:rPr>
          <w:b/>
          <w:color w:val="00B0F0"/>
          <w:lang w:val="fr-CA"/>
        </w:rPr>
        <w:t>’</w:t>
      </w:r>
      <w:r w:rsidR="00950892" w:rsidRPr="00B63BD5">
        <w:rPr>
          <w:b/>
          <w:color w:val="00B0F0"/>
          <w:lang w:val="fr-CA"/>
        </w:rPr>
        <w:t>ajouter «</w:t>
      </w:r>
      <w:r w:rsidR="0094743F" w:rsidRPr="00B63BD5">
        <w:rPr>
          <w:b/>
          <w:color w:val="00B0F0"/>
          <w:lang w:val="fr-CA"/>
        </w:rPr>
        <w:t> </w:t>
      </w:r>
      <w:r w:rsidR="00950892" w:rsidRPr="00B63BD5">
        <w:rPr>
          <w:b/>
          <w:color w:val="00B0F0"/>
          <w:lang w:val="fr-CA"/>
        </w:rPr>
        <w:t>À l</w:t>
      </w:r>
      <w:r w:rsidR="00564B0C" w:rsidRPr="00B63BD5">
        <w:rPr>
          <w:b/>
          <w:color w:val="00B0F0"/>
          <w:lang w:val="fr-CA"/>
        </w:rPr>
        <w:t>’</w:t>
      </w:r>
      <w:r w:rsidR="00950892" w:rsidRPr="00B63BD5">
        <w:rPr>
          <w:b/>
          <w:color w:val="00B0F0"/>
          <w:lang w:val="fr-CA"/>
        </w:rPr>
        <w:t>attention de</w:t>
      </w:r>
      <w:r w:rsidR="0094743F" w:rsidRPr="00B63BD5">
        <w:rPr>
          <w:b/>
          <w:color w:val="00B0F0"/>
          <w:lang w:val="fr-CA"/>
        </w:rPr>
        <w:t> </w:t>
      </w:r>
      <w:r w:rsidR="00950892" w:rsidRPr="00B63BD5">
        <w:rPr>
          <w:b/>
          <w:color w:val="00B0F0"/>
          <w:lang w:val="fr-CA"/>
        </w:rPr>
        <w:t>».</w:t>
      </w:r>
      <w:r w:rsidRPr="00B63BD5">
        <w:rPr>
          <w:b/>
          <w:color w:val="00B0F0"/>
          <w:lang w:val="fr-CA"/>
        </w:rPr>
        <w:t>]</w:t>
      </w:r>
    </w:p>
    <w:p w14:paraId="69907C1D" w14:textId="0DE1FE6C" w:rsidR="00E439BB" w:rsidRPr="00B63BD5" w:rsidRDefault="00190624" w:rsidP="00632863">
      <w:pPr>
        <w:keepNext/>
        <w:spacing w:after="240"/>
        <w:ind w:left="720"/>
        <w:rPr>
          <w:rStyle w:val="Prompt"/>
          <w:lang w:val="fr-CA"/>
        </w:rPr>
      </w:pPr>
      <w:r w:rsidRPr="00B63BD5">
        <w:rPr>
          <w:lang w:val="fr-CA"/>
        </w:rPr>
        <w:t xml:space="preserve">Dans le cas </w:t>
      </w:r>
      <w:r w:rsidR="00950892" w:rsidRPr="00B63BD5">
        <w:rPr>
          <w:lang w:val="fr-CA"/>
        </w:rPr>
        <w:t>[</w:t>
      </w:r>
      <w:r w:rsidRPr="00B63BD5">
        <w:rPr>
          <w:lang w:val="fr-CA"/>
        </w:rPr>
        <w:t>du Garant</w:t>
      </w:r>
      <w:r w:rsidR="007A6048" w:rsidRPr="00B63BD5">
        <w:rPr>
          <w:lang w:val="fr-CA"/>
        </w:rPr>
        <w:t xml:space="preserve"> </w:t>
      </w:r>
      <w:r w:rsidR="00950892" w:rsidRPr="00B63BD5">
        <w:rPr>
          <w:b/>
          <w:color w:val="00B0F0"/>
          <w:highlight w:val="yellow"/>
          <w:lang w:val="fr-CA"/>
        </w:rPr>
        <w:t>OU</w:t>
      </w:r>
      <w:r w:rsidR="00950892" w:rsidRPr="00B63BD5">
        <w:rPr>
          <w:lang w:val="fr-CA"/>
        </w:rPr>
        <w:t xml:space="preserve"> </w:t>
      </w:r>
      <w:r w:rsidR="007A6048" w:rsidRPr="00B63BD5">
        <w:rPr>
          <w:lang w:val="fr-CA"/>
        </w:rPr>
        <w:t>des Garants]</w:t>
      </w:r>
      <w:r w:rsidR="00AC4107" w:rsidRPr="00B63BD5">
        <w:rPr>
          <w:lang w:val="fr-CA"/>
        </w:rPr>
        <w:t xml:space="preserve"> </w:t>
      </w:r>
      <w:r w:rsidR="00A10840" w:rsidRPr="00B63BD5">
        <w:rPr>
          <w:lang w:val="fr-CA"/>
        </w:rPr>
        <w:t xml:space="preserve">: </w:t>
      </w:r>
      <w:r w:rsidR="003344C8" w:rsidRPr="00B63BD5">
        <w:rPr>
          <w:lang w:val="fr-CA"/>
        </w:rPr>
        <w:br/>
      </w:r>
      <w:r w:rsidR="003344C8" w:rsidRPr="00B63BD5">
        <w:rPr>
          <w:lang w:val="fr-CA"/>
        </w:rPr>
        <w:br/>
      </w:r>
      <w:r w:rsidRPr="00B63BD5">
        <w:rPr>
          <w:lang w:val="fr-CA"/>
        </w:rPr>
        <w:t xml:space="preserve">[Nom du Garant] </w:t>
      </w:r>
      <w:r w:rsidR="003344C8" w:rsidRPr="00B63BD5">
        <w:rPr>
          <w:lang w:val="fr-CA"/>
        </w:rPr>
        <w:br/>
      </w:r>
      <w:r w:rsidR="009D0841" w:rsidRPr="00B63BD5">
        <w:rPr>
          <w:rStyle w:val="Prompt"/>
          <w:lang w:val="fr-CA"/>
        </w:rPr>
        <w:t>●</w:t>
      </w:r>
      <w:r w:rsidR="003344C8" w:rsidRPr="00B63BD5">
        <w:rPr>
          <w:lang w:val="fr-CA"/>
        </w:rPr>
        <w:br/>
      </w:r>
      <w:r w:rsidR="003344C8" w:rsidRPr="00B63BD5">
        <w:rPr>
          <w:lang w:val="fr-CA"/>
        </w:rPr>
        <w:br/>
      </w:r>
      <w:r w:rsidR="001A22D5" w:rsidRPr="00B63BD5">
        <w:rPr>
          <w:lang w:val="fr-CA"/>
        </w:rPr>
        <w:t>À l</w:t>
      </w:r>
      <w:r w:rsidR="00564B0C" w:rsidRPr="00B63BD5">
        <w:rPr>
          <w:lang w:val="fr-CA"/>
        </w:rPr>
        <w:t>’</w:t>
      </w:r>
      <w:r w:rsidR="001A22D5" w:rsidRPr="00B63BD5">
        <w:rPr>
          <w:lang w:val="fr-CA"/>
        </w:rPr>
        <w:t xml:space="preserve">attention de </w:t>
      </w:r>
      <w:r w:rsidR="00395C82" w:rsidRPr="00B63BD5">
        <w:rPr>
          <w:lang w:val="fr-CA"/>
        </w:rPr>
        <w:tab/>
      </w:r>
      <w:r w:rsidR="00395C82" w:rsidRPr="00B63BD5">
        <w:rPr>
          <w:lang w:val="fr-CA"/>
        </w:rPr>
        <w:tab/>
      </w:r>
      <w:r w:rsidR="00950892" w:rsidRPr="00B63BD5">
        <w:rPr>
          <w:rStyle w:val="Prompt"/>
          <w:lang w:val="fr-CA"/>
        </w:rPr>
        <w:t>●</w:t>
      </w:r>
      <w:r w:rsidRPr="00B63BD5">
        <w:rPr>
          <w:lang w:val="fr-CA"/>
        </w:rPr>
        <w:br/>
      </w:r>
      <w:r w:rsidR="00837EF7" w:rsidRPr="00B63BD5">
        <w:rPr>
          <w:lang w:val="fr-CA"/>
        </w:rPr>
        <w:t>N</w:t>
      </w:r>
      <w:r w:rsidR="00837EF7" w:rsidRPr="00B63BD5">
        <w:rPr>
          <w:vertAlign w:val="superscript"/>
          <w:lang w:val="fr-CA"/>
        </w:rPr>
        <w:t>o</w:t>
      </w:r>
      <w:r w:rsidR="00837EF7" w:rsidRPr="00B63BD5">
        <w:rPr>
          <w:lang w:val="fr-CA"/>
        </w:rPr>
        <w:t xml:space="preserve"> </w:t>
      </w:r>
      <w:r w:rsidRPr="00B63BD5">
        <w:rPr>
          <w:lang w:val="fr-CA"/>
        </w:rPr>
        <w:t>de télécopieur</w:t>
      </w:r>
      <w:r w:rsidR="00AC4107" w:rsidRPr="00B63BD5">
        <w:rPr>
          <w:lang w:val="fr-CA"/>
        </w:rPr>
        <w:t xml:space="preserve"> </w:t>
      </w:r>
      <w:r w:rsidRPr="00B63BD5">
        <w:rPr>
          <w:lang w:val="fr-CA"/>
        </w:rPr>
        <w:t xml:space="preserve">: </w:t>
      </w:r>
      <w:r w:rsidR="00395C82" w:rsidRPr="00B63BD5">
        <w:rPr>
          <w:lang w:val="fr-CA"/>
        </w:rPr>
        <w:tab/>
      </w:r>
      <w:r w:rsidR="00950892" w:rsidRPr="00B63BD5">
        <w:rPr>
          <w:rStyle w:val="Prompt"/>
          <w:lang w:val="fr-CA"/>
        </w:rPr>
        <w:t>●</w:t>
      </w:r>
      <w:r w:rsidR="0055614F" w:rsidRPr="00B63BD5">
        <w:rPr>
          <w:lang w:val="fr-CA"/>
        </w:rPr>
        <w:br/>
        <w:t>Adresse électronique</w:t>
      </w:r>
      <w:r w:rsidR="00AC4107" w:rsidRPr="00B63BD5">
        <w:rPr>
          <w:lang w:val="fr-CA"/>
        </w:rPr>
        <w:t xml:space="preserve"> </w:t>
      </w:r>
      <w:r w:rsidR="0055614F" w:rsidRPr="00B63BD5">
        <w:rPr>
          <w:lang w:val="fr-CA"/>
        </w:rPr>
        <w:t xml:space="preserve">: </w:t>
      </w:r>
      <w:r w:rsidR="00395C82" w:rsidRPr="00B63BD5">
        <w:rPr>
          <w:lang w:val="fr-CA"/>
        </w:rPr>
        <w:tab/>
      </w:r>
      <w:r w:rsidR="00950892" w:rsidRPr="00B63BD5">
        <w:rPr>
          <w:rStyle w:val="Prompt"/>
          <w:lang w:val="fr-CA"/>
        </w:rPr>
        <w:t>●</w:t>
      </w:r>
    </w:p>
    <w:p w14:paraId="12E89657" w14:textId="357BACD2" w:rsidR="009926E7" w:rsidRPr="00B63BD5" w:rsidRDefault="00B2351C" w:rsidP="009027EF">
      <w:pPr>
        <w:pStyle w:val="04LOLglNew1"/>
        <w:rPr>
          <w:lang w:val="fr-CA"/>
        </w:rPr>
      </w:pPr>
      <w:r w:rsidRPr="00B63BD5">
        <w:rPr>
          <w:lang w:val="fr-CA"/>
        </w:rPr>
        <w:t xml:space="preserve">Expiration </w:t>
      </w:r>
      <w:r w:rsidR="00EB0E96" w:rsidRPr="00B63BD5">
        <w:rPr>
          <w:lang w:val="fr-CA"/>
        </w:rPr>
        <w:t>et annulation</w:t>
      </w:r>
    </w:p>
    <w:p w14:paraId="7FDC37A2" w14:textId="4923F4DA" w:rsidR="00EB0E96" w:rsidRPr="00B63BD5" w:rsidRDefault="00FA1CDA"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L</w:t>
      </w:r>
      <w:r w:rsidR="00EB0E96" w:rsidRPr="00B63BD5">
        <w:rPr>
          <w:lang w:val="fr-CA"/>
        </w:rPr>
        <w:t xml:space="preserve">a présente Lettre </w:t>
      </w:r>
      <w:r w:rsidR="00E14A26" w:rsidRPr="00B63BD5">
        <w:rPr>
          <w:lang w:val="fr-CA"/>
        </w:rPr>
        <w:t xml:space="preserve">relative aux facilités </w:t>
      </w:r>
      <w:r w:rsidR="00EB0E96" w:rsidRPr="00B63BD5">
        <w:rPr>
          <w:lang w:val="fr-CA"/>
        </w:rPr>
        <w:t>expire</w:t>
      </w:r>
      <w:r w:rsidR="00E14A26" w:rsidRPr="00B63BD5">
        <w:rPr>
          <w:lang w:val="fr-CA"/>
        </w:rPr>
        <w:t>ra</w:t>
      </w:r>
      <w:r w:rsidR="00EB0E96" w:rsidRPr="00B63BD5">
        <w:rPr>
          <w:lang w:val="fr-CA"/>
        </w:rPr>
        <w:t xml:space="preserve"> et </w:t>
      </w:r>
      <w:r w:rsidR="00EF3133" w:rsidRPr="00B63BD5">
        <w:rPr>
          <w:lang w:val="fr-CA"/>
        </w:rPr>
        <w:t>cessera de produire ses effets,</w:t>
      </w:r>
      <w:r w:rsidRPr="00B63BD5">
        <w:rPr>
          <w:lang w:val="fr-CA"/>
        </w:rPr>
        <w:t xml:space="preserve"> au gré de la Banque, </w:t>
      </w:r>
      <w:r w:rsidR="00EB0E96" w:rsidRPr="00B63BD5">
        <w:rPr>
          <w:lang w:val="fr-CA"/>
        </w:rPr>
        <w:t>si</w:t>
      </w:r>
      <w:r w:rsidR="00395C82" w:rsidRPr="00B63BD5">
        <w:rPr>
          <w:lang w:val="fr-CA"/>
        </w:rPr>
        <w:t> </w:t>
      </w:r>
      <w:r w:rsidR="00AE5281" w:rsidRPr="00B63BD5">
        <w:rPr>
          <w:lang w:val="fr-CA"/>
        </w:rPr>
        <w:t>aucune</w:t>
      </w:r>
      <w:r w:rsidR="00EB0E96" w:rsidRPr="00B63BD5">
        <w:rPr>
          <w:lang w:val="fr-CA"/>
        </w:rPr>
        <w:t xml:space="preserve"> avance </w:t>
      </w:r>
      <w:r w:rsidR="00EF3133" w:rsidRPr="00B63BD5">
        <w:rPr>
          <w:lang w:val="fr-CA"/>
        </w:rPr>
        <w:t>n</w:t>
      </w:r>
      <w:r w:rsidR="00564B0C" w:rsidRPr="00B63BD5">
        <w:rPr>
          <w:lang w:val="fr-CA"/>
        </w:rPr>
        <w:t>’</w:t>
      </w:r>
      <w:r w:rsidR="00EF3133" w:rsidRPr="00B63BD5">
        <w:rPr>
          <w:lang w:val="fr-CA"/>
        </w:rPr>
        <w:t xml:space="preserve">a été faite sur </w:t>
      </w:r>
      <w:r w:rsidR="00016F01" w:rsidRPr="00B63BD5">
        <w:rPr>
          <w:lang w:val="fr-CA"/>
        </w:rPr>
        <w:t>les</w:t>
      </w:r>
      <w:r w:rsidR="00AF4871" w:rsidRPr="00B63BD5">
        <w:rPr>
          <w:lang w:val="fr-CA"/>
        </w:rPr>
        <w:t xml:space="preserve"> Facilité</w:t>
      </w:r>
      <w:r w:rsidR="00016F01" w:rsidRPr="00B63BD5">
        <w:rPr>
          <w:lang w:val="fr-CA"/>
        </w:rPr>
        <w:t>s</w:t>
      </w:r>
      <w:r w:rsidR="00AF4871" w:rsidRPr="00B63BD5">
        <w:rPr>
          <w:lang w:val="fr-CA"/>
        </w:rPr>
        <w:t xml:space="preserve"> de crédit </w:t>
      </w:r>
      <w:r w:rsidR="00EB0E96" w:rsidRPr="00B63BD5">
        <w:rPr>
          <w:lang w:val="fr-CA"/>
        </w:rPr>
        <w:t>dans les soixante</w:t>
      </w:r>
      <w:r w:rsidR="00AC4107" w:rsidRPr="00B63BD5">
        <w:rPr>
          <w:lang w:val="fr-CA"/>
        </w:rPr>
        <w:t xml:space="preserve"> </w:t>
      </w:r>
      <w:r w:rsidR="00EB0E96" w:rsidRPr="00B63BD5">
        <w:rPr>
          <w:lang w:val="fr-CA"/>
        </w:rPr>
        <w:t>(60) jours suivant la date de</w:t>
      </w:r>
      <w:r w:rsidR="00395C82" w:rsidRPr="00B63BD5">
        <w:rPr>
          <w:lang w:val="fr-CA"/>
        </w:rPr>
        <w:t> </w:t>
      </w:r>
      <w:r w:rsidR="00EB0E96" w:rsidRPr="00B63BD5">
        <w:rPr>
          <w:lang w:val="fr-CA"/>
        </w:rPr>
        <w:t>la</w:t>
      </w:r>
      <w:r w:rsidR="00395C82" w:rsidRPr="00B63BD5">
        <w:rPr>
          <w:lang w:val="fr-CA"/>
        </w:rPr>
        <w:t> </w:t>
      </w:r>
      <w:r w:rsidR="00EB0E96" w:rsidRPr="00B63BD5">
        <w:rPr>
          <w:lang w:val="fr-CA"/>
        </w:rPr>
        <w:t xml:space="preserve">présente Lettre </w:t>
      </w:r>
      <w:r w:rsidR="00AF4871" w:rsidRPr="00B63BD5">
        <w:rPr>
          <w:lang w:val="fr-CA"/>
        </w:rPr>
        <w:t>relative aux facilités</w:t>
      </w:r>
      <w:r w:rsidR="00EB0E96" w:rsidRPr="00B63BD5">
        <w:rPr>
          <w:lang w:val="fr-CA"/>
        </w:rPr>
        <w:t xml:space="preserve">. </w:t>
      </w:r>
    </w:p>
    <w:p w14:paraId="3E4F2C40" w14:textId="0D2ACC1E" w:rsidR="00C56A4A" w:rsidRPr="00B63BD5" w:rsidRDefault="00C56A4A" w:rsidP="00632863">
      <w:pPr>
        <w:spacing w:after="240"/>
        <w:jc w:val="both"/>
        <w:rPr>
          <w:b/>
          <w:color w:val="00B0F0"/>
          <w:lang w:val="fr-CA"/>
        </w:rPr>
      </w:pPr>
      <w:r w:rsidRPr="00B63BD5">
        <w:rPr>
          <w:b/>
          <w:color w:val="00B0F0"/>
          <w:highlight w:val="yellow"/>
          <w:lang w:val="fr-CA"/>
        </w:rPr>
        <w:t>[</w:t>
      </w:r>
      <w:r w:rsidR="00EC3CB5" w:rsidRPr="00B63BD5">
        <w:rPr>
          <w:b/>
          <w:color w:val="00B0F0"/>
          <w:highlight w:val="yellow"/>
          <w:lang w:val="fr-CA"/>
        </w:rPr>
        <w:t>N.B. :</w:t>
      </w:r>
      <w:r w:rsidR="009B61B1" w:rsidRPr="00B63BD5">
        <w:rPr>
          <w:b/>
          <w:color w:val="00B0F0"/>
          <w:highlight w:val="yellow"/>
          <w:lang w:val="fr-CA"/>
        </w:rPr>
        <w:t xml:space="preserve"> </w:t>
      </w:r>
      <w:r w:rsidR="00EB0E96" w:rsidRPr="00B63BD5">
        <w:rPr>
          <w:b/>
          <w:color w:val="00B0F0"/>
          <w:highlight w:val="yellow"/>
          <w:u w:val="single"/>
          <w:lang w:val="fr-CA"/>
        </w:rPr>
        <w:t>Ne pas</w:t>
      </w:r>
      <w:r w:rsidR="00EB0E96" w:rsidRPr="00B63BD5">
        <w:rPr>
          <w:b/>
          <w:color w:val="00B0F0"/>
          <w:highlight w:val="yellow"/>
          <w:lang w:val="fr-CA"/>
        </w:rPr>
        <w:t xml:space="preserve"> modifier l</w:t>
      </w:r>
      <w:r w:rsidR="00AD581E" w:rsidRPr="00B63BD5">
        <w:rPr>
          <w:b/>
          <w:color w:val="00B0F0"/>
          <w:highlight w:val="yellow"/>
          <w:lang w:val="fr-CA"/>
        </w:rPr>
        <w:t xml:space="preserve">a </w:t>
      </w:r>
      <w:r w:rsidR="00EF3133" w:rsidRPr="00B63BD5">
        <w:rPr>
          <w:b/>
          <w:color w:val="00B0F0"/>
          <w:highlight w:val="yellow"/>
          <w:lang w:val="fr-CA"/>
        </w:rPr>
        <w:t xml:space="preserve">substance </w:t>
      </w:r>
      <w:r w:rsidR="00EB0E96" w:rsidRPr="00B63BD5">
        <w:rPr>
          <w:b/>
          <w:color w:val="00B0F0"/>
          <w:highlight w:val="yellow"/>
          <w:lang w:val="fr-CA"/>
        </w:rPr>
        <w:t>de la disposition suivante sans le consentement préalable du</w:t>
      </w:r>
      <w:r w:rsidR="00395C82" w:rsidRPr="00B63BD5">
        <w:rPr>
          <w:b/>
          <w:color w:val="00B0F0"/>
          <w:highlight w:val="yellow"/>
          <w:lang w:val="fr-CA"/>
        </w:rPr>
        <w:t> </w:t>
      </w:r>
      <w:r w:rsidR="00EB0E96" w:rsidRPr="00B63BD5">
        <w:rPr>
          <w:b/>
          <w:color w:val="00B0F0"/>
          <w:highlight w:val="yellow"/>
          <w:lang w:val="fr-CA"/>
        </w:rPr>
        <w:t xml:space="preserve">service du crédit de la Banque. </w:t>
      </w:r>
      <w:r w:rsidR="00EF0C5E" w:rsidRPr="00B63BD5">
        <w:rPr>
          <w:b/>
          <w:color w:val="00B0F0"/>
          <w:highlight w:val="yellow"/>
          <w:lang w:val="fr-CA"/>
        </w:rPr>
        <w:t>L</w:t>
      </w:r>
      <w:r w:rsidR="00564B0C" w:rsidRPr="00B63BD5">
        <w:rPr>
          <w:b/>
          <w:color w:val="00B0F0"/>
          <w:highlight w:val="yellow"/>
          <w:lang w:val="fr-CA"/>
        </w:rPr>
        <w:t>’</w:t>
      </w:r>
      <w:r w:rsidR="00EF0C5E" w:rsidRPr="00B63BD5">
        <w:rPr>
          <w:b/>
          <w:color w:val="00B0F0"/>
          <w:highlight w:val="yellow"/>
          <w:lang w:val="fr-CA"/>
        </w:rPr>
        <w:t>Unité</w:t>
      </w:r>
      <w:r w:rsidR="00AD581E" w:rsidRPr="00B63BD5">
        <w:rPr>
          <w:b/>
          <w:color w:val="00B0F0"/>
          <w:highlight w:val="yellow"/>
          <w:lang w:val="fr-CA"/>
        </w:rPr>
        <w:t xml:space="preserve"> de gestion des prêts</w:t>
      </w:r>
      <w:r w:rsidR="00B63306" w:rsidRPr="00B63BD5">
        <w:rPr>
          <w:b/>
          <w:color w:val="00B0F0"/>
          <w:highlight w:val="yellow"/>
          <w:lang w:val="fr-CA"/>
        </w:rPr>
        <w:t xml:space="preserve"> </w:t>
      </w:r>
      <w:r w:rsidR="00EB0E96" w:rsidRPr="00B63BD5">
        <w:rPr>
          <w:b/>
          <w:color w:val="00B0F0"/>
          <w:highlight w:val="yellow"/>
          <w:lang w:val="fr-CA"/>
        </w:rPr>
        <w:t>peut</w:t>
      </w:r>
      <w:r w:rsidR="00EF3133" w:rsidRPr="00B63BD5">
        <w:rPr>
          <w:b/>
          <w:color w:val="00B0F0"/>
          <w:highlight w:val="yellow"/>
          <w:lang w:val="fr-CA"/>
        </w:rPr>
        <w:t xml:space="preserve"> </w:t>
      </w:r>
      <w:r w:rsidR="00EB0E96" w:rsidRPr="00B63BD5">
        <w:rPr>
          <w:b/>
          <w:color w:val="00B0F0"/>
          <w:highlight w:val="yellow"/>
          <w:lang w:val="fr-CA"/>
        </w:rPr>
        <w:t>modifier l</w:t>
      </w:r>
      <w:r w:rsidR="00AD581E" w:rsidRPr="00B63BD5">
        <w:rPr>
          <w:b/>
          <w:color w:val="00B0F0"/>
          <w:highlight w:val="yellow"/>
          <w:lang w:val="fr-CA"/>
        </w:rPr>
        <w:t>a disposition</w:t>
      </w:r>
      <w:r w:rsidR="00EB0E96" w:rsidRPr="00B63BD5">
        <w:rPr>
          <w:b/>
          <w:color w:val="00B0F0"/>
          <w:highlight w:val="yellow"/>
          <w:lang w:val="fr-CA"/>
        </w:rPr>
        <w:t xml:space="preserve"> suivant</w:t>
      </w:r>
      <w:r w:rsidR="00AD581E" w:rsidRPr="00B63BD5">
        <w:rPr>
          <w:b/>
          <w:color w:val="00B0F0"/>
          <w:highlight w:val="yellow"/>
          <w:lang w:val="fr-CA"/>
        </w:rPr>
        <w:t>e</w:t>
      </w:r>
      <w:r w:rsidR="00EB0E96" w:rsidRPr="00B63BD5">
        <w:rPr>
          <w:b/>
          <w:color w:val="00B0F0"/>
          <w:highlight w:val="yellow"/>
          <w:lang w:val="fr-CA"/>
        </w:rPr>
        <w:t xml:space="preserve"> </w:t>
      </w:r>
      <w:r w:rsidR="00AD581E" w:rsidRPr="00B63BD5">
        <w:rPr>
          <w:b/>
          <w:color w:val="00B0F0"/>
          <w:highlight w:val="yellow"/>
          <w:lang w:val="fr-CA"/>
        </w:rPr>
        <w:t xml:space="preserve">dans </w:t>
      </w:r>
      <w:r w:rsidR="00EB0E96" w:rsidRPr="00B63BD5">
        <w:rPr>
          <w:b/>
          <w:color w:val="00B0F0"/>
          <w:highlight w:val="yellow"/>
          <w:lang w:val="fr-CA"/>
        </w:rPr>
        <w:t>les dossiers qu</w:t>
      </w:r>
      <w:r w:rsidR="00564B0C" w:rsidRPr="00B63BD5">
        <w:rPr>
          <w:b/>
          <w:color w:val="00B0F0"/>
          <w:highlight w:val="yellow"/>
          <w:lang w:val="fr-CA"/>
        </w:rPr>
        <w:t>’</w:t>
      </w:r>
      <w:r w:rsidR="00EB0E96" w:rsidRPr="00B63BD5">
        <w:rPr>
          <w:b/>
          <w:color w:val="00B0F0"/>
          <w:highlight w:val="yellow"/>
          <w:lang w:val="fr-CA"/>
        </w:rPr>
        <w:t>elle gère</w:t>
      </w:r>
      <w:r w:rsidR="00EF3133" w:rsidRPr="00B63BD5">
        <w:rPr>
          <w:b/>
          <w:color w:val="00B0F0"/>
          <w:highlight w:val="yellow"/>
          <w:lang w:val="fr-CA"/>
        </w:rPr>
        <w:t>, à sa discrétion</w:t>
      </w:r>
      <w:r w:rsidR="00EB0E96" w:rsidRPr="00B63BD5">
        <w:rPr>
          <w:b/>
          <w:color w:val="00B0F0"/>
          <w:highlight w:val="yellow"/>
          <w:lang w:val="fr-CA"/>
        </w:rPr>
        <w:t>.</w:t>
      </w:r>
      <w:r w:rsidRPr="00B63BD5">
        <w:rPr>
          <w:b/>
          <w:color w:val="00B0F0"/>
          <w:highlight w:val="yellow"/>
          <w:lang w:val="fr-CA"/>
        </w:rPr>
        <w:t>]</w:t>
      </w:r>
    </w:p>
    <w:p w14:paraId="7E616A63" w14:textId="23C8B11D" w:rsidR="00EB0E96" w:rsidRPr="00B63BD5" w:rsidRDefault="00EB0E9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xml:space="preserve">Les Facilités de crédit </w:t>
      </w:r>
      <w:r w:rsidR="00EF3133" w:rsidRPr="00B63BD5">
        <w:rPr>
          <w:lang w:val="fr-CA"/>
        </w:rPr>
        <w:t>qui font l</w:t>
      </w:r>
      <w:r w:rsidR="00564B0C" w:rsidRPr="00B63BD5">
        <w:rPr>
          <w:lang w:val="fr-CA"/>
        </w:rPr>
        <w:t>’</w:t>
      </w:r>
      <w:r w:rsidR="00EF3133" w:rsidRPr="00B63BD5">
        <w:rPr>
          <w:lang w:val="fr-CA"/>
        </w:rPr>
        <w:t xml:space="preserve">objet </w:t>
      </w:r>
      <w:r w:rsidRPr="00B63BD5">
        <w:rPr>
          <w:lang w:val="fr-CA"/>
        </w:rPr>
        <w:t xml:space="preserve">de la présente Lettre </w:t>
      </w:r>
      <w:r w:rsidR="00E902CC" w:rsidRPr="00B63BD5">
        <w:rPr>
          <w:lang w:val="fr-CA"/>
        </w:rPr>
        <w:t>relative aux facilités</w:t>
      </w:r>
      <w:r w:rsidR="00EF3133" w:rsidRPr="00B63BD5">
        <w:rPr>
          <w:lang w:val="fr-CA"/>
        </w:rPr>
        <w:t xml:space="preserve"> sont des facilités</w:t>
      </w:r>
      <w:r w:rsidR="00B2351C" w:rsidRPr="00B63BD5">
        <w:rPr>
          <w:lang w:val="fr-CA"/>
        </w:rPr>
        <w:t xml:space="preserve"> </w:t>
      </w:r>
      <w:r w:rsidR="004E3623" w:rsidRPr="00B63BD5">
        <w:rPr>
          <w:lang w:val="fr-CA"/>
        </w:rPr>
        <w:t xml:space="preserve">sans </w:t>
      </w:r>
      <w:r w:rsidR="00B2351C" w:rsidRPr="00B63BD5">
        <w:rPr>
          <w:lang w:val="fr-CA"/>
        </w:rPr>
        <w:t>engage</w:t>
      </w:r>
      <w:r w:rsidR="004E3623" w:rsidRPr="00B63BD5">
        <w:rPr>
          <w:lang w:val="fr-CA"/>
        </w:rPr>
        <w:t>ment</w:t>
      </w:r>
      <w:r w:rsidR="00EF3133" w:rsidRPr="00B63BD5">
        <w:rPr>
          <w:lang w:val="fr-CA"/>
        </w:rPr>
        <w:t xml:space="preserve"> </w:t>
      </w:r>
      <w:r w:rsidRPr="00B63BD5">
        <w:rPr>
          <w:lang w:val="fr-CA"/>
        </w:rPr>
        <w:t xml:space="preserve">et, nonobstant toute autre disposition de la présente Lettre </w:t>
      </w:r>
      <w:r w:rsidR="00E902CC" w:rsidRPr="00B63BD5">
        <w:rPr>
          <w:lang w:val="fr-CA"/>
        </w:rPr>
        <w:t>relative aux facilités</w:t>
      </w:r>
      <w:r w:rsidRPr="00B63BD5">
        <w:rPr>
          <w:lang w:val="fr-CA"/>
        </w:rPr>
        <w:t>, la Banque peut, à quelque moment que ce soit</w:t>
      </w:r>
      <w:r w:rsidR="00EF3133" w:rsidRPr="00B63BD5">
        <w:rPr>
          <w:lang w:val="fr-CA"/>
        </w:rPr>
        <w:t xml:space="preserve"> et</w:t>
      </w:r>
      <w:r w:rsidRPr="00B63BD5">
        <w:rPr>
          <w:lang w:val="fr-CA"/>
        </w:rPr>
        <w:t xml:space="preserve"> à son entière discrétion, (i)</w:t>
      </w:r>
      <w:r w:rsidR="00B2351C" w:rsidRPr="00B63BD5">
        <w:rPr>
          <w:lang w:val="fr-CA"/>
        </w:rPr>
        <w:t xml:space="preserve"> mettre fin à</w:t>
      </w:r>
      <w:r w:rsidR="00EF3133" w:rsidRPr="00B63BD5">
        <w:rPr>
          <w:lang w:val="fr-CA"/>
        </w:rPr>
        <w:t xml:space="preserve"> </w:t>
      </w:r>
      <w:r w:rsidR="00521AAA" w:rsidRPr="00B63BD5">
        <w:rPr>
          <w:lang w:val="fr-CA"/>
        </w:rPr>
        <w:t xml:space="preserve">tout </w:t>
      </w:r>
      <w:r w:rsidRPr="00B63BD5">
        <w:rPr>
          <w:lang w:val="fr-CA"/>
        </w:rPr>
        <w:t>droit de demande</w:t>
      </w:r>
      <w:r w:rsidR="00E902CC" w:rsidRPr="00B63BD5">
        <w:rPr>
          <w:lang w:val="fr-CA"/>
        </w:rPr>
        <w:t>r</w:t>
      </w:r>
      <w:r w:rsidRPr="00B63BD5">
        <w:rPr>
          <w:lang w:val="fr-CA"/>
        </w:rPr>
        <w:t xml:space="preserve"> de</w:t>
      </w:r>
      <w:r w:rsidR="00E902CC" w:rsidRPr="00B63BD5">
        <w:rPr>
          <w:lang w:val="fr-CA"/>
        </w:rPr>
        <w:t>s</w:t>
      </w:r>
      <w:r w:rsidR="00395C82" w:rsidRPr="00B63BD5">
        <w:rPr>
          <w:lang w:val="fr-CA"/>
        </w:rPr>
        <w:t> </w:t>
      </w:r>
      <w:r w:rsidRPr="00B63BD5">
        <w:rPr>
          <w:lang w:val="fr-CA"/>
        </w:rPr>
        <w:t>crédit</w:t>
      </w:r>
      <w:r w:rsidR="00FA1CDA" w:rsidRPr="00B63BD5">
        <w:rPr>
          <w:lang w:val="fr-CA"/>
        </w:rPr>
        <w:t>s</w:t>
      </w:r>
      <w:r w:rsidRPr="00B63BD5">
        <w:rPr>
          <w:lang w:val="fr-CA"/>
        </w:rPr>
        <w:t xml:space="preserve"> ou d</w:t>
      </w:r>
      <w:r w:rsidR="00E902CC" w:rsidRPr="00B63BD5">
        <w:rPr>
          <w:lang w:val="fr-CA"/>
        </w:rPr>
        <w:t xml:space="preserve">es </w:t>
      </w:r>
      <w:r w:rsidRPr="00B63BD5">
        <w:rPr>
          <w:lang w:val="fr-CA"/>
        </w:rPr>
        <w:t xml:space="preserve">avances </w:t>
      </w:r>
      <w:r w:rsidR="00EF3133" w:rsidRPr="00B63BD5">
        <w:rPr>
          <w:lang w:val="fr-CA"/>
        </w:rPr>
        <w:t xml:space="preserve">sur les </w:t>
      </w:r>
      <w:r w:rsidRPr="00B63BD5">
        <w:rPr>
          <w:lang w:val="fr-CA"/>
        </w:rPr>
        <w:t>Facilités de crédit</w:t>
      </w:r>
      <w:r w:rsidR="00E902CC" w:rsidRPr="00B63BD5">
        <w:rPr>
          <w:lang w:val="fr-CA"/>
        </w:rPr>
        <w:t>,</w:t>
      </w:r>
      <w:r w:rsidRPr="00B63BD5">
        <w:rPr>
          <w:lang w:val="fr-CA"/>
        </w:rPr>
        <w:t xml:space="preserve"> (ii)</w:t>
      </w:r>
      <w:r w:rsidR="00AC4107" w:rsidRPr="00B63BD5">
        <w:rPr>
          <w:lang w:val="fr-CA"/>
        </w:rPr>
        <w:t xml:space="preserve"> </w:t>
      </w:r>
      <w:r w:rsidRPr="00B63BD5">
        <w:rPr>
          <w:lang w:val="fr-CA"/>
        </w:rPr>
        <w:t xml:space="preserve">même si </w:t>
      </w:r>
      <w:r w:rsidR="00E902CC" w:rsidRPr="00B63BD5">
        <w:rPr>
          <w:lang w:val="fr-CA"/>
        </w:rPr>
        <w:t xml:space="preserve">elle </w:t>
      </w:r>
      <w:r w:rsidRPr="00B63BD5">
        <w:rPr>
          <w:lang w:val="fr-CA"/>
        </w:rPr>
        <w:t>n</w:t>
      </w:r>
      <w:r w:rsidR="00564B0C" w:rsidRPr="00B63BD5">
        <w:rPr>
          <w:lang w:val="fr-CA"/>
        </w:rPr>
        <w:t>’</w:t>
      </w:r>
      <w:r w:rsidRPr="00B63BD5">
        <w:rPr>
          <w:lang w:val="fr-CA"/>
        </w:rPr>
        <w:t>a pas</w:t>
      </w:r>
      <w:r w:rsidR="00B2351C" w:rsidRPr="00B63BD5">
        <w:rPr>
          <w:lang w:val="fr-CA"/>
        </w:rPr>
        <w:t xml:space="preserve"> </w:t>
      </w:r>
      <w:r w:rsidR="00A531C3" w:rsidRPr="00B63BD5">
        <w:rPr>
          <w:lang w:val="fr-CA"/>
        </w:rPr>
        <w:t>m</w:t>
      </w:r>
      <w:r w:rsidR="00B2351C" w:rsidRPr="00B63BD5">
        <w:rPr>
          <w:lang w:val="fr-CA"/>
        </w:rPr>
        <w:t>is fin à</w:t>
      </w:r>
      <w:r w:rsidRPr="00B63BD5">
        <w:rPr>
          <w:lang w:val="fr-CA"/>
        </w:rPr>
        <w:t xml:space="preserve"> </w:t>
      </w:r>
      <w:r w:rsidR="00521AAA" w:rsidRPr="00B63BD5">
        <w:rPr>
          <w:lang w:val="fr-CA"/>
        </w:rPr>
        <w:t>c</w:t>
      </w:r>
      <w:r w:rsidR="00EF3133" w:rsidRPr="00B63BD5">
        <w:rPr>
          <w:lang w:val="fr-CA"/>
        </w:rPr>
        <w:t xml:space="preserve">e </w:t>
      </w:r>
      <w:r w:rsidRPr="00B63BD5">
        <w:rPr>
          <w:lang w:val="fr-CA"/>
        </w:rPr>
        <w:t>droit de</w:t>
      </w:r>
      <w:r w:rsidR="00395C82" w:rsidRPr="00B63BD5">
        <w:rPr>
          <w:lang w:val="fr-CA"/>
        </w:rPr>
        <w:t> </w:t>
      </w:r>
      <w:r w:rsidRPr="00B63BD5">
        <w:rPr>
          <w:lang w:val="fr-CA"/>
        </w:rPr>
        <w:t>demander</w:t>
      </w:r>
      <w:r w:rsidR="00395C82" w:rsidRPr="00B63BD5">
        <w:rPr>
          <w:lang w:val="fr-CA"/>
        </w:rPr>
        <w:t> </w:t>
      </w:r>
      <w:r w:rsidRPr="00B63BD5">
        <w:rPr>
          <w:lang w:val="fr-CA"/>
        </w:rPr>
        <w:t xml:space="preserve">des crédits ou des avances </w:t>
      </w:r>
      <w:r w:rsidR="00EF3133" w:rsidRPr="00B63BD5">
        <w:rPr>
          <w:lang w:val="fr-CA"/>
        </w:rPr>
        <w:t>sur l</w:t>
      </w:r>
      <w:r w:rsidRPr="00B63BD5">
        <w:rPr>
          <w:lang w:val="fr-CA"/>
        </w:rPr>
        <w:t>es Facilités de crédit, refuser une demande de crédit ou</w:t>
      </w:r>
      <w:r w:rsidR="00395C82" w:rsidRPr="00B63BD5">
        <w:rPr>
          <w:lang w:val="fr-CA"/>
        </w:rPr>
        <w:t> </w:t>
      </w:r>
      <w:r w:rsidRPr="00B63BD5">
        <w:rPr>
          <w:lang w:val="fr-CA"/>
        </w:rPr>
        <w:t>d</w:t>
      </w:r>
      <w:r w:rsidR="00564B0C" w:rsidRPr="00B63BD5">
        <w:rPr>
          <w:lang w:val="fr-CA"/>
        </w:rPr>
        <w:t>’</w:t>
      </w:r>
      <w:r w:rsidRPr="00B63BD5">
        <w:rPr>
          <w:lang w:val="fr-CA"/>
        </w:rPr>
        <w:t xml:space="preserve">avance </w:t>
      </w:r>
      <w:r w:rsidR="00EF3133" w:rsidRPr="00B63BD5">
        <w:rPr>
          <w:lang w:val="fr-CA"/>
        </w:rPr>
        <w:t xml:space="preserve">sur les </w:t>
      </w:r>
      <w:r w:rsidR="00E902CC" w:rsidRPr="00B63BD5">
        <w:rPr>
          <w:lang w:val="fr-CA"/>
        </w:rPr>
        <w:t>Facilités de crédit</w:t>
      </w:r>
      <w:r w:rsidR="008D3938" w:rsidRPr="00B63BD5">
        <w:rPr>
          <w:lang w:val="fr-CA"/>
        </w:rPr>
        <w:t>, y</w:t>
      </w:r>
      <w:r w:rsidR="00AC4107" w:rsidRPr="00B63BD5">
        <w:rPr>
          <w:lang w:val="fr-CA"/>
        </w:rPr>
        <w:t xml:space="preserve"> </w:t>
      </w:r>
      <w:r w:rsidR="008D3938" w:rsidRPr="00B63BD5">
        <w:rPr>
          <w:lang w:val="fr-CA"/>
        </w:rPr>
        <w:t xml:space="preserve">compris les demandes de renouvellement ou de nouvelle émission de tout effet ou avance, </w:t>
      </w:r>
      <w:r w:rsidRPr="00B63BD5">
        <w:rPr>
          <w:lang w:val="fr-CA"/>
        </w:rPr>
        <w:t>et refuser d</w:t>
      </w:r>
      <w:r w:rsidR="00564B0C" w:rsidRPr="00B63BD5">
        <w:rPr>
          <w:lang w:val="fr-CA"/>
        </w:rPr>
        <w:t>’</w:t>
      </w:r>
      <w:r w:rsidRPr="00B63BD5">
        <w:rPr>
          <w:lang w:val="fr-CA"/>
        </w:rPr>
        <w:t xml:space="preserve">honorer </w:t>
      </w:r>
      <w:r w:rsidR="008D3938" w:rsidRPr="00B63BD5">
        <w:rPr>
          <w:lang w:val="fr-CA"/>
        </w:rPr>
        <w:t>ou d</w:t>
      </w:r>
      <w:r w:rsidR="00564B0C" w:rsidRPr="00B63BD5">
        <w:rPr>
          <w:lang w:val="fr-CA"/>
        </w:rPr>
        <w:t>’</w:t>
      </w:r>
      <w:r w:rsidR="008D3938" w:rsidRPr="00B63BD5">
        <w:rPr>
          <w:lang w:val="fr-CA"/>
        </w:rPr>
        <w:t xml:space="preserve">accepter </w:t>
      </w:r>
      <w:r w:rsidR="00EF3133" w:rsidRPr="00B63BD5">
        <w:rPr>
          <w:lang w:val="fr-CA"/>
        </w:rPr>
        <w:t xml:space="preserve">un </w:t>
      </w:r>
      <w:r w:rsidRPr="00B63BD5">
        <w:rPr>
          <w:lang w:val="fr-CA"/>
        </w:rPr>
        <w:t xml:space="preserve">chèque ou </w:t>
      </w:r>
      <w:r w:rsidR="00EF3133" w:rsidRPr="00B63BD5">
        <w:rPr>
          <w:lang w:val="fr-CA"/>
        </w:rPr>
        <w:t xml:space="preserve">un </w:t>
      </w:r>
      <w:r w:rsidRPr="00B63BD5">
        <w:rPr>
          <w:lang w:val="fr-CA"/>
        </w:rPr>
        <w:t>autre</w:t>
      </w:r>
      <w:r w:rsidR="00EF3133" w:rsidRPr="00B63BD5">
        <w:rPr>
          <w:lang w:val="fr-CA"/>
        </w:rPr>
        <w:t xml:space="preserve"> effet </w:t>
      </w:r>
      <w:r w:rsidRPr="00B63BD5">
        <w:rPr>
          <w:lang w:val="fr-CA"/>
        </w:rPr>
        <w:t>de paiement</w:t>
      </w:r>
      <w:r w:rsidR="00FA1CDA" w:rsidRPr="00B63BD5">
        <w:rPr>
          <w:lang w:val="fr-CA"/>
        </w:rPr>
        <w:t xml:space="preserve"> ou</w:t>
      </w:r>
      <w:r w:rsidR="00395C82" w:rsidRPr="00B63BD5">
        <w:rPr>
          <w:lang w:val="fr-CA"/>
        </w:rPr>
        <w:t> </w:t>
      </w:r>
      <w:r w:rsidRPr="00B63BD5">
        <w:rPr>
          <w:lang w:val="fr-CA"/>
        </w:rPr>
        <w:t>(iii)</w:t>
      </w:r>
      <w:r w:rsidR="00395C82" w:rsidRPr="00B63BD5">
        <w:rPr>
          <w:lang w:val="fr-CA"/>
        </w:rPr>
        <w:t> </w:t>
      </w:r>
      <w:r w:rsidR="00EF3133" w:rsidRPr="00B63BD5">
        <w:rPr>
          <w:lang w:val="fr-CA"/>
        </w:rPr>
        <w:t xml:space="preserve">exiger </w:t>
      </w:r>
      <w:r w:rsidRPr="00B63BD5">
        <w:rPr>
          <w:lang w:val="fr-CA"/>
        </w:rPr>
        <w:t>le remboursement de</w:t>
      </w:r>
      <w:r w:rsidR="00E20563" w:rsidRPr="00B63BD5">
        <w:rPr>
          <w:lang w:val="fr-CA"/>
        </w:rPr>
        <w:t xml:space="preserve"> toutes le</w:t>
      </w:r>
      <w:r w:rsidR="00E902CC" w:rsidRPr="00B63BD5">
        <w:rPr>
          <w:lang w:val="fr-CA"/>
        </w:rPr>
        <w:t xml:space="preserve">s dettes </w:t>
      </w:r>
      <w:r w:rsidR="008D3938" w:rsidRPr="00B63BD5">
        <w:rPr>
          <w:lang w:val="fr-CA"/>
        </w:rPr>
        <w:t>[</w:t>
      </w:r>
      <w:r w:rsidRPr="00B63BD5">
        <w:rPr>
          <w:lang w:val="fr-CA"/>
        </w:rPr>
        <w:t>de l</w:t>
      </w:r>
      <w:r w:rsidR="00564B0C" w:rsidRPr="00B63BD5">
        <w:rPr>
          <w:lang w:val="fr-CA"/>
        </w:rPr>
        <w:t>’</w:t>
      </w:r>
      <w:r w:rsidRPr="00B63BD5">
        <w:rPr>
          <w:lang w:val="fr-CA"/>
        </w:rPr>
        <w:t xml:space="preserve">Emprunteur </w:t>
      </w:r>
      <w:r w:rsidR="008D3938" w:rsidRPr="00B63BD5">
        <w:rPr>
          <w:b/>
          <w:color w:val="00B0F0"/>
          <w:highlight w:val="yellow"/>
          <w:lang w:val="fr-CA"/>
        </w:rPr>
        <w:t>OU</w:t>
      </w:r>
      <w:r w:rsidR="008D3938" w:rsidRPr="00B63BD5">
        <w:rPr>
          <w:b/>
          <w:lang w:val="fr-CA"/>
        </w:rPr>
        <w:t xml:space="preserve"> </w:t>
      </w:r>
      <w:r w:rsidR="00521AAA" w:rsidRPr="00B63BD5">
        <w:rPr>
          <w:lang w:val="fr-CA"/>
        </w:rPr>
        <w:t>des Emprunteurs]</w:t>
      </w:r>
      <w:r w:rsidR="00B2351C" w:rsidRPr="00B63BD5">
        <w:rPr>
          <w:lang w:val="fr-CA"/>
        </w:rPr>
        <w:t xml:space="preserve"> en tout temps</w:t>
      </w:r>
      <w:r w:rsidRPr="00B63BD5">
        <w:rPr>
          <w:lang w:val="fr-CA"/>
        </w:rPr>
        <w:t xml:space="preserve">, </w:t>
      </w:r>
      <w:r w:rsidR="006C56F8" w:rsidRPr="00B63BD5">
        <w:rPr>
          <w:lang w:val="fr-CA"/>
        </w:rPr>
        <w:t xml:space="preserve">dans tous les cas, </w:t>
      </w:r>
      <w:r w:rsidRPr="00B63BD5">
        <w:rPr>
          <w:lang w:val="fr-CA"/>
        </w:rPr>
        <w:t xml:space="preserve">au moment </w:t>
      </w:r>
      <w:r w:rsidR="00E902CC" w:rsidRPr="00B63BD5">
        <w:rPr>
          <w:lang w:val="fr-CA"/>
        </w:rPr>
        <w:t xml:space="preserve">où elle </w:t>
      </w:r>
      <w:r w:rsidR="006C56F8" w:rsidRPr="00B63BD5">
        <w:rPr>
          <w:lang w:val="fr-CA"/>
        </w:rPr>
        <w:t xml:space="preserve">donne </w:t>
      </w:r>
      <w:r w:rsidRPr="00B63BD5">
        <w:rPr>
          <w:lang w:val="fr-CA"/>
        </w:rPr>
        <w:t>l</w:t>
      </w:r>
      <w:r w:rsidR="00564B0C" w:rsidRPr="00B63BD5">
        <w:rPr>
          <w:lang w:val="fr-CA"/>
        </w:rPr>
        <w:t>’</w:t>
      </w:r>
      <w:r w:rsidRPr="00B63BD5">
        <w:rPr>
          <w:lang w:val="fr-CA"/>
        </w:rPr>
        <w:t xml:space="preserve">avis </w:t>
      </w:r>
      <w:r w:rsidR="00EF3133" w:rsidRPr="00B63BD5">
        <w:rPr>
          <w:lang w:val="fr-CA"/>
        </w:rPr>
        <w:t xml:space="preserve">en question </w:t>
      </w:r>
      <w:r w:rsidRPr="00B63BD5">
        <w:rPr>
          <w:lang w:val="fr-CA"/>
        </w:rPr>
        <w:t xml:space="preserve">et </w:t>
      </w:r>
      <w:r w:rsidR="00E20563" w:rsidRPr="00B63BD5">
        <w:rPr>
          <w:lang w:val="fr-CA"/>
        </w:rPr>
        <w:t xml:space="preserve">autrement </w:t>
      </w:r>
      <w:r w:rsidRPr="00B63BD5">
        <w:rPr>
          <w:lang w:val="fr-CA"/>
        </w:rPr>
        <w:t>conformément aux lois applicables, selon ce qu</w:t>
      </w:r>
      <w:r w:rsidR="00564B0C" w:rsidRPr="00B63BD5">
        <w:rPr>
          <w:lang w:val="fr-CA"/>
        </w:rPr>
        <w:t>’</w:t>
      </w:r>
      <w:r w:rsidR="006C56F8" w:rsidRPr="00B63BD5">
        <w:rPr>
          <w:lang w:val="fr-CA"/>
        </w:rPr>
        <w:t xml:space="preserve">elle </w:t>
      </w:r>
      <w:r w:rsidRPr="00B63BD5">
        <w:rPr>
          <w:lang w:val="fr-CA"/>
        </w:rPr>
        <w:t>établi</w:t>
      </w:r>
      <w:r w:rsidR="00EF3133" w:rsidRPr="00B63BD5">
        <w:rPr>
          <w:lang w:val="fr-CA"/>
        </w:rPr>
        <w:t>t</w:t>
      </w:r>
      <w:r w:rsidRPr="00B63BD5">
        <w:rPr>
          <w:lang w:val="fr-CA"/>
        </w:rPr>
        <w:t xml:space="preserve">. </w:t>
      </w:r>
    </w:p>
    <w:p w14:paraId="7A3B61AE" w14:textId="7A74C776" w:rsidR="00017BE5" w:rsidRPr="00B63BD5" w:rsidRDefault="00EB0E96" w:rsidP="009027EF">
      <w:pPr>
        <w:pStyle w:val="04LOLglNew1"/>
        <w:rPr>
          <w:lang w:val="fr-CA"/>
        </w:rPr>
      </w:pPr>
      <w:r w:rsidRPr="00B63BD5">
        <w:rPr>
          <w:lang w:val="fr-CA"/>
        </w:rPr>
        <w:lastRenderedPageBreak/>
        <w:t>Annexes</w:t>
      </w:r>
    </w:p>
    <w:p w14:paraId="0392BBD5" w14:textId="21527386" w:rsidR="00395C82" w:rsidRPr="00B63BD5" w:rsidRDefault="00E20563" w:rsidP="00632863">
      <w:pPr>
        <w:keepNext/>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b/>
          <w:color w:val="00B0F0"/>
          <w:lang w:val="fr-CA"/>
        </w:rPr>
      </w:pPr>
      <w:r w:rsidRPr="00B63BD5">
        <w:rPr>
          <w:b/>
          <w:color w:val="00B0F0"/>
          <w:lang w:val="fr-CA"/>
        </w:rPr>
        <w:t>[N.B.</w:t>
      </w:r>
      <w:r w:rsidR="00AC4107" w:rsidRPr="00B63BD5">
        <w:rPr>
          <w:b/>
          <w:color w:val="00B0F0"/>
          <w:lang w:val="fr-CA"/>
        </w:rPr>
        <w:t xml:space="preserve"> </w:t>
      </w:r>
      <w:r w:rsidRPr="00B63BD5">
        <w:rPr>
          <w:b/>
          <w:color w:val="00B0F0"/>
          <w:lang w:val="fr-CA"/>
        </w:rPr>
        <w:t>: L</w:t>
      </w:r>
      <w:r w:rsidR="00D83BA2" w:rsidRPr="00B63BD5">
        <w:rPr>
          <w:b/>
          <w:color w:val="00B0F0"/>
          <w:lang w:val="fr-CA"/>
        </w:rPr>
        <w:t>es a</w:t>
      </w:r>
      <w:r w:rsidRPr="00B63BD5">
        <w:rPr>
          <w:b/>
          <w:color w:val="00B0F0"/>
          <w:lang w:val="fr-CA"/>
        </w:rPr>
        <w:t>nnexe</w:t>
      </w:r>
      <w:r w:rsidR="00D83BA2" w:rsidRPr="00B63BD5">
        <w:rPr>
          <w:b/>
          <w:color w:val="00B0F0"/>
          <w:lang w:val="fr-CA"/>
        </w:rPr>
        <w:t>s</w:t>
      </w:r>
      <w:r w:rsidRPr="00B63BD5">
        <w:rPr>
          <w:b/>
          <w:color w:val="00B0F0"/>
          <w:lang w:val="fr-CA"/>
        </w:rPr>
        <w:t xml:space="preserve"> relative</w:t>
      </w:r>
      <w:r w:rsidR="00D83BA2" w:rsidRPr="00B63BD5">
        <w:rPr>
          <w:b/>
          <w:color w:val="00B0F0"/>
          <w:lang w:val="fr-CA"/>
        </w:rPr>
        <w:t>s</w:t>
      </w:r>
      <w:r w:rsidRPr="00B63BD5">
        <w:rPr>
          <w:b/>
          <w:color w:val="00B0F0"/>
          <w:lang w:val="fr-CA"/>
        </w:rPr>
        <w:t xml:space="preserve"> aux prêts au taux SOFR peu</w:t>
      </w:r>
      <w:r w:rsidR="00D83BA2" w:rsidRPr="00B63BD5">
        <w:rPr>
          <w:b/>
          <w:color w:val="00B0F0"/>
          <w:lang w:val="fr-CA"/>
        </w:rPr>
        <w:t>ven</w:t>
      </w:r>
      <w:r w:rsidRPr="00B63BD5">
        <w:rPr>
          <w:b/>
          <w:color w:val="00B0F0"/>
          <w:lang w:val="fr-CA"/>
        </w:rPr>
        <w:t>t être supprimée</w:t>
      </w:r>
      <w:r w:rsidR="00D83BA2" w:rsidRPr="00B63BD5">
        <w:rPr>
          <w:b/>
          <w:color w:val="00B0F0"/>
          <w:lang w:val="fr-CA"/>
        </w:rPr>
        <w:t>s</w:t>
      </w:r>
      <w:r w:rsidRPr="00B63BD5">
        <w:rPr>
          <w:b/>
          <w:color w:val="00B0F0"/>
          <w:lang w:val="fr-CA"/>
        </w:rPr>
        <w:t xml:space="preserve"> si aucun Prêt au taux SOFR n</w:t>
      </w:r>
      <w:r w:rsidR="00564B0C" w:rsidRPr="00B63BD5">
        <w:rPr>
          <w:b/>
          <w:color w:val="00B0F0"/>
          <w:lang w:val="fr-CA"/>
        </w:rPr>
        <w:t>’</w:t>
      </w:r>
      <w:r w:rsidRPr="00B63BD5">
        <w:rPr>
          <w:b/>
          <w:color w:val="00B0F0"/>
          <w:lang w:val="fr-CA"/>
        </w:rPr>
        <w:t>est offert.</w:t>
      </w:r>
      <w:r w:rsidR="00D83BA2" w:rsidRPr="00B63BD5">
        <w:rPr>
          <w:b/>
          <w:color w:val="00B0F0"/>
          <w:lang w:val="fr-CA"/>
        </w:rPr>
        <w:t xml:space="preserve"> L</w:t>
      </w:r>
      <w:r w:rsidR="00564B0C" w:rsidRPr="00B63BD5">
        <w:rPr>
          <w:b/>
          <w:color w:val="00B0F0"/>
          <w:lang w:val="fr-CA"/>
        </w:rPr>
        <w:t>’</w:t>
      </w:r>
      <w:r w:rsidR="00D83BA2" w:rsidRPr="00B63BD5">
        <w:rPr>
          <w:b/>
          <w:color w:val="00B0F0"/>
          <w:lang w:val="fr-CA"/>
        </w:rPr>
        <w:t>annexe relative aux Prêts au taux SONIA peut être supprimée si aucun Prêt au taux SONIA n</w:t>
      </w:r>
      <w:r w:rsidR="00564B0C" w:rsidRPr="00B63BD5">
        <w:rPr>
          <w:b/>
          <w:color w:val="00B0F0"/>
          <w:lang w:val="fr-CA"/>
        </w:rPr>
        <w:t>’</w:t>
      </w:r>
      <w:r w:rsidR="00D83BA2" w:rsidRPr="00B63BD5">
        <w:rPr>
          <w:b/>
          <w:color w:val="00B0F0"/>
          <w:lang w:val="fr-CA"/>
        </w:rPr>
        <w:t>est offert.</w:t>
      </w:r>
      <w:r w:rsidRPr="00B63BD5">
        <w:rPr>
          <w:b/>
          <w:color w:val="00B0F0"/>
          <w:lang w:val="fr-CA"/>
        </w:rPr>
        <w:t>]</w:t>
      </w:r>
    </w:p>
    <w:p w14:paraId="531F4B04" w14:textId="6D6C010D" w:rsidR="00017BE5" w:rsidRPr="00B63BD5" w:rsidRDefault="00521AAA" w:rsidP="00632863">
      <w:pPr>
        <w:keepNext/>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xml:space="preserve">Chacune des </w:t>
      </w:r>
      <w:r w:rsidR="0091562C" w:rsidRPr="00B63BD5">
        <w:rPr>
          <w:lang w:val="fr-CA"/>
        </w:rPr>
        <w:t>a</w:t>
      </w:r>
      <w:r w:rsidR="00EB0E96" w:rsidRPr="00B63BD5">
        <w:rPr>
          <w:lang w:val="fr-CA"/>
        </w:rPr>
        <w:t>nnexes</w:t>
      </w:r>
      <w:r w:rsidR="007A6048" w:rsidRPr="00B63BD5">
        <w:rPr>
          <w:lang w:val="fr-CA"/>
        </w:rPr>
        <w:t xml:space="preserve"> </w:t>
      </w:r>
      <w:r w:rsidR="00EB0E96" w:rsidRPr="00B63BD5">
        <w:rPr>
          <w:lang w:val="fr-CA"/>
        </w:rPr>
        <w:t>suivant</w:t>
      </w:r>
      <w:r w:rsidR="00D83BA2" w:rsidRPr="00B63BD5">
        <w:rPr>
          <w:lang w:val="fr-CA"/>
        </w:rPr>
        <w:t>e</w:t>
      </w:r>
      <w:r w:rsidR="00EB0E96" w:rsidRPr="00B63BD5">
        <w:rPr>
          <w:lang w:val="fr-CA"/>
        </w:rPr>
        <w:t>s</w:t>
      </w:r>
      <w:r w:rsidR="00807A6F" w:rsidRPr="00B63BD5">
        <w:rPr>
          <w:lang w:val="fr-CA"/>
        </w:rPr>
        <w:t xml:space="preserve"> </w:t>
      </w:r>
      <w:r w:rsidRPr="00B63BD5">
        <w:rPr>
          <w:lang w:val="fr-CA"/>
        </w:rPr>
        <w:t xml:space="preserve">et </w:t>
      </w:r>
      <w:r w:rsidR="007A6048" w:rsidRPr="00B63BD5">
        <w:rPr>
          <w:lang w:val="fr-CA"/>
        </w:rPr>
        <w:t>c</w:t>
      </w:r>
      <w:r w:rsidR="00D83BA2" w:rsidRPr="00B63BD5">
        <w:rPr>
          <w:lang w:val="fr-CA"/>
        </w:rPr>
        <w:t>elles</w:t>
      </w:r>
      <w:r w:rsidR="007A6048" w:rsidRPr="00B63BD5">
        <w:rPr>
          <w:lang w:val="fr-CA"/>
        </w:rPr>
        <w:t xml:space="preserve"> </w:t>
      </w:r>
      <w:r w:rsidRPr="00B63BD5">
        <w:rPr>
          <w:lang w:val="fr-CA"/>
        </w:rPr>
        <w:t xml:space="preserve">que la Banque pourrait </w:t>
      </w:r>
      <w:r w:rsidR="0046138F" w:rsidRPr="00B63BD5">
        <w:rPr>
          <w:lang w:val="fr-CA"/>
        </w:rPr>
        <w:t>stipuler</w:t>
      </w:r>
      <w:r w:rsidRPr="00B63BD5">
        <w:rPr>
          <w:lang w:val="fr-CA"/>
        </w:rPr>
        <w:t xml:space="preserve"> </w:t>
      </w:r>
      <w:r w:rsidR="00807A6F" w:rsidRPr="00B63BD5">
        <w:rPr>
          <w:lang w:val="fr-CA"/>
        </w:rPr>
        <w:t>sont joint</w:t>
      </w:r>
      <w:r w:rsidR="00D83BA2" w:rsidRPr="00B63BD5">
        <w:rPr>
          <w:lang w:val="fr-CA"/>
        </w:rPr>
        <w:t>e</w:t>
      </w:r>
      <w:r w:rsidR="00807A6F" w:rsidRPr="00B63BD5">
        <w:rPr>
          <w:lang w:val="fr-CA"/>
        </w:rPr>
        <w:t xml:space="preserve">s à </w:t>
      </w:r>
      <w:r w:rsidR="00EB0E96" w:rsidRPr="00B63BD5">
        <w:rPr>
          <w:lang w:val="fr-CA"/>
        </w:rPr>
        <w:t xml:space="preserve">la Lettre </w:t>
      </w:r>
      <w:r w:rsidR="00807A6F" w:rsidRPr="00B63BD5">
        <w:rPr>
          <w:lang w:val="fr-CA"/>
        </w:rPr>
        <w:t>relative aux facilités et en font partie</w:t>
      </w:r>
      <w:r w:rsidR="00AC4107" w:rsidRPr="00B63BD5">
        <w:rPr>
          <w:lang w:val="fr-CA"/>
        </w:rPr>
        <w:t xml:space="preserve"> </w:t>
      </w:r>
      <w:r w:rsidR="00EB0E96" w:rsidRPr="00B63BD5">
        <w:rPr>
          <w:lang w:val="fr-CA"/>
        </w:rPr>
        <w:t xml:space="preserve">: </w:t>
      </w:r>
    </w:p>
    <w:p w14:paraId="728DCD90" w14:textId="0BBE309D" w:rsidR="00017BE5" w:rsidRPr="00B63BD5" w:rsidRDefault="00EB0E96" w:rsidP="00306D10">
      <w:pPr>
        <w:keepNext/>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CA"/>
        </w:rPr>
      </w:pPr>
      <w:r w:rsidRPr="00B63BD5">
        <w:rPr>
          <w:lang w:val="fr-CA"/>
        </w:rPr>
        <w:t>Annexe</w:t>
      </w:r>
      <w:r w:rsidR="00AC4107" w:rsidRPr="00B63BD5">
        <w:rPr>
          <w:lang w:val="fr-CA"/>
        </w:rPr>
        <w:t xml:space="preserve"> </w:t>
      </w:r>
      <w:r w:rsidR="0054647B" w:rsidRPr="00B63BD5">
        <w:rPr>
          <w:lang w:val="fr-CA"/>
        </w:rPr>
        <w:t>A</w:t>
      </w:r>
      <w:r w:rsidR="00395C82" w:rsidRPr="00B63BD5">
        <w:rPr>
          <w:lang w:val="fr-CA"/>
        </w:rPr>
        <w:tab/>
      </w:r>
      <w:r w:rsidR="00395C82" w:rsidRPr="00B63BD5">
        <w:rPr>
          <w:lang w:val="fr-CA"/>
        </w:rPr>
        <w:tab/>
      </w:r>
      <w:r w:rsidR="00395C82" w:rsidRPr="00B63BD5">
        <w:rPr>
          <w:lang w:val="fr-CA"/>
        </w:rPr>
        <w:tab/>
      </w:r>
      <w:r w:rsidR="00395C82" w:rsidRPr="00B63BD5">
        <w:rPr>
          <w:lang w:val="fr-CA"/>
        </w:rPr>
        <w:tab/>
      </w:r>
      <w:r w:rsidR="00395C82" w:rsidRPr="00B63BD5">
        <w:rPr>
          <w:lang w:val="fr-CA"/>
        </w:rPr>
        <w:tab/>
      </w:r>
      <w:r w:rsidR="00395C82" w:rsidRPr="00B63BD5">
        <w:rPr>
          <w:lang w:val="fr-CA"/>
        </w:rPr>
        <w:tab/>
      </w:r>
      <w:r w:rsidR="00395C82" w:rsidRPr="00B63BD5">
        <w:rPr>
          <w:lang w:val="fr-CA"/>
        </w:rPr>
        <w:tab/>
      </w:r>
      <w:r w:rsidRPr="00B63BD5">
        <w:rPr>
          <w:lang w:val="fr-CA"/>
        </w:rPr>
        <w:t>Définitions et modalités supplémentaires</w:t>
      </w:r>
    </w:p>
    <w:p w14:paraId="6E993467" w14:textId="3334918B" w:rsidR="00E20563" w:rsidRPr="00B63BD5" w:rsidRDefault="00E20563" w:rsidP="00306D10">
      <w:pPr>
        <w:keepNext/>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CA"/>
        </w:rPr>
      </w:pPr>
      <w:r w:rsidRPr="00B63BD5">
        <w:rPr>
          <w:lang w:val="fr-CA"/>
        </w:rPr>
        <w:t>Annexe relative aux prêts au taux SOFR</w:t>
      </w:r>
      <w:r w:rsidR="009C1EAF" w:rsidRPr="00B63BD5">
        <w:rPr>
          <w:lang w:val="fr-CA"/>
        </w:rPr>
        <w:t xml:space="preserve"> à terme</w:t>
      </w:r>
      <w:r w:rsidR="00395C82" w:rsidRPr="00B63BD5">
        <w:rPr>
          <w:lang w:val="fr-CA"/>
        </w:rPr>
        <w:tab/>
      </w:r>
      <w:r w:rsidR="00395C82" w:rsidRPr="00B63BD5">
        <w:rPr>
          <w:lang w:val="fr-CA"/>
        </w:rPr>
        <w:tab/>
      </w:r>
      <w:r w:rsidR="00395C82" w:rsidRPr="00B63BD5">
        <w:rPr>
          <w:lang w:val="fr-CA"/>
        </w:rPr>
        <w:tab/>
      </w:r>
      <w:r w:rsidRPr="00B63BD5">
        <w:rPr>
          <w:lang w:val="fr-CA"/>
        </w:rPr>
        <w:t xml:space="preserve">Taux de référence SOFR </w:t>
      </w:r>
      <w:r w:rsidR="009C1EAF" w:rsidRPr="00B63BD5">
        <w:rPr>
          <w:lang w:val="fr-CA"/>
        </w:rPr>
        <w:t>à terme</w:t>
      </w:r>
    </w:p>
    <w:p w14:paraId="12801196" w14:textId="791EDCAE" w:rsidR="009C1EAF" w:rsidRPr="00B63BD5" w:rsidRDefault="009C1EAF" w:rsidP="00306D10">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CA"/>
        </w:rPr>
      </w:pPr>
      <w:r w:rsidRPr="00B63BD5">
        <w:rPr>
          <w:lang w:val="fr-CA"/>
        </w:rPr>
        <w:t>Annexe relative aux Prêts au taux SOFR simple quotidien</w:t>
      </w:r>
      <w:r w:rsidR="00395C82" w:rsidRPr="00B63BD5">
        <w:rPr>
          <w:lang w:val="fr-CA"/>
        </w:rPr>
        <w:tab/>
      </w:r>
      <w:r w:rsidRPr="00B63BD5">
        <w:rPr>
          <w:lang w:val="fr-CA"/>
        </w:rPr>
        <w:t>Taux de référence SOFR simple</w:t>
      </w:r>
    </w:p>
    <w:p w14:paraId="562F73B1" w14:textId="03277A85" w:rsidR="009C1EAF" w:rsidRPr="00B63BD5" w:rsidRDefault="009C1EAF" w:rsidP="00306D10">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CA"/>
        </w:rPr>
      </w:pPr>
      <w:r w:rsidRPr="00B63BD5">
        <w:rPr>
          <w:lang w:val="fr-CA"/>
        </w:rPr>
        <w:t>Annexe relative aux Prêts au taux SONIA</w:t>
      </w:r>
      <w:r w:rsidR="00395C82" w:rsidRPr="00B63BD5">
        <w:rPr>
          <w:lang w:val="fr-CA"/>
        </w:rPr>
        <w:tab/>
      </w:r>
      <w:r w:rsidR="00395C82" w:rsidRPr="00B63BD5">
        <w:rPr>
          <w:lang w:val="fr-CA"/>
        </w:rPr>
        <w:tab/>
      </w:r>
      <w:r w:rsidR="00395C82" w:rsidRPr="00B63BD5">
        <w:rPr>
          <w:lang w:val="fr-CA"/>
        </w:rPr>
        <w:tab/>
      </w:r>
      <w:r w:rsidRPr="00B63BD5">
        <w:rPr>
          <w:lang w:val="fr-CA"/>
        </w:rPr>
        <w:t>Taux de référence SONIA simple</w:t>
      </w:r>
    </w:p>
    <w:p w14:paraId="1C9403FB" w14:textId="77777777" w:rsidR="00306D10" w:rsidRPr="00B63BD5" w:rsidRDefault="00306D10" w:rsidP="00306D10">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CA"/>
        </w:rPr>
      </w:pPr>
    </w:p>
    <w:p w14:paraId="451409D8" w14:textId="6F9636AD" w:rsidR="00BE1008" w:rsidRPr="00B63BD5" w:rsidRDefault="004C30DC" w:rsidP="009027EF">
      <w:pPr>
        <w:pStyle w:val="04LOLglNew1"/>
        <w:rPr>
          <w:lang w:val="fr-CA"/>
        </w:rPr>
      </w:pPr>
      <w:r w:rsidRPr="00B63BD5">
        <w:rPr>
          <w:lang w:val="fr-CA"/>
        </w:rPr>
        <w:t>Acceptation</w:t>
      </w:r>
    </w:p>
    <w:p w14:paraId="2CCA791D" w14:textId="47BFD7DB" w:rsidR="00BE1008" w:rsidRPr="00B63BD5" w:rsidRDefault="008D3938" w:rsidP="00632863">
      <w:pPr>
        <w:widowControl w:val="0"/>
        <w:spacing w:after="240"/>
        <w:jc w:val="both"/>
        <w:rPr>
          <w:lang w:val="fr-CA"/>
        </w:rPr>
      </w:pPr>
      <w:r w:rsidRPr="00B63BD5">
        <w:rPr>
          <w:lang w:val="fr-CA"/>
        </w:rPr>
        <w:t>[</w:t>
      </w:r>
      <w:r w:rsidR="00521AAA" w:rsidRPr="00B63BD5">
        <w:rPr>
          <w:lang w:val="fr-CA"/>
        </w:rPr>
        <w:t>L</w:t>
      </w:r>
      <w:r w:rsidR="00564B0C" w:rsidRPr="00B63BD5">
        <w:rPr>
          <w:lang w:val="fr-CA"/>
        </w:rPr>
        <w:t>’</w:t>
      </w:r>
      <w:r w:rsidR="004C30DC" w:rsidRPr="00B63BD5">
        <w:rPr>
          <w:lang w:val="fr-CA"/>
        </w:rPr>
        <w:t>Emprunteur</w:t>
      </w:r>
      <w:r w:rsidR="00521AAA" w:rsidRPr="00B63BD5">
        <w:rPr>
          <w:lang w:val="fr-CA"/>
        </w:rPr>
        <w:t xml:space="preserve"> peut </w:t>
      </w:r>
      <w:r w:rsidRPr="00B63BD5">
        <w:rPr>
          <w:b/>
          <w:color w:val="00B0F0"/>
          <w:highlight w:val="yellow"/>
          <w:lang w:val="fr-CA"/>
        </w:rPr>
        <w:t>OU</w:t>
      </w:r>
      <w:r w:rsidRPr="00B63BD5">
        <w:rPr>
          <w:b/>
          <w:lang w:val="fr-CA"/>
        </w:rPr>
        <w:t xml:space="preserve"> </w:t>
      </w:r>
      <w:r w:rsidR="00AD2ABF" w:rsidRPr="00B63BD5">
        <w:rPr>
          <w:lang w:val="fr-CA"/>
        </w:rPr>
        <w:t>L</w:t>
      </w:r>
      <w:r w:rsidR="00521AAA" w:rsidRPr="00B63BD5">
        <w:rPr>
          <w:lang w:val="fr-CA"/>
        </w:rPr>
        <w:t>es Emprunteurs peuvent]</w:t>
      </w:r>
      <w:r w:rsidR="00063ADA" w:rsidRPr="00B63BD5">
        <w:rPr>
          <w:lang w:val="fr-CA"/>
        </w:rPr>
        <w:t xml:space="preserve"> accepter, et </w:t>
      </w:r>
      <w:r w:rsidRPr="00B63BD5">
        <w:rPr>
          <w:lang w:val="fr-CA"/>
        </w:rPr>
        <w:t>[</w:t>
      </w:r>
      <w:r w:rsidR="00063ADA" w:rsidRPr="00B63BD5">
        <w:rPr>
          <w:lang w:val="fr-CA"/>
        </w:rPr>
        <w:t xml:space="preserve">le Garant peut </w:t>
      </w:r>
      <w:r w:rsidRPr="00B63BD5">
        <w:rPr>
          <w:b/>
          <w:color w:val="00B0F0"/>
          <w:highlight w:val="yellow"/>
          <w:lang w:val="fr-CA"/>
        </w:rPr>
        <w:t>OU</w:t>
      </w:r>
      <w:r w:rsidRPr="00B63BD5">
        <w:rPr>
          <w:b/>
          <w:lang w:val="fr-CA"/>
        </w:rPr>
        <w:t xml:space="preserve"> </w:t>
      </w:r>
      <w:r w:rsidR="00063ADA" w:rsidRPr="00B63BD5">
        <w:rPr>
          <w:lang w:val="fr-CA"/>
        </w:rPr>
        <w:t xml:space="preserve">les Garants peuvent] reconnaître, </w:t>
      </w:r>
      <w:r w:rsidR="004C30DC" w:rsidRPr="00B63BD5">
        <w:rPr>
          <w:lang w:val="fr-CA"/>
        </w:rPr>
        <w:t>l</w:t>
      </w:r>
      <w:r w:rsidR="00564B0C" w:rsidRPr="00B63BD5">
        <w:rPr>
          <w:lang w:val="fr-CA"/>
        </w:rPr>
        <w:t>’</w:t>
      </w:r>
      <w:r w:rsidR="004C30DC" w:rsidRPr="00B63BD5">
        <w:rPr>
          <w:lang w:val="fr-CA"/>
        </w:rPr>
        <w:t xml:space="preserve">offre de crédit faite selon les modalités énoncées dans la présente Lettre </w:t>
      </w:r>
      <w:r w:rsidR="0046138F" w:rsidRPr="00B63BD5">
        <w:rPr>
          <w:lang w:val="fr-CA"/>
        </w:rPr>
        <w:t>relative aux facilités</w:t>
      </w:r>
      <w:r w:rsidR="00063ADA" w:rsidRPr="00B63BD5">
        <w:rPr>
          <w:lang w:val="fr-CA"/>
        </w:rPr>
        <w:t xml:space="preserve"> </w:t>
      </w:r>
      <w:r w:rsidR="004C30DC" w:rsidRPr="00B63BD5">
        <w:rPr>
          <w:lang w:val="fr-CA"/>
        </w:rPr>
        <w:t xml:space="preserve">en signant et en datant la présente Lettre </w:t>
      </w:r>
      <w:r w:rsidR="00807A6F" w:rsidRPr="00B63BD5">
        <w:rPr>
          <w:lang w:val="fr-CA"/>
        </w:rPr>
        <w:t>relative aux facilités</w:t>
      </w:r>
      <w:r w:rsidR="004C30DC" w:rsidRPr="00B63BD5">
        <w:rPr>
          <w:lang w:val="fr-CA"/>
        </w:rPr>
        <w:t xml:space="preserve"> et en la </w:t>
      </w:r>
      <w:r w:rsidR="00EF3133" w:rsidRPr="00B63BD5">
        <w:rPr>
          <w:lang w:val="fr-CA"/>
        </w:rPr>
        <w:t xml:space="preserve">faisant parvenir </w:t>
      </w:r>
      <w:r w:rsidR="004C30DC" w:rsidRPr="00B63BD5">
        <w:rPr>
          <w:lang w:val="fr-CA"/>
        </w:rPr>
        <w:t>à la Banque au</w:t>
      </w:r>
      <w:r w:rsidR="00FE6453" w:rsidRPr="00B63BD5">
        <w:rPr>
          <w:lang w:val="fr-CA"/>
        </w:rPr>
        <w:t> </w:t>
      </w:r>
      <w:r w:rsidR="004C30DC" w:rsidRPr="00B63BD5">
        <w:rPr>
          <w:lang w:val="fr-CA"/>
        </w:rPr>
        <w:t>plus</w:t>
      </w:r>
      <w:r w:rsidR="00FE6453" w:rsidRPr="00B63BD5">
        <w:rPr>
          <w:lang w:val="fr-CA"/>
        </w:rPr>
        <w:t> </w:t>
      </w:r>
      <w:r w:rsidR="004C30DC" w:rsidRPr="00B63BD5">
        <w:rPr>
          <w:lang w:val="fr-CA"/>
        </w:rPr>
        <w:t xml:space="preserve">tard le </w:t>
      </w:r>
      <w:r w:rsidR="0045414B" w:rsidRPr="00B63BD5">
        <w:rPr>
          <w:lang w:val="fr-CA"/>
        </w:rPr>
        <w:t>●</w:t>
      </w:r>
      <w:r w:rsidR="004C30DC" w:rsidRPr="00B63BD5">
        <w:rPr>
          <w:lang w:val="fr-CA"/>
        </w:rPr>
        <w:t xml:space="preserve"> à 17</w:t>
      </w:r>
      <w:r w:rsidR="00AC4107" w:rsidRPr="00B63BD5">
        <w:rPr>
          <w:lang w:val="fr-CA"/>
        </w:rPr>
        <w:t xml:space="preserve"> </w:t>
      </w:r>
      <w:r w:rsidR="004C30DC" w:rsidRPr="00B63BD5">
        <w:rPr>
          <w:lang w:val="fr-CA"/>
        </w:rPr>
        <w:t>h, heure locale</w:t>
      </w:r>
      <w:r w:rsidR="00807A6F" w:rsidRPr="00B63BD5">
        <w:rPr>
          <w:lang w:val="fr-CA"/>
        </w:rPr>
        <w:t>, faute de quoi l</w:t>
      </w:r>
      <w:r w:rsidR="00564B0C" w:rsidRPr="00B63BD5">
        <w:rPr>
          <w:lang w:val="fr-CA"/>
        </w:rPr>
        <w:t>’</w:t>
      </w:r>
      <w:r w:rsidR="00807A6F" w:rsidRPr="00B63BD5">
        <w:rPr>
          <w:lang w:val="fr-CA"/>
        </w:rPr>
        <w:t>offre de crédit sera nulle et sans effet</w:t>
      </w:r>
      <w:r w:rsidR="004C30DC" w:rsidRPr="00B63BD5">
        <w:rPr>
          <w:lang w:val="fr-CA"/>
        </w:rPr>
        <w:t xml:space="preserve">. </w:t>
      </w:r>
    </w:p>
    <w:p w14:paraId="0C406789" w14:textId="3278626E" w:rsidR="00EC6D9E" w:rsidRPr="00B63BD5" w:rsidRDefault="00EC6D9E" w:rsidP="00EC6D9E">
      <w:pPr>
        <w:rPr>
          <w:b/>
          <w:color w:val="00B0F0"/>
          <w:lang w:val="fr-CA"/>
        </w:rPr>
      </w:pPr>
      <w:r w:rsidRPr="00B63BD5">
        <w:rPr>
          <w:b/>
          <w:color w:val="00B0F0"/>
          <w:lang w:val="fr-CA"/>
        </w:rPr>
        <w:t>[</w:t>
      </w:r>
      <w:r w:rsidRPr="00B63BD5">
        <w:rPr>
          <w:b/>
          <w:bCs/>
          <w:color w:val="00B0F0"/>
          <w:lang w:val="fr-CA"/>
        </w:rPr>
        <w:t xml:space="preserve">Remarque :  Supprimez cette disposition pour les facilités </w:t>
      </w:r>
      <w:r w:rsidR="00685412">
        <w:rPr>
          <w:b/>
          <w:bCs/>
          <w:color w:val="00B0F0"/>
          <w:lang w:val="fr-CA"/>
        </w:rPr>
        <w:t xml:space="preserve">de catégorie A </w:t>
      </w:r>
      <w:r w:rsidRPr="00B63BD5">
        <w:rPr>
          <w:b/>
          <w:bCs/>
          <w:color w:val="00B0F0"/>
          <w:lang w:val="fr-CA"/>
        </w:rPr>
        <w:t>de plus de 1 M$CA.</w:t>
      </w:r>
      <w:r w:rsidRPr="00B63BD5">
        <w:rPr>
          <w:b/>
          <w:color w:val="00B0F0"/>
          <w:lang w:val="fr-CA"/>
        </w:rPr>
        <w:t>]  </w:t>
      </w:r>
    </w:p>
    <w:p w14:paraId="6687F8F8" w14:textId="77777777" w:rsidR="00EC6D9E" w:rsidRPr="00B63BD5" w:rsidRDefault="00EC6D9E" w:rsidP="00EC6D9E">
      <w:pPr>
        <w:rPr>
          <w:b/>
          <w:color w:val="00B0F0"/>
          <w:lang w:val="fr-CA"/>
        </w:rPr>
      </w:pPr>
    </w:p>
    <w:p w14:paraId="1DD0A07A" w14:textId="5E47A917" w:rsidR="00EC6D9E" w:rsidRPr="00B63BD5" w:rsidRDefault="00EC6D9E" w:rsidP="00EC6D9E">
      <w:pPr>
        <w:pStyle w:val="04LOLglNew1"/>
        <w:rPr>
          <w:lang w:val="fr-CA"/>
        </w:rPr>
      </w:pPr>
      <w:r w:rsidRPr="00B63BD5">
        <w:rPr>
          <w:lang w:val="fr-CA"/>
        </w:rPr>
        <w:t>Annulation</w:t>
      </w:r>
    </w:p>
    <w:p w14:paraId="633DF6DF" w14:textId="6585BE76" w:rsidR="00EC6D9E" w:rsidRPr="00B63BD5" w:rsidRDefault="00EC6D9E" w:rsidP="00306D10">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xml:space="preserve">[L’Emprunteur peut </w:t>
      </w:r>
      <w:r w:rsidRPr="00B63BD5">
        <w:rPr>
          <w:b/>
          <w:color w:val="00B0F0"/>
          <w:highlight w:val="yellow"/>
          <w:lang w:val="fr-CA"/>
        </w:rPr>
        <w:t>OU</w:t>
      </w:r>
      <w:r w:rsidRPr="00B63BD5">
        <w:rPr>
          <w:b/>
          <w:lang w:val="fr-CA"/>
        </w:rPr>
        <w:t xml:space="preserve"> </w:t>
      </w:r>
      <w:r w:rsidRPr="00B63BD5">
        <w:rPr>
          <w:lang w:val="fr-CA"/>
        </w:rPr>
        <w:t>Les Emprunteurs peuvent] annuler la présente Lettre relative aux facilités en remettant un avis écrit à la Banque dans les trois (3) jours ouvrables suivant la signature de la présente Lettre relative aux facilités; des frais d’annulation ne seront pas facturés. Les conditions de la présente Lettre relative aux facilités demeureront en vigueur malgré l’annulation aux termes de la présente disposition en ce qui concerne les avances, les opérations ou les montants obtenus, utilisés ou avancés et les autres dépenses ou frais engagés ou applicables avant l’annulation.]</w:t>
      </w:r>
    </w:p>
    <w:p w14:paraId="531BAFEC" w14:textId="7F3D06E2" w:rsidR="00306D10" w:rsidRPr="00B63BD5" w:rsidRDefault="00306D10" w:rsidP="00306D10">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Veuillez agréer nos meilleures salutations.</w:t>
      </w:r>
    </w:p>
    <w:p w14:paraId="68DE1906" w14:textId="633AEFE2" w:rsidR="009926E7" w:rsidRPr="00B63BD5" w:rsidRDefault="004C30DC" w:rsidP="00632863">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b/>
          <w:lang w:val="fr-CA"/>
        </w:rPr>
        <w:t xml:space="preserve">BANQUE </w:t>
      </w:r>
      <w:r w:rsidR="009926E7" w:rsidRPr="00B63BD5">
        <w:rPr>
          <w:b/>
          <w:lang w:val="fr-CA"/>
        </w:rPr>
        <w:t>HSBC CANADA</w:t>
      </w:r>
    </w:p>
    <w:p w14:paraId="2D9FCE97" w14:textId="77777777" w:rsidR="002F5F78" w:rsidRPr="00B63BD5" w:rsidRDefault="002F5F78" w:rsidP="002F5F78">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CA"/>
        </w:rPr>
      </w:pPr>
    </w:p>
    <w:p w14:paraId="38FCF93A" w14:textId="77777777" w:rsidR="002F5F78" w:rsidRPr="00B63BD5" w:rsidRDefault="002F5F78" w:rsidP="002F5F78">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CA"/>
        </w:rPr>
      </w:pPr>
    </w:p>
    <w:p w14:paraId="55BD2AC4" w14:textId="1441BD04" w:rsidR="002F5F78" w:rsidRPr="00B63BD5" w:rsidRDefault="002F5F78" w:rsidP="002F5F78">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CA"/>
        </w:rPr>
      </w:pPr>
      <w:r w:rsidRPr="00B63BD5">
        <w:rPr>
          <w:lang w:val="fr-CA"/>
        </w:rPr>
        <w:t>Par :____________________________</w:t>
      </w:r>
      <w:r w:rsidRPr="00B63BD5">
        <w:rPr>
          <w:lang w:val="fr-CA"/>
        </w:rPr>
        <w:tab/>
      </w:r>
      <w:r w:rsidRPr="00B63BD5">
        <w:rPr>
          <w:lang w:val="fr-CA"/>
        </w:rPr>
        <w:tab/>
        <w:t xml:space="preserve"> Par : _____________________________                      </w:t>
      </w:r>
    </w:p>
    <w:p w14:paraId="551E7DBD" w14:textId="77777777" w:rsidR="002F5F78" w:rsidRPr="00B63BD5" w:rsidRDefault="002F5F78" w:rsidP="002F5F78">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CA"/>
        </w:rPr>
      </w:pPr>
    </w:p>
    <w:p w14:paraId="0DCAA204" w14:textId="77777777" w:rsidR="002F5F78" w:rsidRPr="00B63BD5" w:rsidRDefault="002F5F78" w:rsidP="00B63BD5">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CA"/>
        </w:rPr>
      </w:pPr>
      <w:r w:rsidRPr="00B63BD5">
        <w:rPr>
          <w:b/>
          <w:lang w:val="fr-CA"/>
        </w:rPr>
        <w:t>[Titre]</w:t>
      </w:r>
      <w:r w:rsidRPr="00B63BD5">
        <w:rPr>
          <w:b/>
          <w:lang w:val="fr-CA"/>
        </w:rPr>
        <w:tab/>
      </w:r>
      <w:r w:rsidRPr="00B63BD5">
        <w:rPr>
          <w:b/>
          <w:lang w:val="fr-CA"/>
        </w:rPr>
        <w:tab/>
      </w:r>
      <w:r w:rsidRPr="00B63BD5">
        <w:rPr>
          <w:b/>
          <w:lang w:val="fr-CA"/>
        </w:rPr>
        <w:tab/>
      </w:r>
      <w:r w:rsidRPr="00B63BD5">
        <w:rPr>
          <w:lang w:val="fr-CA"/>
        </w:rPr>
        <w:tab/>
      </w:r>
      <w:r w:rsidRPr="00B63BD5">
        <w:rPr>
          <w:lang w:val="fr-CA"/>
        </w:rPr>
        <w:tab/>
      </w:r>
      <w:r w:rsidRPr="00B63BD5">
        <w:rPr>
          <w:lang w:val="fr-CA"/>
        </w:rPr>
        <w:tab/>
      </w:r>
      <w:r w:rsidRPr="00B63BD5">
        <w:rPr>
          <w:b/>
          <w:lang w:val="fr-CA"/>
        </w:rPr>
        <w:t>[Titre]</w:t>
      </w:r>
    </w:p>
    <w:p w14:paraId="7B75025D" w14:textId="77777777" w:rsidR="00177D13" w:rsidRPr="00B63BD5" w:rsidRDefault="00177D13" w:rsidP="00632863">
      <w:pPr>
        <w:keepNext/>
        <w:keepLines/>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b/>
          <w:color w:val="00B0F0"/>
          <w:lang w:val="fr-CA"/>
        </w:rPr>
      </w:pPr>
    </w:p>
    <w:p w14:paraId="76EFA339" w14:textId="503E2742" w:rsidR="009926E7" w:rsidRPr="00B63BD5" w:rsidRDefault="00AE1D04" w:rsidP="00632863">
      <w:pPr>
        <w:keepNext/>
        <w:keepLines/>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b/>
          <w:color w:val="00B0F0"/>
          <w:lang w:val="fr-CA"/>
        </w:rPr>
      </w:pPr>
      <w:r w:rsidRPr="00B63BD5">
        <w:rPr>
          <w:b/>
          <w:color w:val="00B0F0"/>
          <w:lang w:val="fr-CA"/>
        </w:rPr>
        <w:t>[</w:t>
      </w:r>
      <w:r w:rsidR="00EC3CB5" w:rsidRPr="00B63BD5">
        <w:rPr>
          <w:b/>
          <w:color w:val="00B0F0"/>
          <w:lang w:val="fr-CA"/>
        </w:rPr>
        <w:t>N.B. :</w:t>
      </w:r>
      <w:r w:rsidR="009B61B1" w:rsidRPr="00B63BD5">
        <w:rPr>
          <w:b/>
          <w:color w:val="00B0F0"/>
          <w:lang w:val="fr-CA"/>
        </w:rPr>
        <w:t xml:space="preserve"> </w:t>
      </w:r>
      <w:r w:rsidR="004C30DC" w:rsidRPr="00B63BD5">
        <w:rPr>
          <w:b/>
          <w:color w:val="00B0F0"/>
          <w:lang w:val="fr-CA"/>
        </w:rPr>
        <w:t xml:space="preserve">Il y a lieu de se reporter aux </w:t>
      </w:r>
      <w:r w:rsidR="00EF3133" w:rsidRPr="00B63BD5">
        <w:rPr>
          <w:b/>
          <w:color w:val="00B0F0"/>
          <w:lang w:val="fr-CA"/>
        </w:rPr>
        <w:t xml:space="preserve">directives </w:t>
      </w:r>
      <w:r w:rsidR="004C30DC" w:rsidRPr="00B63BD5">
        <w:rPr>
          <w:b/>
          <w:color w:val="00B0F0"/>
          <w:lang w:val="fr-CA"/>
        </w:rPr>
        <w:t>ci</w:t>
      </w:r>
      <w:r w:rsidR="004C30DC" w:rsidRPr="00B63BD5">
        <w:rPr>
          <w:b/>
          <w:color w:val="00B0F0"/>
          <w:lang w:val="fr-CA"/>
        </w:rPr>
        <w:noBreakHyphen/>
        <w:t>jointes pour remplir la page de signature.</w:t>
      </w:r>
      <w:r w:rsidRPr="00B63BD5">
        <w:rPr>
          <w:b/>
          <w:color w:val="00B0F0"/>
          <w:lang w:val="fr-CA"/>
        </w:rPr>
        <w:t>]</w:t>
      </w:r>
    </w:p>
    <w:p w14:paraId="0F029923" w14:textId="36FC4D61" w:rsidR="003B29BD" w:rsidRPr="00B63BD5" w:rsidRDefault="00140BFA"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outlineLvl w:val="0"/>
        <w:rPr>
          <w:b/>
          <w:color w:val="00B0F0"/>
          <w:lang w:val="fr-CA"/>
        </w:rPr>
      </w:pPr>
      <w:r w:rsidRPr="00B63BD5">
        <w:rPr>
          <w:b/>
          <w:color w:val="00B0F0"/>
          <w:lang w:val="fr-CA"/>
        </w:rPr>
        <w:t>[</w:t>
      </w:r>
      <w:r w:rsidR="00EC3CB5" w:rsidRPr="00B63BD5">
        <w:rPr>
          <w:b/>
          <w:color w:val="00B0F0"/>
          <w:lang w:val="fr-CA"/>
        </w:rPr>
        <w:t>N.B. :</w:t>
      </w:r>
      <w:r w:rsidR="009B61B1" w:rsidRPr="00B63BD5">
        <w:rPr>
          <w:b/>
          <w:color w:val="00B0F0"/>
          <w:lang w:val="fr-CA"/>
        </w:rPr>
        <w:t xml:space="preserve"> </w:t>
      </w:r>
      <w:r w:rsidR="004C30DC" w:rsidRPr="00B63BD5">
        <w:rPr>
          <w:b/>
          <w:color w:val="00B0F0"/>
          <w:lang w:val="fr-CA"/>
        </w:rPr>
        <w:t xml:space="preserve">Insérer la </w:t>
      </w:r>
      <w:r w:rsidR="00EF3133" w:rsidRPr="00B63BD5">
        <w:rPr>
          <w:b/>
          <w:color w:val="00B0F0"/>
          <w:lang w:val="fr-CA"/>
        </w:rPr>
        <w:t xml:space="preserve">dénomination </w:t>
      </w:r>
      <w:r w:rsidR="007E3004" w:rsidRPr="00B63BD5">
        <w:rPr>
          <w:b/>
          <w:color w:val="00B0F0"/>
          <w:lang w:val="fr-CA"/>
        </w:rPr>
        <w:t xml:space="preserve">sociale </w:t>
      </w:r>
      <w:r w:rsidR="004C30DC" w:rsidRPr="00B63BD5">
        <w:rPr>
          <w:b/>
          <w:color w:val="00B0F0"/>
          <w:lang w:val="fr-CA"/>
        </w:rPr>
        <w:t>complète de chaque emprunteur</w:t>
      </w:r>
      <w:r w:rsidR="007E3004" w:rsidRPr="00B63BD5">
        <w:rPr>
          <w:b/>
          <w:color w:val="00B0F0"/>
          <w:lang w:val="fr-CA"/>
        </w:rPr>
        <w:t xml:space="preserve"> qui est une société par</w:t>
      </w:r>
      <w:r w:rsidR="00FE6453" w:rsidRPr="00B63BD5">
        <w:rPr>
          <w:b/>
          <w:color w:val="00B0F0"/>
          <w:lang w:val="fr-CA"/>
        </w:rPr>
        <w:t> </w:t>
      </w:r>
      <w:r w:rsidR="007E3004" w:rsidRPr="00B63BD5">
        <w:rPr>
          <w:b/>
          <w:color w:val="00B0F0"/>
          <w:lang w:val="fr-CA"/>
        </w:rPr>
        <w:t>actions.</w:t>
      </w:r>
      <w:r w:rsidR="00521AAA" w:rsidRPr="00B63BD5">
        <w:rPr>
          <w:b/>
          <w:color w:val="00B0F0"/>
          <w:lang w:val="fr-CA"/>
        </w:rPr>
        <w:t xml:space="preserve"> Au besoin, ajouter des blocs de signature.</w:t>
      </w:r>
      <w:r w:rsidRPr="00B63BD5">
        <w:rPr>
          <w:b/>
          <w:color w:val="00B0F0"/>
          <w:lang w:val="fr-CA"/>
        </w:rPr>
        <w:t>]</w:t>
      </w:r>
    </w:p>
    <w:p w14:paraId="5F38C93B" w14:textId="07F1FADA" w:rsidR="008E67D7" w:rsidRPr="00B63BD5" w:rsidRDefault="008E67D7" w:rsidP="00632863">
      <w:pPr>
        <w:widowControl w:val="0"/>
        <w:spacing w:after="240"/>
        <w:rPr>
          <w:lang w:val="fr-CA"/>
        </w:rPr>
      </w:pPr>
      <w:r w:rsidRPr="00B63BD5">
        <w:rPr>
          <w:lang w:val="fr-CA"/>
        </w:rPr>
        <w:t>Le soussigné reconnaît et accepte par les présentes les modalités de la présente Lettre relative aux facilités</w:t>
      </w:r>
      <w:r w:rsidR="00AC4107" w:rsidRPr="00B63BD5">
        <w:rPr>
          <w:lang w:val="fr-CA"/>
        </w:rPr>
        <w:t xml:space="preserve"> </w:t>
      </w:r>
      <w:r w:rsidRPr="00B63BD5">
        <w:rPr>
          <w:lang w:val="fr-CA"/>
        </w:rPr>
        <w:t>:</w:t>
      </w:r>
    </w:p>
    <w:p w14:paraId="50AD5BC5" w14:textId="14AE7DE7" w:rsidR="00AC185C" w:rsidRPr="000B7739" w:rsidRDefault="00AC185C" w:rsidP="000C4154">
      <w:pPr>
        <w:pStyle w:val="04LOLglNew3"/>
        <w:numPr>
          <w:ilvl w:val="2"/>
          <w:numId w:val="39"/>
        </w:numPr>
        <w:rPr>
          <w:lang w:val="fr-CA"/>
        </w:rPr>
      </w:pPr>
      <w:r w:rsidRPr="000B7739">
        <w:rPr>
          <w:lang w:val="fr-CA"/>
        </w:rPr>
        <w:t>si les signatures sont, en tout ou en partie, des Signatures électroniques, à la date indiquée pour</w:t>
      </w:r>
      <w:r w:rsidR="00FE6453" w:rsidRPr="000B7739">
        <w:rPr>
          <w:lang w:val="fr-CA"/>
        </w:rPr>
        <w:t> </w:t>
      </w:r>
      <w:r w:rsidRPr="000B7739">
        <w:rPr>
          <w:lang w:val="fr-CA"/>
        </w:rPr>
        <w:t>la</w:t>
      </w:r>
      <w:r w:rsidR="00FE6453" w:rsidRPr="000B7739">
        <w:rPr>
          <w:lang w:val="fr-CA"/>
        </w:rPr>
        <w:t> </w:t>
      </w:r>
      <w:r w:rsidRPr="000B7739">
        <w:rPr>
          <w:lang w:val="fr-CA"/>
        </w:rPr>
        <w:t>Signature électronique du dernier signataire;</w:t>
      </w:r>
    </w:p>
    <w:p w14:paraId="25A67E24" w14:textId="5A9D6DF0" w:rsidR="00AC185C" w:rsidRPr="000B7739" w:rsidRDefault="00AC185C" w:rsidP="000C4154">
      <w:pPr>
        <w:pStyle w:val="04LOLglNew3"/>
        <w:numPr>
          <w:ilvl w:val="2"/>
          <w:numId w:val="39"/>
        </w:numPr>
        <w:rPr>
          <w:b/>
          <w:lang w:val="fr-CA"/>
        </w:rPr>
      </w:pPr>
      <w:r w:rsidRPr="000B7739">
        <w:rPr>
          <w:lang w:val="fr-CA"/>
        </w:rPr>
        <w:t>s</w:t>
      </w:r>
      <w:r w:rsidR="00564B0C" w:rsidRPr="000B7739">
        <w:rPr>
          <w:lang w:val="fr-CA"/>
        </w:rPr>
        <w:t>’</w:t>
      </w:r>
      <w:r w:rsidRPr="000B7739">
        <w:rPr>
          <w:lang w:val="fr-CA"/>
        </w:rPr>
        <w:t>il s</w:t>
      </w:r>
      <w:r w:rsidR="00564B0C" w:rsidRPr="000B7739">
        <w:rPr>
          <w:lang w:val="fr-CA"/>
        </w:rPr>
        <w:t>’</w:t>
      </w:r>
      <w:r w:rsidRPr="000B7739">
        <w:rPr>
          <w:lang w:val="fr-CA"/>
        </w:rPr>
        <w:t>agit uniquement de signatures manuelles, à la date suivante</w:t>
      </w:r>
      <w:r w:rsidR="00AC4107" w:rsidRPr="000B7739">
        <w:rPr>
          <w:lang w:val="fr-CA"/>
        </w:rPr>
        <w:t xml:space="preserve"> </w:t>
      </w:r>
      <w:r w:rsidRPr="000B7739">
        <w:rPr>
          <w:lang w:val="fr-CA"/>
        </w:rPr>
        <w:t xml:space="preserve">: ___________________ </w:t>
      </w:r>
    </w:p>
    <w:p w14:paraId="6158D779" w14:textId="77777777" w:rsidR="002F5F78" w:rsidRPr="00B63BD5" w:rsidRDefault="002F5F78" w:rsidP="002F5F78">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outlineLvl w:val="0"/>
        <w:rPr>
          <w:b/>
          <w:lang w:val="fr-CA"/>
        </w:rPr>
      </w:pPr>
    </w:p>
    <w:p w14:paraId="7E15E1EE" w14:textId="6BA4CCEE" w:rsidR="002F5F78" w:rsidRPr="00B63BD5" w:rsidRDefault="002F5F78" w:rsidP="002F5F78">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200"/>
        <w:outlineLvl w:val="0"/>
        <w:rPr>
          <w:b/>
          <w:lang w:val="fr-CA"/>
        </w:rPr>
      </w:pPr>
      <w:r w:rsidRPr="00B63BD5">
        <w:rPr>
          <w:b/>
          <w:lang w:val="fr-CA"/>
        </w:rPr>
        <w:t xml:space="preserve">L’EMPRUNTEUR </w:t>
      </w:r>
      <w:r w:rsidRPr="00B63BD5">
        <w:rPr>
          <w:b/>
          <w:color w:val="00B0F0"/>
          <w:highlight w:val="yellow"/>
          <w:lang w:val="fr-CA"/>
        </w:rPr>
        <w:t>OU</w:t>
      </w:r>
      <w:r w:rsidRPr="00B63BD5">
        <w:rPr>
          <w:b/>
          <w:lang w:val="fr-CA"/>
        </w:rPr>
        <w:t xml:space="preserve"> </w:t>
      </w:r>
      <w:r w:rsidR="000F2802" w:rsidRPr="00B63BD5">
        <w:rPr>
          <w:b/>
          <w:lang w:val="fr-CA"/>
        </w:rPr>
        <w:t xml:space="preserve">LES </w:t>
      </w:r>
      <w:r w:rsidRPr="00B63BD5">
        <w:rPr>
          <w:b/>
          <w:lang w:val="fr-CA"/>
        </w:rPr>
        <w:t>EMPRUNTEURS :</w:t>
      </w:r>
    </w:p>
    <w:p w14:paraId="288963EB" w14:textId="3C957731" w:rsidR="002F5F78" w:rsidRPr="00B63BD5" w:rsidRDefault="000F2802" w:rsidP="000F2802">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outlineLvl w:val="0"/>
        <w:rPr>
          <w:b/>
          <w:color w:val="00B0F0"/>
          <w:lang w:val="fr-CA"/>
        </w:rPr>
      </w:pPr>
      <w:r w:rsidRPr="00B63BD5">
        <w:rPr>
          <w:b/>
          <w:color w:val="00B0F0"/>
          <w:lang w:val="fr-CA"/>
        </w:rPr>
        <w:lastRenderedPageBreak/>
        <w:t>[</w:t>
      </w:r>
      <w:r w:rsidR="002F5F78" w:rsidRPr="00B63BD5">
        <w:rPr>
          <w:b/>
          <w:color w:val="00B0F0"/>
          <w:lang w:val="fr-CA"/>
        </w:rPr>
        <w:t>NOM DE L’EMPRUNTEUR</w:t>
      </w:r>
      <w:r w:rsidRPr="00B63BD5">
        <w:rPr>
          <w:b/>
          <w:color w:val="00B0F0"/>
          <w:lang w:val="fr-CA"/>
        </w:rPr>
        <w:t>]</w:t>
      </w:r>
    </w:p>
    <w:p w14:paraId="3E8C0E2E" w14:textId="77777777" w:rsidR="004E4DF9" w:rsidRPr="00B63BD5" w:rsidRDefault="004E4DF9" w:rsidP="002F5F78">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outlineLvl w:val="0"/>
        <w:rPr>
          <w:b/>
          <w:color w:val="00B0F0"/>
          <w:lang w:val="fr-CA"/>
        </w:rPr>
      </w:pPr>
    </w:p>
    <w:p w14:paraId="7174D727" w14:textId="77777777" w:rsidR="002F5F78" w:rsidRPr="00B63BD5" w:rsidRDefault="002F5F78" w:rsidP="002F5F78">
      <w:pPr>
        <w:widowControl w:val="0"/>
        <w:tabs>
          <w:tab w:val="left" w:pos="5040"/>
        </w:tabs>
        <w:jc w:val="both"/>
        <w:outlineLvl w:val="0"/>
        <w:rPr>
          <w:u w:val="single"/>
          <w:lang w:val="fr-CA"/>
        </w:rPr>
      </w:pPr>
      <w:r w:rsidRPr="00B63BD5">
        <w:rPr>
          <w:lang w:val="fr-CA"/>
        </w:rPr>
        <w:t xml:space="preserve">Par: </w:t>
      </w:r>
      <w:r w:rsidRPr="00B63BD5">
        <w:rPr>
          <w:u w:val="single"/>
          <w:lang w:val="fr-CA"/>
        </w:rPr>
        <w:tab/>
      </w:r>
    </w:p>
    <w:p w14:paraId="2A6ED434" w14:textId="77777777" w:rsidR="002F5F78" w:rsidRPr="00B63BD5" w:rsidRDefault="002F5F78" w:rsidP="002F5F78">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CA"/>
        </w:rPr>
      </w:pPr>
      <w:r w:rsidRPr="00B63BD5">
        <w:rPr>
          <w:lang w:val="fr-CA"/>
        </w:rPr>
        <w:tab/>
        <w:t>Signataire autorisé</w:t>
      </w:r>
    </w:p>
    <w:p w14:paraId="78CF8B0E" w14:textId="77777777" w:rsidR="002F5F78" w:rsidRPr="00B63BD5" w:rsidRDefault="002F5F78" w:rsidP="002F5F78">
      <w:pPr>
        <w:widowControl w:val="0"/>
        <w:tabs>
          <w:tab w:val="left" w:pos="0"/>
          <w:tab w:val="left" w:pos="90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CA"/>
        </w:rPr>
      </w:pPr>
      <w:r w:rsidRPr="00B63BD5">
        <w:rPr>
          <w:lang w:val="fr-CA"/>
        </w:rPr>
        <w:t xml:space="preserve">        Titre :</w:t>
      </w:r>
      <w:r w:rsidRPr="00B63BD5">
        <w:rPr>
          <w:lang w:val="fr-CA"/>
        </w:rPr>
        <w:br/>
        <w:t xml:space="preserve">         Nom :</w:t>
      </w:r>
    </w:p>
    <w:p w14:paraId="4D1692D1" w14:textId="77777777" w:rsidR="002F5F78" w:rsidRPr="00B63BD5" w:rsidRDefault="002F5F78" w:rsidP="002F5F78">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lang w:val="fr-CA"/>
        </w:rPr>
      </w:pPr>
    </w:p>
    <w:p w14:paraId="760B4A24" w14:textId="77777777" w:rsidR="002F5F78" w:rsidRPr="00B63BD5" w:rsidRDefault="002F5F78" w:rsidP="002F5F78">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lang w:val="fr-CA"/>
        </w:rPr>
      </w:pPr>
    </w:p>
    <w:p w14:paraId="2A284EB3" w14:textId="77777777" w:rsidR="002F5F78" w:rsidRPr="00B63BD5" w:rsidRDefault="002F5F78" w:rsidP="002F5F78">
      <w:pPr>
        <w:widowControl w:val="0"/>
        <w:tabs>
          <w:tab w:val="left" w:pos="5040"/>
        </w:tabs>
        <w:jc w:val="both"/>
        <w:outlineLvl w:val="0"/>
        <w:rPr>
          <w:lang w:val="fr-CA"/>
        </w:rPr>
      </w:pPr>
      <w:r w:rsidRPr="00B63BD5">
        <w:rPr>
          <w:lang w:val="fr-CA"/>
        </w:rPr>
        <w:t xml:space="preserve">Par: </w:t>
      </w:r>
      <w:r w:rsidRPr="00B63BD5">
        <w:rPr>
          <w:u w:val="single"/>
          <w:lang w:val="fr-CA"/>
        </w:rPr>
        <w:tab/>
      </w:r>
    </w:p>
    <w:p w14:paraId="675FFA2C" w14:textId="77777777" w:rsidR="002F5F78" w:rsidRPr="00B63BD5" w:rsidRDefault="002F5F78" w:rsidP="002F5F78">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CA"/>
        </w:rPr>
      </w:pPr>
      <w:r w:rsidRPr="00B63BD5">
        <w:rPr>
          <w:lang w:val="fr-CA"/>
        </w:rPr>
        <w:tab/>
        <w:t>Signataire autorisé</w:t>
      </w:r>
    </w:p>
    <w:p w14:paraId="680D5F52" w14:textId="77777777" w:rsidR="002F5F78" w:rsidRPr="00B63BD5" w:rsidRDefault="002F5F78" w:rsidP="002F5F78">
      <w:pPr>
        <w:widowControl w:val="0"/>
        <w:tabs>
          <w:tab w:val="left" w:pos="0"/>
          <w:tab w:val="left" w:pos="90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xml:space="preserve">        Titre :</w:t>
      </w:r>
      <w:r w:rsidRPr="00B63BD5">
        <w:rPr>
          <w:lang w:val="fr-CA"/>
        </w:rPr>
        <w:br/>
        <w:t xml:space="preserve">         Nom :</w:t>
      </w:r>
    </w:p>
    <w:p w14:paraId="200AF1F9" w14:textId="67B1A61F" w:rsidR="0015526C" w:rsidRPr="00B63BD5" w:rsidRDefault="00925864" w:rsidP="002F5F78">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outlineLvl w:val="0"/>
        <w:rPr>
          <w:b/>
          <w:lang w:val="fr-CA"/>
        </w:rPr>
      </w:pPr>
      <w:r w:rsidRPr="00B63BD5">
        <w:rPr>
          <w:b/>
          <w:lang w:val="fr-CA"/>
        </w:rPr>
        <w:t>[</w:t>
      </w:r>
      <w:r w:rsidR="000F2802" w:rsidRPr="00B63BD5">
        <w:rPr>
          <w:b/>
          <w:lang w:val="fr-CA"/>
        </w:rPr>
        <w:t xml:space="preserve">LE </w:t>
      </w:r>
      <w:r w:rsidRPr="00B63BD5">
        <w:rPr>
          <w:b/>
          <w:lang w:val="fr-CA"/>
        </w:rPr>
        <w:t>G</w:t>
      </w:r>
      <w:r w:rsidR="00291112" w:rsidRPr="00B63BD5">
        <w:rPr>
          <w:b/>
          <w:lang w:val="fr-CA"/>
        </w:rPr>
        <w:t xml:space="preserve">ARANT </w:t>
      </w:r>
      <w:r w:rsidR="00291112" w:rsidRPr="00B63BD5">
        <w:rPr>
          <w:b/>
          <w:color w:val="00B0F0"/>
          <w:highlight w:val="yellow"/>
          <w:lang w:val="fr-CA"/>
        </w:rPr>
        <w:t>OU</w:t>
      </w:r>
      <w:r w:rsidR="00291112" w:rsidRPr="00B63BD5">
        <w:rPr>
          <w:b/>
          <w:lang w:val="fr-CA"/>
        </w:rPr>
        <w:t xml:space="preserve"> </w:t>
      </w:r>
      <w:r w:rsidR="000F2802" w:rsidRPr="00B63BD5">
        <w:rPr>
          <w:b/>
          <w:lang w:val="fr-CA"/>
        </w:rPr>
        <w:t>LES</w:t>
      </w:r>
      <w:r w:rsidR="00291112" w:rsidRPr="00B63BD5">
        <w:rPr>
          <w:b/>
          <w:lang w:val="fr-CA"/>
        </w:rPr>
        <w:t xml:space="preserve"> GARANTS</w:t>
      </w:r>
      <w:r w:rsidR="004746B3" w:rsidRPr="00B63BD5">
        <w:rPr>
          <w:b/>
          <w:lang w:val="fr-CA"/>
        </w:rPr>
        <w:t> :</w:t>
      </w:r>
      <w:r w:rsidR="00EC6D9E" w:rsidRPr="00B63BD5">
        <w:rPr>
          <w:b/>
          <w:lang w:val="fr-CA"/>
        </w:rPr>
        <w:t>]</w:t>
      </w:r>
    </w:p>
    <w:p w14:paraId="68C9BAB4" w14:textId="23CF7A9F" w:rsidR="00291112" w:rsidRPr="00B63BD5" w:rsidRDefault="00291112" w:rsidP="002F5F78">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outlineLvl w:val="0"/>
        <w:rPr>
          <w:b/>
          <w:color w:val="00B0F0"/>
          <w:lang w:val="fr-CA"/>
        </w:rPr>
      </w:pPr>
      <w:r w:rsidRPr="00B63BD5">
        <w:rPr>
          <w:b/>
          <w:color w:val="00B0F0"/>
          <w:lang w:val="fr-CA"/>
        </w:rPr>
        <w:t>[N.B.</w:t>
      </w:r>
      <w:r w:rsidR="00AC4107" w:rsidRPr="00B63BD5">
        <w:rPr>
          <w:b/>
          <w:color w:val="00B0F0"/>
          <w:lang w:val="fr-CA"/>
        </w:rPr>
        <w:t xml:space="preserve"> </w:t>
      </w:r>
      <w:r w:rsidRPr="00B63BD5">
        <w:rPr>
          <w:b/>
          <w:color w:val="00B0F0"/>
          <w:lang w:val="fr-CA"/>
        </w:rPr>
        <w:t>: Ins</w:t>
      </w:r>
      <w:r w:rsidR="007F29FC" w:rsidRPr="00B63BD5">
        <w:rPr>
          <w:b/>
          <w:color w:val="00B0F0"/>
          <w:lang w:val="fr-CA"/>
        </w:rPr>
        <w:t>crire</w:t>
      </w:r>
      <w:r w:rsidRPr="00B63BD5">
        <w:rPr>
          <w:b/>
          <w:color w:val="00B0F0"/>
          <w:lang w:val="fr-CA"/>
        </w:rPr>
        <w:t xml:space="preserve"> la dénomination sociale complète de chaque Garant]</w:t>
      </w:r>
    </w:p>
    <w:p w14:paraId="1E0C702C" w14:textId="77777777" w:rsidR="00291112" w:rsidRPr="00B63BD5" w:rsidRDefault="00291112" w:rsidP="002F5F78">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outlineLvl w:val="0"/>
        <w:rPr>
          <w:b/>
          <w:color w:val="00B0F0"/>
          <w:lang w:val="fr-CA"/>
        </w:rPr>
      </w:pPr>
      <w:r w:rsidRPr="00B63BD5">
        <w:rPr>
          <w:b/>
          <w:color w:val="00B0F0"/>
          <w:lang w:val="fr-CA"/>
        </w:rPr>
        <w:t>[NOM DES GARANTS QUI SONT DES SOCIÉTÉS]</w:t>
      </w:r>
    </w:p>
    <w:p w14:paraId="3F4E17CC" w14:textId="77777777" w:rsidR="00BF6D43" w:rsidRPr="00B63BD5" w:rsidRDefault="00BF6D43" w:rsidP="002F5F78">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outlineLvl w:val="0"/>
        <w:rPr>
          <w:lang w:val="fr-CA"/>
        </w:rPr>
      </w:pPr>
    </w:p>
    <w:p w14:paraId="0B5FF20E" w14:textId="3C9871AF" w:rsidR="0015526C" w:rsidRPr="00B63BD5" w:rsidRDefault="0015526C" w:rsidP="002F5F78">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outlineLvl w:val="0"/>
        <w:rPr>
          <w:lang w:val="fr-CA"/>
        </w:rPr>
      </w:pPr>
      <w:r w:rsidRPr="00B63BD5">
        <w:rPr>
          <w:lang w:val="fr-CA"/>
        </w:rPr>
        <w:t>Par : __________________________________</w:t>
      </w:r>
    </w:p>
    <w:p w14:paraId="7AD5A7DF" w14:textId="77777777" w:rsidR="0015526C" w:rsidRPr="00B63BD5" w:rsidRDefault="0015526C" w:rsidP="002F5F78">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ab/>
        <w:t>Signataire autorisé</w:t>
      </w:r>
    </w:p>
    <w:p w14:paraId="71961D54" w14:textId="77777777" w:rsidR="0015526C" w:rsidRPr="00B63BD5" w:rsidRDefault="0015526C" w:rsidP="002F5F78">
      <w:pPr>
        <w:widowControl w:val="0"/>
        <w:tabs>
          <w:tab w:val="left" w:pos="90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284"/>
        <w:jc w:val="both"/>
        <w:rPr>
          <w:lang w:val="fr-CA"/>
        </w:rPr>
      </w:pPr>
      <w:r w:rsidRPr="00B63BD5">
        <w:rPr>
          <w:lang w:val="fr-CA"/>
        </w:rPr>
        <w:t>Titre:</w:t>
      </w:r>
      <w:r w:rsidRPr="00B63BD5">
        <w:rPr>
          <w:lang w:val="fr-CA"/>
        </w:rPr>
        <w:br/>
        <w:t>Nom :</w:t>
      </w:r>
    </w:p>
    <w:p w14:paraId="688F2F49" w14:textId="77777777" w:rsidR="0015526C" w:rsidRPr="00B63BD5" w:rsidRDefault="0015526C" w:rsidP="002F5F78">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outlineLvl w:val="0"/>
        <w:rPr>
          <w:lang w:val="fr-CA"/>
        </w:rPr>
      </w:pPr>
      <w:r w:rsidRPr="00B63BD5">
        <w:rPr>
          <w:lang w:val="fr-CA"/>
        </w:rPr>
        <w:t>Par : __________________________________</w:t>
      </w:r>
    </w:p>
    <w:p w14:paraId="581602AC" w14:textId="77777777" w:rsidR="0015526C" w:rsidRPr="00B63BD5" w:rsidRDefault="0015526C" w:rsidP="002F5F78">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ab/>
        <w:t>Signataire autorisé</w:t>
      </w:r>
    </w:p>
    <w:p w14:paraId="5F7163B0" w14:textId="77777777" w:rsidR="0015526C" w:rsidRPr="00B63BD5" w:rsidRDefault="0015526C" w:rsidP="002F5F78">
      <w:pPr>
        <w:widowControl w:val="0"/>
        <w:tabs>
          <w:tab w:val="left" w:pos="90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284"/>
        <w:jc w:val="both"/>
        <w:rPr>
          <w:lang w:val="fr-CA"/>
        </w:rPr>
      </w:pPr>
      <w:r w:rsidRPr="00B63BD5">
        <w:rPr>
          <w:lang w:val="fr-CA"/>
        </w:rPr>
        <w:t>Titre:</w:t>
      </w:r>
      <w:r w:rsidRPr="00B63BD5">
        <w:rPr>
          <w:lang w:val="fr-CA"/>
        </w:rPr>
        <w:br/>
        <w:t>Nom :</w:t>
      </w:r>
    </w:p>
    <w:p w14:paraId="5E70A69A" w14:textId="333C8EA1" w:rsidR="00291112" w:rsidRPr="00B63BD5" w:rsidRDefault="00291112" w:rsidP="002F5F78">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b/>
          <w:lang w:val="fr-CA"/>
        </w:rPr>
      </w:pPr>
      <w:r w:rsidRPr="00B63BD5">
        <w:rPr>
          <w:b/>
          <w:color w:val="00B0F0"/>
          <w:lang w:val="fr-CA"/>
        </w:rPr>
        <w:t>[NOM DES GARANTS QUI SONT DES PARTICULIERS]</w:t>
      </w:r>
    </w:p>
    <w:p w14:paraId="22B45AF5" w14:textId="77777777" w:rsidR="0067788C" w:rsidRPr="00B63BD5" w:rsidRDefault="0067788C" w:rsidP="002F5F78">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p>
    <w:p w14:paraId="7C1229E3" w14:textId="4BC7C51F" w:rsidR="00291112" w:rsidRPr="00B63BD5" w:rsidRDefault="00291112" w:rsidP="002F5F78">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________________________________________</w:t>
      </w:r>
    </w:p>
    <w:p w14:paraId="26C47A44" w14:textId="1909DC0C" w:rsidR="000F2802" w:rsidRPr="00B63BD5" w:rsidRDefault="000F2802" w:rsidP="000F2802">
      <w:pPr>
        <w:widowControl w:val="0"/>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ab/>
        <w:t>Signature</w:t>
      </w:r>
    </w:p>
    <w:p w14:paraId="49E21DBD" w14:textId="77777777" w:rsidR="000F2802" w:rsidRPr="00B63BD5" w:rsidRDefault="000F2802" w:rsidP="002F5F78">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p>
    <w:p w14:paraId="6114C2F3" w14:textId="1C2FD0AB" w:rsidR="008579BF" w:rsidRPr="00B63BD5" w:rsidRDefault="004E4DF9" w:rsidP="002F5F78">
      <w:pPr>
        <w:widowControl w:val="0"/>
        <w:jc w:val="center"/>
        <w:rPr>
          <w:b/>
          <w:u w:val="single"/>
          <w:lang w:val="fr-CA"/>
        </w:rPr>
      </w:pPr>
      <w:r w:rsidRPr="00B63BD5">
        <w:rPr>
          <w:b/>
          <w:u w:val="single"/>
          <w:lang w:val="fr-CA"/>
        </w:rPr>
        <w:br w:type="page"/>
      </w:r>
      <w:r w:rsidR="008579BF" w:rsidRPr="00B63BD5">
        <w:rPr>
          <w:b/>
          <w:u w:val="single"/>
          <w:lang w:val="fr-CA"/>
        </w:rPr>
        <w:lastRenderedPageBreak/>
        <w:t xml:space="preserve">ANNEXE </w:t>
      </w:r>
      <w:r w:rsidR="009C4C7F" w:rsidRPr="00B63BD5">
        <w:rPr>
          <w:b/>
          <w:u w:val="single"/>
          <w:lang w:val="fr-CA"/>
        </w:rPr>
        <w:t>A</w:t>
      </w:r>
    </w:p>
    <w:p w14:paraId="7164FA86" w14:textId="77777777" w:rsidR="00232572" w:rsidRPr="00B63BD5" w:rsidRDefault="00232572" w:rsidP="00511093">
      <w:pPr>
        <w:jc w:val="center"/>
        <w:rPr>
          <w:b/>
          <w:u w:val="single"/>
          <w:lang w:val="fr-CA"/>
        </w:rPr>
      </w:pPr>
    </w:p>
    <w:p w14:paraId="1A300D0F" w14:textId="77777777" w:rsidR="008579BF" w:rsidRPr="00B63BD5" w:rsidRDefault="008579BF" w:rsidP="00306D10">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lang w:val="fr-CA"/>
        </w:rPr>
      </w:pPr>
      <w:r w:rsidRPr="00B63BD5">
        <w:rPr>
          <w:b/>
          <w:lang w:val="fr-CA"/>
        </w:rPr>
        <w:t>À LA LETTRE RELATIVE AUX FACILITÉS</w:t>
      </w:r>
    </w:p>
    <w:p w14:paraId="4071BF68" w14:textId="41E230F2" w:rsidR="008579BF" w:rsidRPr="00B63BD5" w:rsidRDefault="00060626" w:rsidP="00306D10">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fr-CA"/>
        </w:rPr>
      </w:pPr>
      <w:r w:rsidRPr="00B63BD5">
        <w:rPr>
          <w:b/>
          <w:lang w:val="fr-CA"/>
        </w:rPr>
        <w:t xml:space="preserve">CONSENTIE PAR </w:t>
      </w:r>
      <w:r w:rsidR="003C11AB" w:rsidRPr="00B63BD5">
        <w:rPr>
          <w:b/>
          <w:lang w:val="fr-CA"/>
        </w:rPr>
        <w:t xml:space="preserve">LA </w:t>
      </w:r>
      <w:r w:rsidR="008579BF" w:rsidRPr="00B63BD5">
        <w:rPr>
          <w:b/>
          <w:lang w:val="fr-CA"/>
        </w:rPr>
        <w:t>BANQUE HSBC CANADA</w:t>
      </w:r>
    </w:p>
    <w:p w14:paraId="66C8D325" w14:textId="073C075E" w:rsidR="008579BF" w:rsidRPr="00B63BD5" w:rsidRDefault="008579BF" w:rsidP="00306D10">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fr-CA"/>
        </w:rPr>
      </w:pPr>
      <w:r w:rsidRPr="00B63BD5">
        <w:rPr>
          <w:b/>
          <w:lang w:val="fr-CA"/>
        </w:rPr>
        <w:t xml:space="preserve">À </w:t>
      </w:r>
      <w:r w:rsidR="0090076F" w:rsidRPr="00B63BD5">
        <w:rPr>
          <w:b/>
          <w:lang w:val="fr-CA"/>
        </w:rPr>
        <w:t>[L</w:t>
      </w:r>
      <w:r w:rsidR="00564B0C" w:rsidRPr="00B63BD5">
        <w:rPr>
          <w:b/>
          <w:lang w:val="fr-CA"/>
        </w:rPr>
        <w:t>’</w:t>
      </w:r>
      <w:r w:rsidR="0090076F" w:rsidRPr="00B63BD5">
        <w:rPr>
          <w:b/>
          <w:lang w:val="fr-CA"/>
        </w:rPr>
        <w:t>EMPRUNTEUR UNIQUE</w:t>
      </w:r>
      <w:r w:rsidR="00291112" w:rsidRPr="00B63BD5">
        <w:rPr>
          <w:b/>
          <w:lang w:val="fr-CA"/>
        </w:rPr>
        <w:t xml:space="preserve"> </w:t>
      </w:r>
      <w:r w:rsidR="00291112" w:rsidRPr="00B63BD5">
        <w:rPr>
          <w:b/>
          <w:color w:val="00B0F0"/>
          <w:highlight w:val="yellow"/>
          <w:lang w:val="fr-CA"/>
        </w:rPr>
        <w:t>OU</w:t>
      </w:r>
      <w:r w:rsidR="0090076F" w:rsidRPr="00B63BD5">
        <w:rPr>
          <w:b/>
          <w:color w:val="00B0F0"/>
          <w:lang w:val="fr-CA"/>
        </w:rPr>
        <w:t xml:space="preserve"> </w:t>
      </w:r>
      <w:r w:rsidR="0090076F" w:rsidRPr="00B63BD5">
        <w:rPr>
          <w:b/>
          <w:lang w:val="fr-CA"/>
        </w:rPr>
        <w:t>L</w:t>
      </w:r>
      <w:r w:rsidR="00564B0C" w:rsidRPr="00B63BD5">
        <w:rPr>
          <w:b/>
          <w:lang w:val="fr-CA"/>
        </w:rPr>
        <w:t>’</w:t>
      </w:r>
      <w:r w:rsidR="0090076F" w:rsidRPr="00B63BD5">
        <w:rPr>
          <w:b/>
          <w:lang w:val="fr-CA"/>
        </w:rPr>
        <w:t>EMPRUNTEUR PRINCIPAL ET À D</w:t>
      </w:r>
      <w:r w:rsidR="00564B0C" w:rsidRPr="00B63BD5">
        <w:rPr>
          <w:b/>
          <w:lang w:val="fr-CA"/>
        </w:rPr>
        <w:t>’</w:t>
      </w:r>
      <w:r w:rsidR="0090076F" w:rsidRPr="00B63BD5">
        <w:rPr>
          <w:b/>
          <w:lang w:val="fr-CA"/>
        </w:rPr>
        <w:t>AUTRES PERSONNES]</w:t>
      </w:r>
    </w:p>
    <w:p w14:paraId="41590E87" w14:textId="13F4EDBF" w:rsidR="008579BF" w:rsidRPr="00B63BD5" w:rsidRDefault="008579BF" w:rsidP="00306D10">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center"/>
        <w:rPr>
          <w:b/>
          <w:lang w:val="fr-CA"/>
        </w:rPr>
      </w:pPr>
      <w:r w:rsidRPr="00B63BD5">
        <w:rPr>
          <w:b/>
          <w:lang w:val="fr-CA"/>
        </w:rPr>
        <w:t xml:space="preserve">DATÉE </w:t>
      </w:r>
      <w:r w:rsidR="00D10D89" w:rsidRPr="00B63BD5">
        <w:rPr>
          <w:b/>
          <w:lang w:val="fr-CA"/>
        </w:rPr>
        <w:t xml:space="preserve">DU </w:t>
      </w:r>
      <w:r w:rsidR="00201657" w:rsidRPr="00B63BD5">
        <w:rPr>
          <w:b/>
          <w:lang w:val="fr-CA"/>
        </w:rPr>
        <w:t>●</w:t>
      </w:r>
    </w:p>
    <w:p w14:paraId="108F33F4" w14:textId="433D37EB" w:rsidR="008579BF" w:rsidRPr="00B63BD5" w:rsidRDefault="008579BF" w:rsidP="00632863">
      <w:pPr>
        <w:tabs>
          <w:tab w:val="left" w:pos="142"/>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La présente Annexe fait partie de la Lettre relative aux facilités et la disponibilité des Facilités de</w:t>
      </w:r>
      <w:r w:rsidR="006F0D95" w:rsidRPr="00B63BD5">
        <w:rPr>
          <w:lang w:val="fr-CA"/>
        </w:rPr>
        <w:t> </w:t>
      </w:r>
      <w:r w:rsidRPr="00B63BD5">
        <w:rPr>
          <w:lang w:val="fr-CA"/>
        </w:rPr>
        <w:t>crédit</w:t>
      </w:r>
      <w:r w:rsidR="006F0D95" w:rsidRPr="00B63BD5">
        <w:rPr>
          <w:lang w:val="fr-CA"/>
        </w:rPr>
        <w:t> </w:t>
      </w:r>
      <w:r w:rsidRPr="00B63BD5">
        <w:rPr>
          <w:lang w:val="fr-CA"/>
        </w:rPr>
        <w:t>qui</w:t>
      </w:r>
      <w:r w:rsidR="006F0D95" w:rsidRPr="00B63BD5">
        <w:rPr>
          <w:lang w:val="fr-CA"/>
        </w:rPr>
        <w:t> </w:t>
      </w:r>
      <w:r w:rsidRPr="00B63BD5">
        <w:rPr>
          <w:lang w:val="fr-CA"/>
        </w:rPr>
        <w:t>sont décrites dans la présente Lettre relative aux facilités est également assujettie aux</w:t>
      </w:r>
      <w:r w:rsidR="006F0D95" w:rsidRPr="00B63BD5">
        <w:rPr>
          <w:lang w:val="fr-CA"/>
        </w:rPr>
        <w:t> </w:t>
      </w:r>
      <w:r w:rsidRPr="00B63BD5">
        <w:rPr>
          <w:lang w:val="fr-CA"/>
        </w:rPr>
        <w:t>modalités qui</w:t>
      </w:r>
      <w:r w:rsidR="006F0D95" w:rsidRPr="00B63BD5">
        <w:rPr>
          <w:lang w:val="fr-CA"/>
        </w:rPr>
        <w:t> </w:t>
      </w:r>
      <w:r w:rsidRPr="00B63BD5">
        <w:rPr>
          <w:lang w:val="fr-CA"/>
        </w:rPr>
        <w:t>sont énoncées dans la présente Annexe.</w:t>
      </w:r>
    </w:p>
    <w:p w14:paraId="60C8C220" w14:textId="5D2AE908" w:rsidR="0090076F" w:rsidRPr="00B63BD5" w:rsidRDefault="0090076F" w:rsidP="00632863">
      <w:pPr>
        <w:keepNext/>
        <w:keepLines/>
        <w:tabs>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b/>
          <w:color w:val="00B0F0"/>
          <w:lang w:val="fr-CA"/>
        </w:rPr>
      </w:pPr>
      <w:r w:rsidRPr="00B63BD5">
        <w:rPr>
          <w:b/>
          <w:color w:val="00B0F0"/>
          <w:highlight w:val="yellow"/>
          <w:lang w:val="fr-CA"/>
        </w:rPr>
        <w:t>[N.B.</w:t>
      </w:r>
      <w:r w:rsidR="00AC4107" w:rsidRPr="00B63BD5">
        <w:rPr>
          <w:b/>
          <w:color w:val="00B0F0"/>
          <w:highlight w:val="yellow"/>
          <w:lang w:val="fr-CA"/>
        </w:rPr>
        <w:t xml:space="preserve"> </w:t>
      </w:r>
      <w:r w:rsidRPr="00B63BD5">
        <w:rPr>
          <w:b/>
          <w:color w:val="00B0F0"/>
          <w:highlight w:val="yellow"/>
          <w:lang w:val="fr-CA"/>
        </w:rPr>
        <w:t xml:space="preserve">: Il est recommandé de </w:t>
      </w:r>
      <w:r w:rsidRPr="00B63BD5">
        <w:rPr>
          <w:b/>
          <w:color w:val="00B0F0"/>
          <w:highlight w:val="yellow"/>
          <w:u w:val="single"/>
          <w:lang w:val="fr-CA"/>
        </w:rPr>
        <w:t>ne pas</w:t>
      </w:r>
      <w:r w:rsidRPr="00B63BD5">
        <w:rPr>
          <w:b/>
          <w:color w:val="00B0F0"/>
          <w:highlight w:val="yellow"/>
          <w:lang w:val="fr-CA"/>
        </w:rPr>
        <w:t xml:space="preserve"> supprimer les définitions de l</w:t>
      </w:r>
      <w:r w:rsidR="00564B0C" w:rsidRPr="00B63BD5">
        <w:rPr>
          <w:b/>
          <w:color w:val="00B0F0"/>
          <w:highlight w:val="yellow"/>
          <w:lang w:val="fr-CA"/>
        </w:rPr>
        <w:t>’</w:t>
      </w:r>
      <w:r w:rsidRPr="00B63BD5">
        <w:rPr>
          <w:b/>
          <w:color w:val="00B0F0"/>
          <w:highlight w:val="yellow"/>
          <w:lang w:val="fr-CA"/>
        </w:rPr>
        <w:t>Annexe</w:t>
      </w:r>
      <w:r w:rsidR="00AC4107" w:rsidRPr="00B63BD5">
        <w:rPr>
          <w:b/>
          <w:color w:val="00B0F0"/>
          <w:highlight w:val="yellow"/>
          <w:lang w:val="fr-CA"/>
        </w:rPr>
        <w:t xml:space="preserve"> </w:t>
      </w:r>
      <w:r w:rsidRPr="00B63BD5">
        <w:rPr>
          <w:b/>
          <w:color w:val="00B0F0"/>
          <w:highlight w:val="yellow"/>
          <w:lang w:val="fr-CA"/>
        </w:rPr>
        <w:t>A</w:t>
      </w:r>
      <w:r w:rsidR="001B3334" w:rsidRPr="00B63BD5">
        <w:rPr>
          <w:b/>
          <w:color w:val="00B0F0"/>
          <w:highlight w:val="yellow"/>
          <w:lang w:val="fr-CA"/>
        </w:rPr>
        <w:t xml:space="preserve"> qui ne sont pas</w:t>
      </w:r>
      <w:r w:rsidR="006F0D95" w:rsidRPr="00B63BD5">
        <w:rPr>
          <w:b/>
          <w:color w:val="00B0F0"/>
          <w:highlight w:val="yellow"/>
          <w:lang w:val="fr-CA"/>
        </w:rPr>
        <w:t> </w:t>
      </w:r>
      <w:r w:rsidR="001B3334" w:rsidRPr="00B63BD5">
        <w:rPr>
          <w:b/>
          <w:color w:val="00B0F0"/>
          <w:highlight w:val="yellow"/>
          <w:lang w:val="fr-CA"/>
        </w:rPr>
        <w:t>utilisées</w:t>
      </w:r>
      <w:r w:rsidRPr="00B63BD5">
        <w:rPr>
          <w:b/>
          <w:color w:val="00B0F0"/>
          <w:highlight w:val="yellow"/>
          <w:lang w:val="fr-CA"/>
        </w:rPr>
        <w:t>.</w:t>
      </w:r>
      <w:r w:rsidR="00201657" w:rsidRPr="00B63BD5">
        <w:rPr>
          <w:b/>
          <w:color w:val="00B0F0"/>
          <w:highlight w:val="yellow"/>
          <w:lang w:val="fr-CA"/>
        </w:rPr>
        <w:t xml:space="preserve"> </w:t>
      </w:r>
    </w:p>
    <w:p w14:paraId="10CC1F18" w14:textId="410BA707" w:rsidR="008579BF" w:rsidRPr="00B63BD5" w:rsidRDefault="008579BF" w:rsidP="00632863">
      <w:pPr>
        <w:pStyle w:val="ListNumber"/>
        <w:spacing w:after="240"/>
        <w:ind w:left="709" w:hanging="709"/>
        <w:jc w:val="both"/>
        <w:rPr>
          <w:lang w:val="fr-CA"/>
        </w:rPr>
      </w:pPr>
      <w:r w:rsidRPr="00B63BD5">
        <w:rPr>
          <w:lang w:val="fr-CA"/>
        </w:rPr>
        <w:t>Définitions</w:t>
      </w:r>
      <w:r w:rsidR="00521AAA" w:rsidRPr="00B63BD5">
        <w:rPr>
          <w:lang w:val="fr-CA"/>
        </w:rPr>
        <w:t xml:space="preserve"> et interprétation</w:t>
      </w:r>
    </w:p>
    <w:p w14:paraId="01D18A8E" w14:textId="5ED94410" w:rsidR="00521AAA" w:rsidRPr="00B63BD5" w:rsidRDefault="00521AAA"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xml:space="preserve">Les titres </w:t>
      </w:r>
      <w:r w:rsidR="009C4C7F" w:rsidRPr="00B63BD5">
        <w:rPr>
          <w:lang w:val="fr-CA"/>
        </w:rPr>
        <w:t>des articles, des paragraphes, des alinéas, des sous</w:t>
      </w:r>
      <w:r w:rsidR="009C4C7F" w:rsidRPr="00B63BD5">
        <w:rPr>
          <w:lang w:val="fr-CA"/>
        </w:rPr>
        <w:noBreakHyphen/>
        <w:t xml:space="preserve">alinéas et des Annexes ne </w:t>
      </w:r>
      <w:r w:rsidRPr="00B63BD5">
        <w:rPr>
          <w:lang w:val="fr-CA"/>
        </w:rPr>
        <w:t>visent qu</w:t>
      </w:r>
      <w:r w:rsidR="00564B0C" w:rsidRPr="00B63BD5">
        <w:rPr>
          <w:lang w:val="fr-CA"/>
        </w:rPr>
        <w:t>’</w:t>
      </w:r>
      <w:r w:rsidRPr="00B63BD5">
        <w:rPr>
          <w:lang w:val="fr-CA"/>
        </w:rPr>
        <w:t xml:space="preserve">à faciliter la lecture </w:t>
      </w:r>
      <w:r w:rsidR="009C4C7F" w:rsidRPr="00B63BD5">
        <w:rPr>
          <w:lang w:val="fr-CA"/>
        </w:rPr>
        <w:t xml:space="preserve">de la présente Lettre relative aux facilités </w:t>
      </w:r>
      <w:r w:rsidRPr="00B63BD5">
        <w:rPr>
          <w:lang w:val="fr-CA"/>
        </w:rPr>
        <w:t>et n</w:t>
      </w:r>
      <w:r w:rsidR="00564B0C" w:rsidRPr="00B63BD5">
        <w:rPr>
          <w:lang w:val="fr-CA"/>
        </w:rPr>
        <w:t>’</w:t>
      </w:r>
      <w:r w:rsidRPr="00B63BD5">
        <w:rPr>
          <w:lang w:val="fr-CA"/>
        </w:rPr>
        <w:t>ont aucun effet sur le sens ou l</w:t>
      </w:r>
      <w:r w:rsidR="00564B0C" w:rsidRPr="00B63BD5">
        <w:rPr>
          <w:lang w:val="fr-CA"/>
        </w:rPr>
        <w:t>’</w:t>
      </w:r>
      <w:r w:rsidRPr="00B63BD5">
        <w:rPr>
          <w:lang w:val="fr-CA"/>
        </w:rPr>
        <w:t>interprétation</w:t>
      </w:r>
      <w:r w:rsidR="009C4C7F" w:rsidRPr="00B63BD5">
        <w:rPr>
          <w:lang w:val="fr-CA"/>
        </w:rPr>
        <w:t xml:space="preserve"> de celle</w:t>
      </w:r>
      <w:r w:rsidR="009C4C7F" w:rsidRPr="00B63BD5">
        <w:rPr>
          <w:lang w:val="fr-CA"/>
        </w:rPr>
        <w:noBreakHyphen/>
        <w:t>ci</w:t>
      </w:r>
      <w:r w:rsidRPr="00B63BD5">
        <w:rPr>
          <w:lang w:val="fr-CA"/>
        </w:rPr>
        <w:t>.</w:t>
      </w:r>
    </w:p>
    <w:p w14:paraId="11CAC044" w14:textId="4C09F49D" w:rsidR="000232E6" w:rsidRPr="00B63BD5" w:rsidRDefault="008579BF"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Aux fins de la présente Lettre relative aux facilités, les termes suivants ont le sens qui leur est donné ci</w:t>
      </w:r>
      <w:r w:rsidRPr="00B63BD5">
        <w:rPr>
          <w:lang w:val="fr-CA"/>
        </w:rPr>
        <w:noBreakHyphen/>
        <w:t>après.</w:t>
      </w:r>
    </w:p>
    <w:p w14:paraId="78B210F1" w14:textId="72498CDA"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w:t>
      </w:r>
      <w:r w:rsidRPr="00B63BD5">
        <w:rPr>
          <w:b/>
          <w:u w:val="single"/>
          <w:lang w:val="fr-CA"/>
        </w:rPr>
        <w:t> $ CA</w:t>
      </w:r>
      <w:r w:rsidRPr="00B63BD5">
        <w:rPr>
          <w:lang w:val="fr-CA"/>
        </w:rPr>
        <w:t> » et « </w:t>
      </w:r>
      <w:r w:rsidRPr="00B63BD5">
        <w:rPr>
          <w:b/>
          <w:u w:val="single"/>
          <w:lang w:val="fr-CA"/>
        </w:rPr>
        <w:t>Dollars canadiens</w:t>
      </w:r>
      <w:r w:rsidRPr="00B63BD5">
        <w:rPr>
          <w:b/>
          <w:lang w:val="fr-CA"/>
        </w:rPr>
        <w:t> »</w:t>
      </w:r>
      <w:r w:rsidRPr="00B63BD5">
        <w:rPr>
          <w:lang w:val="fr-CA"/>
        </w:rPr>
        <w:t xml:space="preserve"> désignent la monnaie ayant cours légal au Canada en fonds immédiatement disponibles ou, si de tels fonds ne sont pas disponibles, la forme de monnaie canadienne qui est habituellement utilisée aux fins du règlement des opérations bancaires internationales le jour en question. </w:t>
      </w:r>
    </w:p>
    <w:p w14:paraId="22A86FA9"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color w:val="000000" w:themeColor="text1"/>
          <w:lang w:val="fr-CA"/>
        </w:rPr>
      </w:pPr>
      <w:r w:rsidRPr="00B63BD5">
        <w:rPr>
          <w:color w:val="000000" w:themeColor="text1"/>
          <w:lang w:val="fr-CA"/>
        </w:rPr>
        <w:t>« </w:t>
      </w:r>
      <w:r w:rsidRPr="00B63BD5">
        <w:rPr>
          <w:b/>
          <w:color w:val="000000" w:themeColor="text1"/>
          <w:u w:val="single"/>
          <w:lang w:val="fr-CA"/>
        </w:rPr>
        <w:t>$ US</w:t>
      </w:r>
      <w:r w:rsidRPr="00B63BD5">
        <w:rPr>
          <w:b/>
          <w:color w:val="000000" w:themeColor="text1"/>
          <w:lang w:val="fr-CA"/>
        </w:rPr>
        <w:t> </w:t>
      </w:r>
      <w:r w:rsidRPr="00B63BD5">
        <w:rPr>
          <w:color w:val="000000" w:themeColor="text1"/>
          <w:lang w:val="fr-CA"/>
        </w:rPr>
        <w:t>» et « </w:t>
      </w:r>
      <w:r w:rsidRPr="00B63BD5">
        <w:rPr>
          <w:b/>
          <w:color w:val="000000" w:themeColor="text1"/>
          <w:u w:val="single"/>
          <w:lang w:val="fr-CA"/>
        </w:rPr>
        <w:t>Dollars américains</w:t>
      </w:r>
      <w:r w:rsidRPr="00B63BD5">
        <w:rPr>
          <w:color w:val="000000" w:themeColor="text1"/>
          <w:lang w:val="fr-CA"/>
        </w:rPr>
        <w:t xml:space="preserve"> » </w:t>
      </w:r>
      <w:r w:rsidRPr="00B63BD5">
        <w:rPr>
          <w:lang w:val="fr-CA"/>
        </w:rPr>
        <w:t>désignent la monnaie ayant cours légal aux États</w:t>
      </w:r>
      <w:r w:rsidRPr="00B63BD5">
        <w:rPr>
          <w:lang w:val="fr-CA"/>
        </w:rPr>
        <w:noBreakHyphen/>
        <w:t>Unis en fonds immédiatement disponibles ou, si de tels fonds ne sont pas disponibles, la forme de monnaie américaine qui est habituellement utilisée aux fins du règlement des opérations bancaires internationales le jour en question</w:t>
      </w:r>
      <w:r w:rsidRPr="00B63BD5">
        <w:rPr>
          <w:color w:val="000000" w:themeColor="text1"/>
          <w:lang w:val="fr-CA"/>
        </w:rPr>
        <w:t xml:space="preserve">. </w:t>
      </w:r>
    </w:p>
    <w:p w14:paraId="41CE4C65"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Acceptation bancaire</w:t>
      </w:r>
      <w:r w:rsidRPr="00B63BD5">
        <w:rPr>
          <w:lang w:val="fr-CA"/>
        </w:rPr>
        <w:t xml:space="preserve"> » désigne une Traite en Dollars canadiens ou en Dollars américains de l’Emprunteur, établie selon le modèle de la Banque, que cette dernière a acceptée et achetée et qui est une lettre de dépôt assujettie à la </w:t>
      </w:r>
      <w:r w:rsidRPr="00B63BD5">
        <w:rPr>
          <w:i/>
          <w:lang w:val="fr-CA"/>
        </w:rPr>
        <w:t xml:space="preserve">Loi sur les lettres et billets de dépôt </w:t>
      </w:r>
      <w:r w:rsidRPr="00B63BD5">
        <w:rPr>
          <w:lang w:val="fr-CA"/>
        </w:rPr>
        <w:t>(Canada).</w:t>
      </w:r>
    </w:p>
    <w:p w14:paraId="75EE263D"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color w:val="000000" w:themeColor="text1"/>
          <w:lang w:val="fr-CA"/>
        </w:rPr>
      </w:pPr>
      <w:r w:rsidRPr="00B63BD5">
        <w:rPr>
          <w:color w:val="000000" w:themeColor="text1"/>
          <w:lang w:val="fr-CA"/>
        </w:rPr>
        <w:t>« </w:t>
      </w:r>
      <w:r w:rsidRPr="00B63BD5">
        <w:rPr>
          <w:b/>
          <w:u w:val="single"/>
          <w:lang w:val="fr-CA"/>
        </w:rPr>
        <w:t>Arrangements hors bilan</w:t>
      </w:r>
      <w:r w:rsidRPr="00B63BD5">
        <w:rPr>
          <w:color w:val="000000" w:themeColor="text1"/>
          <w:lang w:val="fr-CA"/>
        </w:rPr>
        <w:t> » désigne les opérations, les conventions ou d’autres arrangements contractuels conclus entre l’Emprunteur et une entité dont les états financiers ne sont pas consolidés avec ceux de l’Emprunteur, aux termes desquels celui</w:t>
      </w:r>
      <w:r w:rsidRPr="00B63BD5">
        <w:rPr>
          <w:color w:val="000000" w:themeColor="text1"/>
          <w:lang w:val="fr-CA"/>
        </w:rPr>
        <w:noBreakHyphen/>
        <w:t>ci pourrait avoir (i) des obligations découlant d’une garantie directe ou indirecte ou d’un arrangement similaire, (ii) une participation retenue ou un intérêt éventuel dans les éléments d’actif transférés à une entité non consolidée, (iii) des instruments dérivés, dans la mesure où la juste valeur de ceux</w:t>
      </w:r>
      <w:r w:rsidRPr="00B63BD5">
        <w:rPr>
          <w:color w:val="000000" w:themeColor="text1"/>
          <w:lang w:val="fr-CA"/>
        </w:rPr>
        <w:noBreakHyphen/>
        <w:t>ci n’est pas prise en considération à titre d’élément de passif ou d’actif, ou (iv) des obligations ou des responsabilités, y compris une obligation ou une responsabilité conditionnelle, dans la mesure où celles</w:t>
      </w:r>
      <w:r w:rsidRPr="00B63BD5">
        <w:rPr>
          <w:color w:val="000000" w:themeColor="text1"/>
          <w:lang w:val="fr-CA"/>
        </w:rPr>
        <w:noBreakHyphen/>
        <w:t xml:space="preserve">ci ne sont pas entièrement prises en considération dans les états financiers de l’Emprunteur. </w:t>
      </w:r>
    </w:p>
    <w:p w14:paraId="3B643E6F"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Autorité gouvernementale</w:t>
      </w:r>
      <w:r w:rsidRPr="00B63BD5">
        <w:rPr>
          <w:lang w:val="fr-CA"/>
        </w:rPr>
        <w:t> » désigne un gouvernement, une assemblée législative, un organisme de réglementation, une agence, une commission, un organisme d’application de la loi, un conseil, une cour, un tribunal ou une autre entité ayant le pouvoir de légiférer ou de réglementer et ayant, ou étant censé avoir, compétence pour le compte d’une nation, d’une province, d’un État, d’une municipalité ou d’un pays, ou d’une autre subdivision de celui</w:t>
      </w:r>
      <w:r w:rsidRPr="00B63BD5">
        <w:rPr>
          <w:lang w:val="fr-CA"/>
        </w:rPr>
        <w:noBreakHyphen/>
        <w:t>ci, ou d’un autre territoire.</w:t>
      </w:r>
    </w:p>
    <w:p w14:paraId="46860BE7"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Avance sur l’acceptation bancaire</w:t>
      </w:r>
      <w:r w:rsidRPr="00B63BD5">
        <w:rPr>
          <w:b/>
          <w:lang w:val="fr-CA"/>
        </w:rPr>
        <w:t xml:space="preserve"> » </w:t>
      </w:r>
      <w:r w:rsidRPr="00B63BD5">
        <w:rPr>
          <w:lang w:val="fr-CA"/>
        </w:rPr>
        <w:t>désigne chaque avance en Dollars canadiens ou en Dollars américains versée à l’Emprunteur au moyen de l’achat d’une Acceptation bancaire par la Banque.</w:t>
      </w:r>
    </w:p>
    <w:p w14:paraId="14AAFAE0" w14:textId="7326942C" w:rsidR="000232E6" w:rsidRPr="00B63BD5" w:rsidRDefault="000232E6" w:rsidP="00511093">
      <w:pPr>
        <w:widowControl w:val="0"/>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color w:val="000000" w:themeColor="text1"/>
          <w:lang w:val="fr-CA"/>
        </w:rPr>
      </w:pPr>
      <w:r w:rsidRPr="00B63BD5">
        <w:rPr>
          <w:color w:val="000000" w:themeColor="text1"/>
          <w:lang w:val="fr-CA"/>
        </w:rPr>
        <w:t>« </w:t>
      </w:r>
      <w:r w:rsidRPr="00B63BD5">
        <w:rPr>
          <w:b/>
          <w:color w:val="000000" w:themeColor="text1"/>
          <w:u w:val="single"/>
          <w:lang w:val="fr-CA"/>
        </w:rPr>
        <w:t>Avis requis</w:t>
      </w:r>
      <w:r w:rsidRPr="00B63BD5">
        <w:rPr>
          <w:color w:val="000000" w:themeColor="text1"/>
          <w:lang w:val="fr-CA"/>
        </w:rPr>
        <w:t> » désigne un avis dont la Banque a approuvé la forme et le fond, signé par l’Emprunteur, qui est donné à la Succursale au plus tard à 10 h 30 (heure locale de la Succursale) deux Jours ouvrables avant la date à laquelle l’un ou l’autre des événements suivants doit se produire, selon le cas, et qui indique la date, le montant et, s’il y a lieu, la durée à l’échéance (ou la Période d’intérêt</w:t>
      </w:r>
      <w:r w:rsidR="00BF50CD">
        <w:rPr>
          <w:color w:val="000000" w:themeColor="text1"/>
          <w:lang w:val="fr-CA"/>
        </w:rPr>
        <w:t xml:space="preserve"> </w:t>
      </w:r>
      <w:r w:rsidRPr="00B63BD5">
        <w:rPr>
          <w:color w:val="000000" w:themeColor="text1"/>
          <w:lang w:val="fr-CA"/>
        </w:rPr>
        <w:t xml:space="preserve">ou la Période SOFR) de l’avance ou du renouvellement demandé ou les détails de l’Acceptation bancaire, de la Lettre de garantie ou du Crédit documentaire demandé : </w:t>
      </w:r>
    </w:p>
    <w:p w14:paraId="64FF7DD0" w14:textId="70B924D6" w:rsidR="000232E6" w:rsidRPr="000B7739" w:rsidRDefault="000232E6" w:rsidP="000C4154">
      <w:pPr>
        <w:pStyle w:val="04LOLglNew3"/>
        <w:numPr>
          <w:ilvl w:val="2"/>
          <w:numId w:val="40"/>
        </w:numPr>
        <w:rPr>
          <w:lang w:val="fr-CA"/>
        </w:rPr>
      </w:pPr>
      <w:r w:rsidRPr="000B7739">
        <w:rPr>
          <w:lang w:val="fr-CA"/>
        </w:rPr>
        <w:lastRenderedPageBreak/>
        <w:t xml:space="preserve">l’octroi d’un Prêt à taux préférentiel en dollars canadiens, d’un Prêt </w:t>
      </w:r>
      <w:r w:rsidR="000C2575">
        <w:rPr>
          <w:lang w:val="fr-CA"/>
        </w:rPr>
        <w:t>au taux de base</w:t>
      </w:r>
      <w:r w:rsidRPr="000B7739">
        <w:rPr>
          <w:lang w:val="fr-CA"/>
        </w:rPr>
        <w:t xml:space="preserve"> américain, d’un Prêt au taux SOFR à terme, d’un Prêt au taux SOFR simple quotidien, d’un Prêt au taux SONIA, d’un Prêt à taux fixe en dollars canadiens, d’un Prêt à taux fixe en dollars américains, d’un Prêt au taux CDOR ou d’une autre avance (sauf sous forme de découvert de compte</w:t>
      </w:r>
      <w:r w:rsidR="00196EF9" w:rsidRPr="000B7739">
        <w:rPr>
          <w:lang w:val="fr-CA"/>
        </w:rPr>
        <w:t>);</w:t>
      </w:r>
    </w:p>
    <w:p w14:paraId="460A3072" w14:textId="77777777" w:rsidR="000232E6" w:rsidRPr="00B63BD5" w:rsidRDefault="000232E6" w:rsidP="000B7739">
      <w:pPr>
        <w:pStyle w:val="04LOLglNew3"/>
        <w:rPr>
          <w:lang w:val="fr-CA"/>
        </w:rPr>
      </w:pPr>
      <w:r w:rsidRPr="00B63BD5">
        <w:rPr>
          <w:lang w:val="fr-CA"/>
        </w:rPr>
        <w:t>le passage d’une option d’intérêt à une autre ou le renouvellement d’un Prêt existant arrivé à échéance, sans modification du type de prêt;</w:t>
      </w:r>
    </w:p>
    <w:p w14:paraId="36AE6C45" w14:textId="77777777" w:rsidR="000232E6" w:rsidRPr="00B63BD5" w:rsidRDefault="000232E6" w:rsidP="000B7739">
      <w:pPr>
        <w:pStyle w:val="04LOLglNew3"/>
        <w:rPr>
          <w:lang w:val="fr-CA"/>
        </w:rPr>
      </w:pPr>
      <w:r w:rsidRPr="00B63BD5">
        <w:rPr>
          <w:lang w:val="fr-CA"/>
        </w:rPr>
        <w:t xml:space="preserve">l’émission d’une Acceptation bancaire à des fins d’acceptation et d’achat par la Banque; </w:t>
      </w:r>
    </w:p>
    <w:p w14:paraId="7D1AFFF8" w14:textId="7F3BDD86" w:rsidR="000232E6" w:rsidRPr="00B63BD5" w:rsidRDefault="000232E6" w:rsidP="000B7739">
      <w:pPr>
        <w:pStyle w:val="04LOLglNew3"/>
        <w:rPr>
          <w:lang w:val="fr-CA"/>
        </w:rPr>
      </w:pPr>
      <w:r w:rsidRPr="00B63BD5">
        <w:rPr>
          <w:lang w:val="fr-CA"/>
        </w:rPr>
        <w:t xml:space="preserve">l’émission d’une Lettre de garantie ou d’un Crédit documentaire par la Banque. </w:t>
      </w:r>
    </w:p>
    <w:p w14:paraId="6AE1208C" w14:textId="20D6FA24"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color w:val="000000" w:themeColor="text1"/>
          <w:lang w:val="fr-CA"/>
        </w:rPr>
      </w:pPr>
      <w:r w:rsidRPr="00B63BD5">
        <w:rPr>
          <w:color w:val="000000" w:themeColor="text1"/>
          <w:lang w:val="fr-CA"/>
        </w:rPr>
        <w:t xml:space="preserve">En ce qui a trait aux éléments qui précèdent, une confirmation ou une attestation de la Banque constitue une preuve </w:t>
      </w:r>
      <w:r w:rsidRPr="00B63BD5">
        <w:rPr>
          <w:i/>
          <w:color w:val="000000" w:themeColor="text1"/>
          <w:lang w:val="fr-CA"/>
        </w:rPr>
        <w:t>prima facie</w:t>
      </w:r>
      <w:r w:rsidRPr="00B63BD5">
        <w:rPr>
          <w:color w:val="000000" w:themeColor="text1"/>
          <w:lang w:val="fr-CA"/>
        </w:rPr>
        <w:t xml:space="preserve"> des taux susmentionnés. </w:t>
      </w:r>
    </w:p>
    <w:p w14:paraId="43CA238E"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BAIIA</w:t>
      </w:r>
      <w:r w:rsidRPr="00B63BD5">
        <w:rPr>
          <w:lang w:val="fr-CA"/>
        </w:rPr>
        <w:t xml:space="preserve"> » désigne le bénéfice de l’Emprunteur [et de </w:t>
      </w:r>
      <w:r w:rsidRPr="00B63BD5">
        <w:rPr>
          <w:b/>
          <w:lang w:val="fr-CA"/>
        </w:rPr>
        <w:t xml:space="preserve">● </w:t>
      </w:r>
      <w:r w:rsidRPr="00B63BD5">
        <w:rPr>
          <w:lang w:val="fr-CA"/>
        </w:rPr>
        <w:t>(sur une base combinée)] avant intérêts, impôts et amortissements, majoré des charges sans décaissement approuvées par la Banque, moins (dans la mesure où ils entrent dans le calcul du résultat net) les éléments hors trésorerie non récurrents des douze derniers mois.]</w:t>
      </w:r>
      <w:r w:rsidRPr="00B63BD5">
        <w:rPr>
          <w:b/>
          <w:lang w:val="fr-CA"/>
        </w:rPr>
        <w:t xml:space="preserve"> </w:t>
      </w:r>
      <w:r w:rsidRPr="00B63BD5">
        <w:rPr>
          <w:b/>
          <w:color w:val="00B0F0"/>
          <w:highlight w:val="yellow"/>
          <w:lang w:val="fr-CA"/>
        </w:rPr>
        <w:t>OU [personnaliser conformément à la feuille de conditions]</w:t>
      </w:r>
      <w:r w:rsidRPr="00B63BD5">
        <w:rPr>
          <w:lang w:val="fr-CA"/>
        </w:rPr>
        <w:t>.</w:t>
      </w:r>
    </w:p>
    <w:p w14:paraId="007538F2"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Bénéficiaire du crédit </w:t>
      </w:r>
      <w:r w:rsidRPr="00B63BD5">
        <w:rPr>
          <w:lang w:val="fr-CA"/>
        </w:rPr>
        <w:t>» et « </w:t>
      </w:r>
      <w:r w:rsidRPr="00B63BD5">
        <w:rPr>
          <w:b/>
          <w:u w:val="single"/>
          <w:lang w:val="fr-CA"/>
        </w:rPr>
        <w:t>Bénéficiaires du crédit </w:t>
      </w:r>
      <w:r w:rsidRPr="00B63BD5">
        <w:rPr>
          <w:lang w:val="fr-CA"/>
        </w:rPr>
        <w:t>» ont le sens qui leur est donné sous la rubrique « Emprunteur(s) » ou « Garant(s) », selon le cas, de la Lettre relative aux facilités.</w:t>
      </w:r>
    </w:p>
    <w:p w14:paraId="447F24FC" w14:textId="1813B921"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Biens donnés en garantie </w:t>
      </w:r>
      <w:r w:rsidRPr="00B63BD5">
        <w:rPr>
          <w:lang w:val="fr-CA"/>
        </w:rPr>
        <w:t>» désigne tous les biens du Bénéficiaire du crédit concerné, réels et personnels, meubles et immeubles, actuels et futurs ou acquis ultérieurement, grevés d’une Charge en faveur de la Banque aux termes des Documents de prêt.</w:t>
      </w:r>
    </w:p>
    <w:p w14:paraId="234E681C"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Changement défavorable important</w:t>
      </w:r>
      <w:r w:rsidRPr="00B63BD5">
        <w:rPr>
          <w:lang w:val="fr-CA"/>
        </w:rPr>
        <w:t> » désigne, à l’égard de l’un ou l’autre des Bénéficiaires du crédit, des événements, des circonstances, des actions ou des omissions qui, individuellement ou dans l’ensemble, ont eu un effet défavorable important (i) sur l’entreprise, les activités, les perspectives, les biens, les éléments d’actif ou la situation, financière ou autre, du Bénéficiaire du crédit en question, (ii) sur son pouvoir de remplir les obligations qui lui incombent et les engagements qu’il a pris aux termes de la présente Lettre relative aux facilités ou de l’un ou l’autre des autres Documents de prêt auquel il est partie ou (iii) sur les droits et les recours que la Banque peut exercer aux termes de la présente Lettre relative aux facilités ou de l’un ou l’autre des Documents de prêt, ou dont on pourrait raisonnablement s’attendre à ce qu’ils aient un tel effet, individuellement ou dans l’ensemble.</w:t>
      </w:r>
    </w:p>
    <w:p w14:paraId="67195D51"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color w:val="000000" w:themeColor="text1"/>
          <w:lang w:val="fr-CA"/>
        </w:rPr>
      </w:pPr>
      <w:r w:rsidRPr="00B63BD5">
        <w:rPr>
          <w:color w:val="000000" w:themeColor="text1"/>
          <w:lang w:val="fr-CA"/>
        </w:rPr>
        <w:t>« </w:t>
      </w:r>
      <w:r w:rsidRPr="00B63BD5">
        <w:rPr>
          <w:b/>
          <w:color w:val="000000" w:themeColor="text1"/>
          <w:u w:val="single"/>
          <w:lang w:val="fr-CA"/>
        </w:rPr>
        <w:t>Charge </w:t>
      </w:r>
      <w:r w:rsidRPr="00B63BD5">
        <w:rPr>
          <w:color w:val="000000" w:themeColor="text1"/>
          <w:lang w:val="fr-CA"/>
        </w:rPr>
        <w:t>» désigne une hypothèque, un privilège, une sûreté, un gage, une créance prioritaire, une convention de vente à tempérament, une réserve de propriété, les droits du locateur aux termes d’une convention de crédit-bail ou une autre charge de quelque nature que ce soit sur un bien d’un Bénéficiaire du crédit.</w:t>
      </w:r>
    </w:p>
    <w:p w14:paraId="0B116AC1"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color w:val="000000" w:themeColor="text1"/>
          <w:lang w:val="fr-CA"/>
        </w:rPr>
      </w:pPr>
      <w:r w:rsidRPr="00B63BD5">
        <w:rPr>
          <w:color w:val="000000" w:themeColor="text1"/>
          <w:lang w:val="fr-CA"/>
        </w:rPr>
        <w:t>« </w:t>
      </w:r>
      <w:r w:rsidRPr="00B63BD5">
        <w:rPr>
          <w:b/>
          <w:color w:val="000000" w:themeColor="text1"/>
          <w:u w:val="single"/>
          <w:lang w:val="fr-CA"/>
        </w:rPr>
        <w:t>Charges autorisées</w:t>
      </w:r>
      <w:r w:rsidRPr="00B63BD5">
        <w:rPr>
          <w:color w:val="000000" w:themeColor="text1"/>
          <w:lang w:val="fr-CA"/>
        </w:rPr>
        <w:t xml:space="preserve"> » désigne les sûretés, les charges ou les autres droits autorisés par la Banque par écrit. </w:t>
      </w:r>
    </w:p>
    <w:p w14:paraId="1FA08940" w14:textId="597DD8E3"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color w:val="000000" w:themeColor="text1"/>
          <w:lang w:val="fr-CA"/>
        </w:rPr>
      </w:pPr>
      <w:r w:rsidRPr="00B63BD5">
        <w:rPr>
          <w:color w:val="000000" w:themeColor="text1"/>
          <w:lang w:val="fr-CA"/>
        </w:rPr>
        <w:t>« </w:t>
      </w:r>
      <w:r w:rsidRPr="00B63BD5">
        <w:rPr>
          <w:b/>
          <w:color w:val="000000" w:themeColor="text1"/>
          <w:u w:val="single"/>
          <w:lang w:val="fr-CA"/>
        </w:rPr>
        <w:t>Commission d’acceptation</w:t>
      </w:r>
      <w:r w:rsidRPr="00B63BD5">
        <w:rPr>
          <w:color w:val="000000" w:themeColor="text1"/>
          <w:lang w:val="fr-CA"/>
        </w:rPr>
        <w:t> » désigne la commission de signature ou d’acceptation qui est payable, dans la monnaie de l’Acceptation bancaire, relativement aux Traites acceptées par la Banque avant une telle acceptation et comme condition de celle</w:t>
      </w:r>
      <w:r w:rsidRPr="00B63BD5">
        <w:rPr>
          <w:color w:val="000000" w:themeColor="text1"/>
          <w:lang w:val="fr-CA"/>
        </w:rPr>
        <w:noBreakHyphen/>
        <w:t>ci.</w:t>
      </w:r>
    </w:p>
    <w:p w14:paraId="0C58DC91" w14:textId="76D608E6"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Communication électronique</w:t>
      </w:r>
      <w:r w:rsidRPr="00B63BD5">
        <w:rPr>
          <w:lang w:val="fr-CA"/>
        </w:rPr>
        <w:t> » désigne une convention, une directive, un document, une information, une divulgation, un avis ou une autre communication qui est envoyé ou stocké au moyen d’une transmission électronique ou numérique.</w:t>
      </w:r>
    </w:p>
    <w:p w14:paraId="5EAB429E" w14:textId="799BACE8"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b/>
          <w:color w:val="00B0F0"/>
          <w:lang w:val="fr-CA"/>
        </w:rPr>
      </w:pPr>
      <w:r w:rsidRPr="00B63BD5">
        <w:rPr>
          <w:lang w:val="fr-CA"/>
        </w:rPr>
        <w:t>« </w:t>
      </w:r>
      <w:r w:rsidRPr="00B63BD5">
        <w:rPr>
          <w:b/>
          <w:u w:val="single"/>
          <w:lang w:val="fr-CA"/>
        </w:rPr>
        <w:t>Comptes clients acceptables</w:t>
      </w:r>
      <w:r w:rsidRPr="00B63BD5">
        <w:rPr>
          <w:lang w:val="fr-CA"/>
        </w:rPr>
        <w:t xml:space="preserve"> » désigne le montant global des comptes clients de l’Emprunteur, que la Banque établit après avoir examiné les états financiers les plus récents et l’état chronologique des comptes clients de l’Emprunteur, sur lesquels la Banque détient une sûreté de premier rang, sous réserve seulement des Créances prioritaires éventuelles et des Charges autorisées, qui proviennent de clients approuvés par la Banque et sont classés chronologiquement à partir de la date de facturation et sont impayés depuis au plus 90 jours, sans tenir compte (i) des comptes clients des sociétés liées ou affiliées ou d’autres Personnes avec lesquelles l’Emprunteur a un lien de dépendance, (ii) des réclamations aux termes de la garantie à recevoir, (iii) des remboursements d’impôt, (iv) d’autres types de remboursement, </w:t>
      </w:r>
      <w:r w:rsidRPr="00B63BD5">
        <w:rPr>
          <w:lang w:val="fr-CA"/>
        </w:rPr>
        <w:lastRenderedPageBreak/>
        <w:t>(v) des escomptes (qu’il s’agisse d’escomptes au comptant, de ristournes, d’escomptes promotionnels ou d’autres types d’escompte), (vi) des comptes contestés par les clients de l’Emprunteur, (vii) des comptes correspondants et des créances clients pouvant faire l’objet d’un règlement compte à compte, (viii) de la concentration excessive des comptes clients d’un seul client et des membres de son groupe ou d’une seule région ou d’une autre catégorie que la Banque pourrait établir et dont, le cas échéant, elle avisera l’Emprunteur, (ix) du montant des Créances prioritaires éventuelles, (x) des tranches assurées et non assurées des Comptes clients assurés, (xi) des comptes clients qui sont régis par les lois d’un territoire autre que le Canada ou les États</w:t>
      </w:r>
      <w:r w:rsidRPr="00B63BD5">
        <w:rPr>
          <w:lang w:val="fr-CA"/>
        </w:rPr>
        <w:noBreakHyphen/>
        <w:t xml:space="preserve">Unis ou émis par un client assujetti à de telles lois, (xii) des comptes clients qui constituent des « comptes clients achetés » ou des « comptes clients financés » (au sens donné à ces termes dans la Convention d’achat de comptes clients, la Convention de financement de comptes clients avec recours ou d’autres conventions similaires conclues entre l’Emprunteur et la Banque) et (xiii) des autres exclusions et déductions, s’il y a lieu, que la Banque a communiquées à l’Emprunteur par écrit. Si une tranche d’un compte débiteur est impayée depuis plus de 90 jours à partir de la date de facturation (ou d’une autre date stipulée par la Banque), le plein montant du compte débiteur (y compris la tranche impayée depuis 90 jours ou moins) sera exclu du calcul des Comptes clients acceptables. Toutefois, si la tranche du compte débiteur qui est impayée depuis plus de 90 jours est inférieure à 10 % du montant du compte débiteur en question et à 100 000 $ CA, elle pourra être prise en considération dans le calcul des comptes clients acceptables, sauf si la Banque donne des directives à l’effet contraire. </w:t>
      </w:r>
      <w:r w:rsidRPr="00B63BD5">
        <w:rPr>
          <w:b/>
          <w:color w:val="00B0F0"/>
          <w:highlight w:val="yellow"/>
          <w:lang w:val="fr-CA"/>
        </w:rPr>
        <w:t>[N.B. : Modifier dans la mesure nécessaire pour se conformer à la feuille de conditions. Toutes les modifications apportées à la politique relative aux comptes clients périmés doivent être approuvées, à titre d’exceptions, par le service du crédit.]</w:t>
      </w:r>
    </w:p>
    <w:p w14:paraId="715C6B45"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Comptes clients assurés</w:t>
      </w:r>
      <w:r w:rsidRPr="00B63BD5">
        <w:rPr>
          <w:lang w:val="fr-CA"/>
        </w:rPr>
        <w:t> » désigne les comptes clients acceptables de l’Emprunteur dont le paiement est assuré par Exportation et développement Canada ou un assureur similaire approuvé par la Banque.</w:t>
      </w:r>
    </w:p>
    <w:p w14:paraId="186970C6"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Conditions commerciales standards</w:t>
      </w:r>
      <w:r w:rsidRPr="00B63BD5">
        <w:rPr>
          <w:lang w:val="fr-CA"/>
        </w:rPr>
        <w:t> » désigne les « Conditions commerciales standards » de la Banque (telles qu’elles sont modifiées de temps à autre) que l’Emprunteur peut consulter, lire et imprimer au www.gbm.hsbc.com/gtrfstt ou dont il peut obtenir une copie auprès de son gestionnaire de relations bancaires.</w:t>
      </w:r>
    </w:p>
    <w:p w14:paraId="5F338B0C"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Conditions préalables</w:t>
      </w:r>
      <w:r w:rsidRPr="00B63BD5">
        <w:rPr>
          <w:lang w:val="fr-CA"/>
        </w:rPr>
        <w:t xml:space="preserve"> » désigne les conditions préalables à la [première </w:t>
      </w:r>
      <w:r w:rsidRPr="00B63BD5">
        <w:rPr>
          <w:b/>
          <w:color w:val="00B0F0"/>
          <w:highlight w:val="yellow"/>
          <w:lang w:val="fr-CA"/>
        </w:rPr>
        <w:t>OU</w:t>
      </w:r>
      <w:r w:rsidRPr="00B63BD5">
        <w:rPr>
          <w:lang w:val="fr-CA"/>
        </w:rPr>
        <w:t xml:space="preserve"> prochaine] avance et à la disponibilité continue des Facilités de crédit énoncées dans la Lettre relative aux facilités, y compris la présente Annexe A et toutes les autres Annexes et tous les autres Addendas des présentes.</w:t>
      </w:r>
    </w:p>
    <w:p w14:paraId="20807C76" w14:textId="03F8321D"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Convention relative aux acceptations bancaires</w:t>
      </w:r>
      <w:r w:rsidRPr="00B63BD5">
        <w:rPr>
          <w:lang w:val="fr-CA"/>
        </w:rPr>
        <w:t> » désigne, collectivement, toutes les conventions et tous les formulaires relatifs à l’émission d’Acceptations bancaires.</w:t>
      </w:r>
    </w:p>
    <w:p w14:paraId="06EB9CC2"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color w:val="000000" w:themeColor="text1"/>
          <w:lang w:val="fr-CA"/>
        </w:rPr>
      </w:pPr>
      <w:r w:rsidRPr="00B63BD5">
        <w:rPr>
          <w:lang w:val="fr-CA"/>
        </w:rPr>
        <w:t>« </w:t>
      </w:r>
      <w:r w:rsidRPr="00B63BD5">
        <w:rPr>
          <w:b/>
          <w:u w:val="single"/>
          <w:lang w:val="fr-CA"/>
        </w:rPr>
        <w:t>Conventions importantes</w:t>
      </w:r>
      <w:r w:rsidRPr="00B63BD5">
        <w:rPr>
          <w:lang w:val="fr-CA"/>
        </w:rPr>
        <w:t xml:space="preserve"> » désigne les conventions importantes qui régissent les activités de l’Emprunteur, y compris celles qui ont trait à la </w:t>
      </w:r>
      <w:r w:rsidRPr="00B63BD5">
        <w:rPr>
          <w:color w:val="000000" w:themeColor="text1"/>
          <w:lang w:val="fr-CA"/>
        </w:rPr>
        <w:t>propriété intellectuelle, aux baux, aux licences et aux autres droits d’utilisation de biens.</w:t>
      </w:r>
    </w:p>
    <w:p w14:paraId="055C3B45" w14:textId="599E10D3"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Couverture du service de la dette</w:t>
      </w:r>
      <w:r w:rsidRPr="00B63BD5">
        <w:rPr>
          <w:lang w:val="fr-CA"/>
        </w:rPr>
        <w:t xml:space="preserve"> » désigne [le quotient obtenu en divisant </w:t>
      </w:r>
      <w:r w:rsidR="00ED0352" w:rsidRPr="00B63BD5">
        <w:rPr>
          <w:lang w:val="fr-CA"/>
        </w:rPr>
        <w:t>(</w:t>
      </w:r>
      <w:r w:rsidRPr="00B63BD5">
        <w:rPr>
          <w:lang w:val="fr-CA"/>
        </w:rPr>
        <w:t xml:space="preserve">A) le BAIIA, déduction faite (i) des dépenses en immobilisations non capitalisées, (ii) des charges reportées, (iii) des dividendes, (iv) des distributions, (v) des avances consenties aux sociétés liées et aux membres du groupe, (vi) des placements effectués dans les sociétés liées et les membres du groupe et (vii) des impôts à payer, y compris ceux qui ont trait à une prime discrétionnaire payable aux dirigeants, par </w:t>
      </w:r>
      <w:r w:rsidR="00ED0352" w:rsidRPr="00B63BD5">
        <w:rPr>
          <w:lang w:val="fr-CA"/>
        </w:rPr>
        <w:t>(</w:t>
      </w:r>
      <w:r w:rsidRPr="00B63BD5">
        <w:rPr>
          <w:lang w:val="fr-CA"/>
        </w:rPr>
        <w:t>B) la somme de tous les remboursements de capital et paiements d’intérêt ayant trait à la dette, aux contrats de location</w:t>
      </w:r>
      <w:r w:rsidRPr="00B63BD5">
        <w:rPr>
          <w:lang w:val="fr-CA"/>
        </w:rPr>
        <w:noBreakHyphen/>
        <w:t>acquisition et aux obligations contractées aux termes des Facilités de crédit, y compris les paiements effectués aux termes des baux et des Arrangements hors bilan]</w:t>
      </w:r>
      <w:r w:rsidRPr="00B63BD5">
        <w:rPr>
          <w:b/>
          <w:lang w:val="fr-CA"/>
        </w:rPr>
        <w:t xml:space="preserve"> </w:t>
      </w:r>
      <w:r w:rsidRPr="00B63BD5">
        <w:rPr>
          <w:b/>
          <w:color w:val="00B0F0"/>
          <w:highlight w:val="yellow"/>
          <w:lang w:val="fr-CA"/>
        </w:rPr>
        <w:t>OU [personnaliser conformément à la feuille de conditions]</w:t>
      </w:r>
      <w:r w:rsidRPr="00B63BD5">
        <w:rPr>
          <w:lang w:val="fr-CA"/>
        </w:rPr>
        <w:t>.</w:t>
      </w:r>
    </w:p>
    <w:p w14:paraId="07DF59D8" w14:textId="05966A78"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color w:val="000000" w:themeColor="text1"/>
          <w:lang w:val="fr-CA"/>
        </w:rPr>
      </w:pPr>
      <w:r w:rsidRPr="00B63BD5">
        <w:rPr>
          <w:color w:val="000000" w:themeColor="text1"/>
          <w:lang w:val="fr-CA"/>
        </w:rPr>
        <w:t>« </w:t>
      </w:r>
      <w:r w:rsidRPr="00B63BD5">
        <w:rPr>
          <w:b/>
          <w:color w:val="000000" w:themeColor="text1"/>
          <w:u w:val="single"/>
          <w:lang w:val="fr-CA"/>
        </w:rPr>
        <w:t>Créances prioritaires éventuelles</w:t>
      </w:r>
      <w:r w:rsidRPr="00B63BD5">
        <w:rPr>
          <w:color w:val="000000" w:themeColor="text1"/>
          <w:lang w:val="fr-CA"/>
        </w:rPr>
        <w:t> » désigne toutes les sommes dues ou à rembourser, dans une situation où un défaut de remboursement pourrait donner lieu à une revendication de privilège, à une réclamation sur des biens ou à une autre réclamation en vertu d’une loi, d’un règlement ou d’une autre disposition législative similaire, dont le rang est ou pourrait être prioritaire au rang des sûretés de la Banque ou des réclamations de la Banque aux fins du remboursement de sommes dues aux termes des Facilités de crédit, y compris les sommes exigibles à l’égard des salaires, des indemnités de vacances, des retenues salariales (y compris l’impôt sur le revenu, les cotisations au Régime de pensions du Canada et d’assurance</w:t>
      </w:r>
      <w:r w:rsidRPr="00B63BD5">
        <w:rPr>
          <w:color w:val="000000" w:themeColor="text1"/>
          <w:lang w:val="fr-CA"/>
        </w:rPr>
        <w:noBreakHyphen/>
        <w:t xml:space="preserve">emploi, les primes d’indemnisation des accidentés du travail, les cotisations sociales et d’autres déductions d’impôt à l’emploi), des taxes de vente, des taxes d’accise, des taxes payables en vertu de la </w:t>
      </w:r>
      <w:r w:rsidRPr="00B63BD5">
        <w:rPr>
          <w:color w:val="000000" w:themeColor="text1"/>
          <w:lang w:val="fr-CA"/>
        </w:rPr>
        <w:lastRenderedPageBreak/>
        <w:t xml:space="preserve">Partie IX de la </w:t>
      </w:r>
      <w:r w:rsidRPr="00B63BD5">
        <w:rPr>
          <w:i/>
          <w:color w:val="000000" w:themeColor="text1"/>
          <w:lang w:val="fr-CA"/>
        </w:rPr>
        <w:t>Loi sur la taxe d’accise</w:t>
      </w:r>
      <w:r w:rsidRPr="00B63BD5">
        <w:rPr>
          <w:color w:val="000000" w:themeColor="text1"/>
          <w:lang w:val="fr-CA"/>
        </w:rPr>
        <w:t xml:space="preserve"> (Canada) (déduction faite des crédits de TVH) et des obligations relatives aux ca</w:t>
      </w:r>
      <w:r w:rsidR="00196EF9" w:rsidRPr="00B63BD5">
        <w:rPr>
          <w:color w:val="000000" w:themeColor="text1"/>
          <w:lang w:val="fr-CA"/>
        </w:rPr>
        <w:t>i</w:t>
      </w:r>
      <w:r w:rsidRPr="00B63BD5">
        <w:rPr>
          <w:color w:val="000000" w:themeColor="text1"/>
          <w:lang w:val="fr-CA"/>
        </w:rPr>
        <w:t xml:space="preserve">sses de retraite. </w:t>
      </w:r>
    </w:p>
    <w:p w14:paraId="41B90B72" w14:textId="0D3B8461"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Crédit documentaire</w:t>
      </w:r>
      <w:r w:rsidRPr="00B63BD5">
        <w:rPr>
          <w:lang w:val="fr-CA"/>
        </w:rPr>
        <w:t> » a le sens qui lui est donné sous la rubrique « Facilités de crédit » de la Lettre relative aux facilités.</w:t>
      </w:r>
    </w:p>
    <w:p w14:paraId="70F516B5"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Date du prélèvement</w:t>
      </w:r>
      <w:r w:rsidRPr="00B63BD5">
        <w:rPr>
          <w:lang w:val="fr-CA"/>
        </w:rPr>
        <w:t> » désigne la date, qui doit être un Jour ouvrable, que l’Emprunteur stipule dans un Avis requis comme étant la date à laquelle il souhaite obtenir une avance.</w:t>
      </w:r>
    </w:p>
    <w:p w14:paraId="025AC16B"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Dette</w:t>
      </w:r>
      <w:r w:rsidRPr="00B63BD5">
        <w:rPr>
          <w:lang w:val="fr-CA"/>
        </w:rPr>
        <w:t xml:space="preserve"> » désigne [toutes les dettes de l’Emprunteur [et de </w:t>
      </w:r>
      <w:r w:rsidRPr="00B63BD5">
        <w:rPr>
          <w:b/>
          <w:lang w:val="fr-CA"/>
        </w:rPr>
        <w:t xml:space="preserve">● </w:t>
      </w:r>
      <w:r w:rsidRPr="00B63BD5">
        <w:rPr>
          <w:lang w:val="fr-CA"/>
        </w:rPr>
        <w:t>(sur une base combinée)], y compris celles qu’il a contractées aux termes des Facilités de crédit, les Arrangements hors bilan et la portion en capital des obligations liées à la location-exploitation (sauf la location de biens immobiliers), déduction faite (i) des impôts reportés, (ii) des prêts qui lui ont été consentis et qui sont subordonnés en faveur de la Banque, à la satisfaction de celle</w:t>
      </w:r>
      <w:r w:rsidRPr="00B63BD5">
        <w:rPr>
          <w:lang w:val="fr-CA"/>
        </w:rPr>
        <w:noBreakHyphen/>
        <w:t>ci quant à la forme et au fond, et (iii) de la tranche après impôt d’une prime payable aux dirigeants ou d’une somme payable aux termes d’un régime de participation aux bénéfices des employés qui a été subordonnée, à la satisfaction de la Banque, aux dettes de l’Emprunteur envers la Banque]</w:t>
      </w:r>
      <w:r w:rsidRPr="00B63BD5">
        <w:rPr>
          <w:b/>
          <w:lang w:val="fr-CA"/>
        </w:rPr>
        <w:t xml:space="preserve"> </w:t>
      </w:r>
      <w:r w:rsidRPr="00B63BD5">
        <w:rPr>
          <w:b/>
          <w:color w:val="00B0F0"/>
          <w:highlight w:val="yellow"/>
          <w:lang w:val="fr-CA"/>
        </w:rPr>
        <w:t>OU [personnaliser conformément à la feuille de conditions]</w:t>
      </w:r>
      <w:r w:rsidRPr="00B63BD5">
        <w:rPr>
          <w:lang w:val="fr-CA"/>
        </w:rPr>
        <w:t>.</w:t>
      </w:r>
    </w:p>
    <w:p w14:paraId="10F281D7"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color w:val="000000" w:themeColor="text1"/>
          <w:lang w:val="fr-CA"/>
        </w:rPr>
      </w:pPr>
      <w:r w:rsidRPr="00B63BD5">
        <w:rPr>
          <w:color w:val="000000" w:themeColor="text1"/>
          <w:lang w:val="fr-CA"/>
        </w:rPr>
        <w:t>« </w:t>
      </w:r>
      <w:r w:rsidRPr="00B63BD5">
        <w:rPr>
          <w:b/>
          <w:color w:val="000000" w:themeColor="text1"/>
          <w:u w:val="single"/>
          <w:lang w:val="fr-CA"/>
        </w:rPr>
        <w:t>Dette à long terme de premier rang</w:t>
      </w:r>
      <w:r w:rsidRPr="00B63BD5">
        <w:rPr>
          <w:color w:val="000000" w:themeColor="text1"/>
          <w:lang w:val="fr-CA"/>
        </w:rPr>
        <w:t xml:space="preserve"> » désigne [toutes les dettes portant intérêt [et les Arrangements hors bilan] de l’Emprunteur </w:t>
      </w:r>
      <w:r w:rsidRPr="00B63BD5">
        <w:rPr>
          <w:lang w:val="fr-CA"/>
        </w:rPr>
        <w:t xml:space="preserve">[et de </w:t>
      </w:r>
      <w:r w:rsidRPr="00B63BD5">
        <w:rPr>
          <w:b/>
          <w:lang w:val="fr-CA"/>
        </w:rPr>
        <w:t xml:space="preserve">● </w:t>
      </w:r>
      <w:r w:rsidRPr="00B63BD5">
        <w:rPr>
          <w:lang w:val="fr-CA"/>
        </w:rPr>
        <w:t>(sur une base combinée)]]</w:t>
      </w:r>
      <w:r w:rsidRPr="00B63BD5">
        <w:rPr>
          <w:color w:val="000000" w:themeColor="text1"/>
          <w:lang w:val="fr-CA"/>
        </w:rPr>
        <w:t>, à l’exclusion des prêts qui ont été subordonnés en faveur de la Banque, à la satisfaction de celle</w:t>
      </w:r>
      <w:r w:rsidRPr="00B63BD5">
        <w:rPr>
          <w:color w:val="000000" w:themeColor="text1"/>
          <w:lang w:val="fr-CA"/>
        </w:rPr>
        <w:noBreakHyphen/>
        <w:t>ci quant à la forme et au fond]</w:t>
      </w:r>
      <w:r w:rsidRPr="00B63BD5">
        <w:rPr>
          <w:b/>
          <w:color w:val="000000" w:themeColor="text1"/>
          <w:lang w:val="fr-CA"/>
        </w:rPr>
        <w:t xml:space="preserve"> </w:t>
      </w:r>
      <w:r w:rsidRPr="00B63BD5">
        <w:rPr>
          <w:b/>
          <w:color w:val="00B0F0"/>
          <w:highlight w:val="yellow"/>
          <w:lang w:val="fr-CA"/>
        </w:rPr>
        <w:t>OU [personnaliser conformément à la feuille de conditions]</w:t>
      </w:r>
      <w:r w:rsidRPr="00B63BD5">
        <w:rPr>
          <w:color w:val="000000" w:themeColor="text1"/>
          <w:lang w:val="fr-CA"/>
        </w:rPr>
        <w:t xml:space="preserve">. </w:t>
      </w:r>
    </w:p>
    <w:p w14:paraId="6EEAC341"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Dette en monnaie étrangère </w:t>
      </w:r>
      <w:r w:rsidRPr="00B63BD5">
        <w:rPr>
          <w:lang w:val="fr-CA"/>
        </w:rPr>
        <w:t>»</w:t>
      </w:r>
      <w:r w:rsidRPr="00B63BD5">
        <w:rPr>
          <w:iCs/>
          <w:lang w:val="fr-CA"/>
        </w:rPr>
        <w:t xml:space="preserve"> </w:t>
      </w:r>
      <w:r w:rsidRPr="00B63BD5">
        <w:rPr>
          <w:lang w:val="fr-CA"/>
        </w:rPr>
        <w:t>a le sens qui lui est donné à l’article V de la présente Annexe A.</w:t>
      </w:r>
    </w:p>
    <w:p w14:paraId="75C4F764"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Documents de prêt</w:t>
      </w:r>
      <w:r w:rsidRPr="00B63BD5">
        <w:rPr>
          <w:lang w:val="fr-CA"/>
        </w:rPr>
        <w:t> » a le sens qui lui est donné sous la rubrique « Documents de prêt » de la Lettre relative aux facilités.</w:t>
      </w:r>
    </w:p>
    <w:p w14:paraId="607D8EB2"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color w:val="000000" w:themeColor="text1"/>
          <w:lang w:val="fr-CA"/>
        </w:rPr>
      </w:pPr>
      <w:r w:rsidRPr="00B63BD5">
        <w:rPr>
          <w:color w:val="000000" w:themeColor="text1"/>
          <w:lang w:val="fr-CA"/>
        </w:rPr>
        <w:t>« </w:t>
      </w:r>
      <w:r w:rsidRPr="00B63BD5">
        <w:rPr>
          <w:b/>
          <w:color w:val="000000" w:themeColor="text1"/>
          <w:u w:val="single"/>
          <w:lang w:val="fr-CA"/>
        </w:rPr>
        <w:t>Équivalent en dollars américains</w:t>
      </w:r>
      <w:r w:rsidRPr="00B63BD5">
        <w:rPr>
          <w:color w:val="000000" w:themeColor="text1"/>
          <w:lang w:val="fr-CA"/>
        </w:rPr>
        <w:t xml:space="preserve"> » </w:t>
      </w:r>
      <w:r w:rsidRPr="00B63BD5">
        <w:rPr>
          <w:lang w:val="fr-CA"/>
        </w:rPr>
        <w:t xml:space="preserve">désigne, à quelque moment que ce soit à quelque date que ce soit, à l’égard d’une somme donnée exprimée dans une monnaie autre que le Dollar </w:t>
      </w:r>
      <w:r w:rsidRPr="00B63BD5">
        <w:rPr>
          <w:color w:val="000000" w:themeColor="text1"/>
          <w:lang w:val="fr-CA"/>
        </w:rPr>
        <w:t>américain</w:t>
      </w:r>
      <w:r w:rsidRPr="00B63BD5">
        <w:rPr>
          <w:lang w:val="fr-CA"/>
        </w:rPr>
        <w:t xml:space="preserve">, la somme en Dollars </w:t>
      </w:r>
      <w:r w:rsidRPr="00B63BD5">
        <w:rPr>
          <w:color w:val="000000" w:themeColor="text1"/>
          <w:lang w:val="fr-CA"/>
        </w:rPr>
        <w:t>américains</w:t>
      </w:r>
      <w:r w:rsidRPr="00B63BD5">
        <w:rPr>
          <w:lang w:val="fr-CA"/>
        </w:rPr>
        <w:t xml:space="preserve"> qui pourrait être achetée auprès de la Banque contre paiement de la somme donnée en question exprimée dans l’autre monnaie selon le cours du change affiché par la Banque à cette date vers 8 h (heure normale du Pacifique), y compris les primes et les frais relatifs aux opérations de change</w:t>
      </w:r>
      <w:r w:rsidRPr="00B63BD5">
        <w:rPr>
          <w:color w:val="000000" w:themeColor="text1"/>
          <w:lang w:val="fr-CA"/>
        </w:rPr>
        <w:t xml:space="preserve">. </w:t>
      </w:r>
    </w:p>
    <w:p w14:paraId="4003F89C" w14:textId="21483B53"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Équivalent en dollars canadiens</w:t>
      </w:r>
      <w:r w:rsidRPr="00B63BD5">
        <w:rPr>
          <w:lang w:val="fr-CA"/>
        </w:rPr>
        <w:t> » désigne, à quelque moment que ce soit à quelque date que ce soit, à l’égard d’une somme donnée exprimée dans une monnaie autre que le Dollar canadien, la somme en Dollars canadiens qui pourrait être achetée auprès de la Banque contre paiement de la somme donnée en question exprimée dans cette autre monnaie, selon le cours du change affiché par la Banque à cette date vers 8 h (heure normale du Pacifique), y compris les primes et les frais relatifs aux opérations de change.</w:t>
      </w:r>
    </w:p>
    <w:p w14:paraId="788A7FD9" w14:textId="336B2F4E" w:rsidR="00276F49" w:rsidRPr="00B63BD5" w:rsidRDefault="00276F49"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rStyle w:val="Prompt"/>
          <w:bCs/>
          <w:u w:val="single"/>
          <w:lang w:val="fr-CA"/>
        </w:rPr>
        <w:t xml:space="preserve">« </w:t>
      </w:r>
      <w:r w:rsidRPr="00B63BD5">
        <w:rPr>
          <w:rStyle w:val="Prompt"/>
          <w:b/>
          <w:u w:val="single"/>
          <w:lang w:val="fr-CA"/>
        </w:rPr>
        <w:t xml:space="preserve">Équivalent en livres sterling </w:t>
      </w:r>
      <w:r w:rsidRPr="00B63BD5">
        <w:rPr>
          <w:rStyle w:val="Prompt"/>
          <w:bCs/>
          <w:u w:val="single"/>
          <w:lang w:val="fr-CA"/>
        </w:rPr>
        <w:t>»</w:t>
      </w:r>
      <w:r w:rsidRPr="00B63BD5">
        <w:rPr>
          <w:lang w:val="fr-CA"/>
        </w:rPr>
        <w:t xml:space="preserve"> désigne, à quelque moment que ce soit à quelque date que ce soit, à l’égard d’une somme donnée exprimée dans une monnaie autre que la Livre sterling, la somme en Livres sterling qui pourrait être achetée auprès de la Banque contre paiement de la somme donnée en question exprimée dans l’autre monnaie selon le cours du change affiché par la Banque à cette date vers 8 h (heure normale du Pacifique), y compris les primes et les frais relatifs aux opérations de change.</w:t>
      </w:r>
    </w:p>
    <w:p w14:paraId="70476026" w14:textId="08E5F23B"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Exigence juridique</w:t>
      </w:r>
      <w:r w:rsidRPr="00B63BD5">
        <w:rPr>
          <w:lang w:val="fr-CA"/>
        </w:rPr>
        <w:t> » désigne une loi, un code, une ordonnance, une décision, un jugement, un décret, une injonction, une règle, un règlement, une autorisation, une directive, une ligne directrice, une mise en garde, un consentement, une approbation, un permis, une franchise, une licence, une convention relative à une poursuite suspendue ou une autre exigence émanant d’une Autorité gouvernementale.</w:t>
      </w:r>
    </w:p>
    <w:p w14:paraId="6D4A4858"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Exigences relatives à la marge</w:t>
      </w:r>
      <w:r w:rsidRPr="00B63BD5">
        <w:rPr>
          <w:lang w:val="fr-CA"/>
        </w:rPr>
        <w:t> » a le sens qui lui est donné sous la rubrique « Exigences relatives à la marge » de la Lettre relative aux facilités.</w:t>
      </w:r>
    </w:p>
    <w:p w14:paraId="5A34210B"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Facilités de crédit</w:t>
      </w:r>
      <w:r w:rsidRPr="00B63BD5">
        <w:rPr>
          <w:lang w:val="fr-CA"/>
        </w:rPr>
        <w:t> » a le sens qui lui est donné sous la rubrique « Facilités de crédit » de la Lettre relative aux facilités.</w:t>
      </w:r>
    </w:p>
    <w:p w14:paraId="349A6BE5" w14:textId="5BD21BCC"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lastRenderedPageBreak/>
        <w:t>« </w:t>
      </w:r>
      <w:r w:rsidRPr="00B63BD5">
        <w:rPr>
          <w:b/>
          <w:u w:val="single"/>
          <w:lang w:val="fr-CA"/>
        </w:rPr>
        <w:t>Flux de trésorerie disponible</w:t>
      </w:r>
      <w:r w:rsidRPr="00B63BD5">
        <w:rPr>
          <w:lang w:val="fr-CA"/>
        </w:rPr>
        <w:t> » désigne le BAIIA, déduction faite des impôts à payer, des dépenses en immobilisations non capitalisées, des remboursements de capital et des paiements d’intérêt ayant trait à la dette à terme et des paiements relatifs aux contrats de location</w:t>
      </w:r>
      <w:r w:rsidRPr="00B63BD5">
        <w:rPr>
          <w:lang w:val="fr-CA"/>
        </w:rPr>
        <w:noBreakHyphen/>
        <w:t>acquisition.</w:t>
      </w:r>
    </w:p>
    <w:p w14:paraId="1D97D184"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Garant</w:t>
      </w:r>
      <w:r w:rsidRPr="00B63BD5">
        <w:rPr>
          <w:lang w:val="fr-CA"/>
        </w:rPr>
        <w:t> » [</w:t>
      </w:r>
      <w:r w:rsidRPr="00B63BD5">
        <w:rPr>
          <w:b/>
          <w:lang w:val="fr-CA"/>
        </w:rPr>
        <w:t>ou « </w:t>
      </w:r>
      <w:r w:rsidRPr="00B63BD5">
        <w:rPr>
          <w:b/>
          <w:u w:val="single"/>
          <w:lang w:val="fr-CA"/>
        </w:rPr>
        <w:t>Garants</w:t>
      </w:r>
      <w:r w:rsidRPr="00B63BD5">
        <w:rPr>
          <w:b/>
          <w:lang w:val="fr-CA"/>
        </w:rPr>
        <w:t> »</w:t>
      </w:r>
      <w:r w:rsidRPr="00B63BD5">
        <w:rPr>
          <w:lang w:val="fr-CA"/>
        </w:rPr>
        <w:t>] désigne la ou les parties indiquées dans la présente Lettre relative aux facilités et comprend la ou les autres parties qui signent une ou plusieurs garanties à l’égard des obligations contractées par l’Emprunteur aux termes de la présente Lettre relative aux Facilités et des Documents de prêt.</w:t>
      </w:r>
    </w:p>
    <w:p w14:paraId="1C435DEE"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Groupe HSBC </w:t>
      </w:r>
      <w:r w:rsidRPr="00B63BD5">
        <w:rPr>
          <w:lang w:val="fr-CA"/>
        </w:rPr>
        <w:t>»</w:t>
      </w:r>
      <w:r w:rsidRPr="00B63BD5">
        <w:rPr>
          <w:iCs/>
          <w:lang w:val="fr-CA"/>
        </w:rPr>
        <w:t xml:space="preserve"> </w:t>
      </w:r>
      <w:r w:rsidRPr="00B63BD5">
        <w:rPr>
          <w:lang w:val="fr-CA"/>
        </w:rPr>
        <w:t>a le sens qui lui est donné à l’article XIX de la présente Annexe A.</w:t>
      </w:r>
    </w:p>
    <w:p w14:paraId="5732283E" w14:textId="2686B04C"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Jour ouvrable</w:t>
      </w:r>
      <w:r w:rsidRPr="00B63BD5">
        <w:rPr>
          <w:lang w:val="fr-CA"/>
        </w:rPr>
        <w:t xml:space="preserve"> » désigne un jour, sans tenir compte des samedis, des dimanches et des congés fériés (ou civiques), où la Succursale de la Banque est ouverte. </w:t>
      </w:r>
    </w:p>
    <w:p w14:paraId="4E998E66"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Lettre de garantie</w:t>
      </w:r>
      <w:r w:rsidRPr="00B63BD5">
        <w:rPr>
          <w:lang w:val="fr-CA"/>
        </w:rPr>
        <w:t> » a le sens qui lui est donné sous la rubrique « Facilités de crédit » de la Lettre relative aux facilités.</w:t>
      </w:r>
    </w:p>
    <w:p w14:paraId="7B5515A8" w14:textId="56E3335A"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color w:val="000000" w:themeColor="text1"/>
          <w:lang w:val="fr-CA"/>
        </w:rPr>
      </w:pPr>
      <w:r w:rsidRPr="00B63BD5">
        <w:rPr>
          <w:color w:val="000000" w:themeColor="text1"/>
          <w:lang w:val="fr-CA"/>
        </w:rPr>
        <w:t>« </w:t>
      </w:r>
      <w:r w:rsidRPr="00B63BD5">
        <w:rPr>
          <w:b/>
          <w:color w:val="000000" w:themeColor="text1"/>
          <w:u w:val="single"/>
          <w:lang w:val="fr-CA"/>
        </w:rPr>
        <w:t>Lettre de garantie de bonne exécution</w:t>
      </w:r>
      <w:r w:rsidRPr="00B63BD5">
        <w:rPr>
          <w:color w:val="000000" w:themeColor="text1"/>
          <w:lang w:val="fr-CA"/>
        </w:rPr>
        <w:t xml:space="preserve"> » désigne une Lettre de garantie qui est </w:t>
      </w:r>
      <w:r w:rsidR="00ED0352" w:rsidRPr="00B63BD5">
        <w:rPr>
          <w:color w:val="000000" w:themeColor="text1"/>
          <w:lang w:val="fr-CA"/>
        </w:rPr>
        <w:t>(</w:t>
      </w:r>
      <w:r w:rsidRPr="00B63BD5">
        <w:rPr>
          <w:color w:val="000000" w:themeColor="text1"/>
          <w:lang w:val="fr-CA"/>
        </w:rPr>
        <w:t>a) une Lettre de garantie émise en vue de garantir les obligations de bonne exécution qui incombent à l’Emprunteur envers un tiers dans le cours normal de ses activités (les « </w:t>
      </w:r>
      <w:r w:rsidRPr="00B63BD5">
        <w:rPr>
          <w:b/>
          <w:color w:val="000000" w:themeColor="text1"/>
          <w:lang w:val="fr-CA"/>
        </w:rPr>
        <w:t>Obligations de bonne exécution</w:t>
      </w:r>
      <w:r w:rsidRPr="00B63BD5">
        <w:rPr>
          <w:color w:val="000000" w:themeColor="text1"/>
          <w:lang w:val="fr-CA"/>
        </w:rPr>
        <w:t xml:space="preserve"> »), y compris relativement à un paiement anticipé, à une retenue ou à une garantie, dans tous les cas, ayant trait à l’ingénierie, à l’approvisionnement, à la construction, à l’électricité, à l’entretien et à d’autres projets similaires (y compris ceux qui sont sur le point d’être entrepris) ou des soumissions relatives à de tels projets éventuels ou </w:t>
      </w:r>
      <w:r w:rsidR="00ED0352" w:rsidRPr="00B63BD5">
        <w:rPr>
          <w:color w:val="000000" w:themeColor="text1"/>
          <w:lang w:val="fr-CA"/>
        </w:rPr>
        <w:t>(</w:t>
      </w:r>
      <w:r w:rsidRPr="00B63BD5">
        <w:rPr>
          <w:color w:val="000000" w:themeColor="text1"/>
          <w:lang w:val="fr-CA"/>
        </w:rPr>
        <w:t xml:space="preserve">b) une Lettre de garantie émise en vue d’avaliser une garantie bancaire, un cautionnement, un cautionnement de bonne exécution ou une autre obligation similaire et émise en vue d’appuyer, dans tous les cas, les obligations de bonne exécution et qui n’est pas un crédit documentaire émis en vue de financer l’importation ou l’exportation de marchandises. </w:t>
      </w:r>
    </w:p>
    <w:p w14:paraId="7B1552EB"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Lettre de garantie financière</w:t>
      </w:r>
      <w:r w:rsidRPr="00B63BD5">
        <w:rPr>
          <w:lang w:val="fr-CA"/>
        </w:rPr>
        <w:t> » désigne une lettre de garantie qui n’est pas une Lettre de garantie de bonne exécution et, à cet égard, il appartient à la Banque d’établir, à son entière discrétion, si une Lettre de garantie est une Lettre de garantie financière ou une Lettre de garantie de bonne exécution.</w:t>
      </w:r>
    </w:p>
    <w:p w14:paraId="45FD9F35"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Lettre relative aux facilités</w:t>
      </w:r>
      <w:r w:rsidRPr="00B63BD5">
        <w:rPr>
          <w:lang w:val="fr-CA"/>
        </w:rPr>
        <w:t> » désigne la lettre envoyée par la Banque à l’Emprunteur, à laquelle la présente Annexe est jointe, ainsi que la présente Annexe, toutes les autres Annexes et tous les autres Addendas, et comprend toutes les versions modifiées et reformulées de ceux</w:t>
      </w:r>
      <w:r w:rsidRPr="00B63BD5">
        <w:rPr>
          <w:lang w:val="fr-CA"/>
        </w:rPr>
        <w:noBreakHyphen/>
        <w:t>ci.</w:t>
      </w:r>
    </w:p>
    <w:p w14:paraId="5D6AD640"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color w:val="000000" w:themeColor="text1"/>
          <w:lang w:val="fr-CA"/>
        </w:rPr>
      </w:pPr>
      <w:r w:rsidRPr="00B63BD5">
        <w:rPr>
          <w:color w:val="000000" w:themeColor="text1"/>
          <w:lang w:val="fr-CA"/>
        </w:rPr>
        <w:t>« </w:t>
      </w:r>
      <w:r w:rsidRPr="00B63BD5">
        <w:rPr>
          <w:b/>
          <w:color w:val="000000" w:themeColor="text1"/>
          <w:u w:val="single"/>
          <w:lang w:val="fr-CA"/>
        </w:rPr>
        <w:t>Lieux </w:t>
      </w:r>
      <w:r w:rsidRPr="00B63BD5">
        <w:rPr>
          <w:color w:val="000000" w:themeColor="text1"/>
          <w:lang w:val="fr-CA"/>
        </w:rPr>
        <w:t>»</w:t>
      </w:r>
      <w:r w:rsidRPr="00B63BD5">
        <w:rPr>
          <w:iCs/>
          <w:color w:val="000000" w:themeColor="text1"/>
          <w:lang w:val="fr-CA"/>
        </w:rPr>
        <w:t xml:space="preserve"> </w:t>
      </w:r>
      <w:r w:rsidRPr="00B63BD5">
        <w:rPr>
          <w:color w:val="000000" w:themeColor="text1"/>
          <w:lang w:val="fr-CA"/>
        </w:rPr>
        <w:t>a le sens qui lui est donné à l’article VII de la présente Annexe A.</w:t>
      </w:r>
    </w:p>
    <w:p w14:paraId="69778661"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color w:val="000000" w:themeColor="text1"/>
          <w:lang w:val="fr-CA"/>
        </w:rPr>
      </w:pPr>
      <w:r w:rsidRPr="00B63BD5">
        <w:rPr>
          <w:color w:val="000000" w:themeColor="text1"/>
          <w:lang w:val="fr-CA"/>
        </w:rPr>
        <w:t>« </w:t>
      </w:r>
      <w:r w:rsidRPr="00B63BD5">
        <w:rPr>
          <w:b/>
          <w:color w:val="000000" w:themeColor="text1"/>
          <w:u w:val="single"/>
          <w:lang w:val="fr-CA"/>
        </w:rPr>
        <w:t>Limite de la facilité relative aux opérations de change </w:t>
      </w:r>
      <w:r w:rsidRPr="00B63BD5">
        <w:rPr>
          <w:color w:val="000000" w:themeColor="text1"/>
          <w:lang w:val="fr-CA"/>
        </w:rPr>
        <w:t>»</w:t>
      </w:r>
      <w:r w:rsidRPr="00B63BD5">
        <w:rPr>
          <w:iCs/>
          <w:color w:val="000000" w:themeColor="text1"/>
          <w:lang w:val="fr-CA"/>
        </w:rPr>
        <w:t xml:space="preserve"> </w:t>
      </w:r>
      <w:r w:rsidRPr="00B63BD5">
        <w:rPr>
          <w:color w:val="000000" w:themeColor="text1"/>
          <w:lang w:val="fr-CA"/>
        </w:rPr>
        <w:t>a le sens qui lui est donné à la rubrique « Facilités de crédit » de la Lettre relative aux facilités.</w:t>
      </w:r>
    </w:p>
    <w:p w14:paraId="70FEFD38" w14:textId="5C01ADB2"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Style w:val="Prompt"/>
          <w:lang w:val="fr-CA"/>
        </w:rPr>
      </w:pPr>
      <w:r w:rsidRPr="00B63BD5">
        <w:rPr>
          <w:b/>
          <w:u w:val="single"/>
          <w:lang w:val="fr-CA"/>
        </w:rPr>
        <w:t>« Livre sterling » ou « £ »</w:t>
      </w:r>
      <w:r w:rsidRPr="00B63BD5">
        <w:rPr>
          <w:lang w:val="fr-CA"/>
        </w:rPr>
        <w:t xml:space="preserve"> désigne la monnaie ayant cours légal au Royaume-Uni en fonds immédiatement disponibles ou, si de tels fonds ne sont pas disponibles, la forme de monnaie du Royaume-Uni qui est habituellement utilisée aux fins du règlement des opérations bancaires internationales le jour en question</w:t>
      </w:r>
      <w:r w:rsidRPr="00B63BD5">
        <w:rPr>
          <w:rStyle w:val="Prompt"/>
          <w:lang w:val="fr-CA"/>
        </w:rPr>
        <w:t>.</w:t>
      </w:r>
    </w:p>
    <w:p w14:paraId="6804D642" w14:textId="7777777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Mesure de conformité</w:t>
      </w:r>
      <w:r w:rsidRPr="00B63BD5">
        <w:rPr>
          <w:lang w:val="fr-CA"/>
        </w:rPr>
        <w:t> » a le sens qui lui est donné à l’article XIX de la présente Annexe A.</w:t>
      </w:r>
    </w:p>
    <w:p w14:paraId="527E94D4" w14:textId="5770BD01"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Montant compensatoire</w:t>
      </w:r>
      <w:r w:rsidRPr="00B63BD5">
        <w:rPr>
          <w:lang w:val="fr-CA"/>
        </w:rPr>
        <w:t> » désigne une somme que la Banque établit comme étant le coût net, s’il y a lieu, qu’elle a engagé en conséquence directe du remboursement, en totalité ou en partie, d’une avance consentie sur l’une ou l’autre des Facilités de crédit portant intérêt au Taux fixe en dollars canadiens de la Banque, au Taux fixe en dollars américains de la Banque, au Taux de référence SOFR (pour les Prêts au taux SOFR), au taux CDOR ou un autre taux, à une date autre que la date d’expiration de la Période d’intérêt choisie ou de la Période SOFR ou CDOR, y compris les frais de résiliation et les autres pertes, frais ou dommages que la Banque a subis ou engagés relativement à ce remboursement. Une confirmation ou une attestation de la Banque constitue, sauf erreur manifeste, une preuve concluante du Montant compensatoire.</w:t>
      </w:r>
    </w:p>
    <w:p w14:paraId="21B06B9C" w14:textId="70060096"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Période d’intérêt</w:t>
      </w:r>
      <w:r w:rsidRPr="00B63BD5">
        <w:rPr>
          <w:lang w:val="fr-CA"/>
        </w:rPr>
        <w:t> » désigne la période dont la Banque et l’Emprunteur conviennent mutuellement.</w:t>
      </w:r>
    </w:p>
    <w:p w14:paraId="4F81CE9A" w14:textId="068C33E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lastRenderedPageBreak/>
        <w:t>« </w:t>
      </w:r>
      <w:r w:rsidRPr="00B63BD5">
        <w:rPr>
          <w:b/>
          <w:u w:val="single"/>
          <w:lang w:val="fr-CA"/>
        </w:rPr>
        <w:t>Période</w:t>
      </w:r>
      <w:r w:rsidRPr="00B63BD5">
        <w:rPr>
          <w:u w:val="single"/>
          <w:lang w:val="fr-CA"/>
        </w:rPr>
        <w:t xml:space="preserve"> </w:t>
      </w:r>
      <w:r w:rsidRPr="00B63BD5">
        <w:rPr>
          <w:b/>
          <w:u w:val="single"/>
          <w:lang w:val="fr-CA"/>
        </w:rPr>
        <w:t>SOFR </w:t>
      </w:r>
      <w:r w:rsidRPr="00B63BD5">
        <w:rPr>
          <w:lang w:val="fr-CA"/>
        </w:rPr>
        <w:t>» désigne une période de un, de trois, de six ou de douze mois, sous réserve</w:t>
      </w:r>
      <w:r w:rsidRPr="00B63BD5">
        <w:rPr>
          <w:b/>
          <w:lang w:val="fr-CA"/>
        </w:rPr>
        <w:t xml:space="preserve"> </w:t>
      </w:r>
      <w:r w:rsidRPr="00B63BD5">
        <w:rPr>
          <w:lang w:val="fr-CA"/>
        </w:rPr>
        <w:t>de la disponibilité.</w:t>
      </w:r>
    </w:p>
    <w:p w14:paraId="73916A04" w14:textId="253EDB57" w:rsidR="000232E6" w:rsidRPr="00B63BD5" w:rsidRDefault="000232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color w:val="000000" w:themeColor="text1"/>
          <w:lang w:val="fr-CA"/>
        </w:rPr>
      </w:pPr>
      <w:r w:rsidRPr="00B63BD5">
        <w:rPr>
          <w:color w:val="000000" w:themeColor="text1"/>
          <w:lang w:val="fr-CA"/>
        </w:rPr>
        <w:t>« </w:t>
      </w:r>
      <w:r w:rsidRPr="00B63BD5">
        <w:rPr>
          <w:b/>
          <w:color w:val="000000" w:themeColor="text1"/>
          <w:u w:val="single"/>
          <w:lang w:val="fr-CA"/>
        </w:rPr>
        <w:t>Personne</w:t>
      </w:r>
      <w:r w:rsidRPr="00B63BD5">
        <w:rPr>
          <w:color w:val="000000" w:themeColor="text1"/>
          <w:lang w:val="fr-CA"/>
        </w:rPr>
        <w:t> »</w:t>
      </w:r>
      <w:r w:rsidR="00196EF9" w:rsidRPr="00B63BD5">
        <w:rPr>
          <w:color w:val="000000" w:themeColor="text1"/>
          <w:lang w:val="fr-CA"/>
        </w:rPr>
        <w:t xml:space="preserve"> </w:t>
      </w:r>
      <w:r w:rsidRPr="00B63BD5">
        <w:rPr>
          <w:color w:val="000000" w:themeColor="text1"/>
          <w:lang w:val="fr-CA"/>
        </w:rPr>
        <w:t>désigne un particulier, une société de personnes, une société par actions, une société à responsabilité limitée, une fiducie, une association sans personnalité morale, une coentreprise ou une autre entité ou encore un gouvernement ou un organisme ou une subdivision politique de celui</w:t>
      </w:r>
      <w:r w:rsidRPr="00B63BD5">
        <w:rPr>
          <w:color w:val="000000" w:themeColor="text1"/>
          <w:lang w:val="fr-CA"/>
        </w:rPr>
        <w:noBreakHyphen/>
        <w:t>ci.</w:t>
      </w:r>
    </w:p>
    <w:p w14:paraId="03198F88" w14:textId="275B6442" w:rsidR="000232E6" w:rsidRPr="00B63BD5" w:rsidRDefault="00F8248C"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Prêt</w:t>
      </w:r>
      <w:r w:rsidRPr="00B63BD5">
        <w:rPr>
          <w:lang w:val="fr-CA"/>
        </w:rPr>
        <w:t xml:space="preserve"> » désigne </w:t>
      </w:r>
      <w:r w:rsidR="00ED0352" w:rsidRPr="00B63BD5">
        <w:rPr>
          <w:lang w:val="fr-CA"/>
        </w:rPr>
        <w:t>(</w:t>
      </w:r>
      <w:r w:rsidRPr="00B63BD5">
        <w:rPr>
          <w:lang w:val="fr-CA"/>
        </w:rPr>
        <w:t xml:space="preserve">a) une avance consentie à l’Emprunteur en Dollars américains, sur laquelle l’intérêt est calculé et payable en fonction du Taux de référence SOFR (dans le cas d’un Prêt au taux SOFR simple quotidien ou d’un Prêt au taux SOFR à terme) ou du Taux de base américain de la Banque (dans le cas d’un Prêt au taux de base américain), ou à titre de Prêt à taux fixe en dollars américains, </w:t>
      </w:r>
      <w:r w:rsidR="00ED0352" w:rsidRPr="00B63BD5">
        <w:rPr>
          <w:lang w:val="fr-CA"/>
        </w:rPr>
        <w:t>(</w:t>
      </w:r>
      <w:r w:rsidRPr="00B63BD5">
        <w:rPr>
          <w:lang w:val="fr-CA"/>
        </w:rPr>
        <w:t xml:space="preserve">b) une avance consentie à l’Emprunteur en Livres sterling, sur laquelle l’intérêt est calculé et payable en fonction du Taux SONIA simple (dans le cas d’un Prêt au taux SONIA), et </w:t>
      </w:r>
      <w:r w:rsidR="00ED0352" w:rsidRPr="00B63BD5">
        <w:rPr>
          <w:lang w:val="fr-CA"/>
        </w:rPr>
        <w:t>(</w:t>
      </w:r>
      <w:r w:rsidRPr="00B63BD5">
        <w:rPr>
          <w:lang w:val="fr-CA"/>
        </w:rPr>
        <w:t>c) une avance consentie à l’Emprunteur en Dollars canadiens, sur laquelle l’intérêt est calculé et payable en fonction du Taux fixe en dollars canadiens de la Banque, du Taux préférentiel de la Banque ou du taux CDOR.</w:t>
      </w:r>
    </w:p>
    <w:p w14:paraId="5BCC59ED" w14:textId="36DD33A2" w:rsidR="009D56D8" w:rsidRPr="00B63BD5" w:rsidRDefault="009D56D8"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lang w:val="fr-CA"/>
        </w:rPr>
      </w:pPr>
      <w:r w:rsidRPr="00B63BD5">
        <w:rPr>
          <w:lang w:val="fr-CA"/>
        </w:rPr>
        <w:t>« </w:t>
      </w:r>
      <w:r w:rsidRPr="00B63BD5">
        <w:rPr>
          <w:b/>
          <w:u w:val="single"/>
          <w:lang w:val="fr-CA"/>
        </w:rPr>
        <w:t>P</w:t>
      </w:r>
      <w:r w:rsidRPr="00B63BD5">
        <w:rPr>
          <w:b/>
          <w:spacing w:val="-2"/>
          <w:u w:val="single"/>
          <w:lang w:val="fr-CA"/>
        </w:rPr>
        <w:t>rêt à taux fixe</w:t>
      </w:r>
      <w:r w:rsidRPr="00B63BD5">
        <w:rPr>
          <w:spacing w:val="-2"/>
          <w:lang w:val="fr-CA"/>
        </w:rPr>
        <w:t> » désigne un Prêt au taux SOFR à terme, un Prêt au taux SONIA, un Prêt</w:t>
      </w:r>
      <w:r w:rsidR="00BF50CD">
        <w:rPr>
          <w:spacing w:val="-2"/>
          <w:lang w:val="fr-CA"/>
        </w:rPr>
        <w:t xml:space="preserve"> </w:t>
      </w:r>
      <w:r w:rsidRPr="00B63BD5">
        <w:rPr>
          <w:spacing w:val="-2"/>
          <w:lang w:val="fr-CA"/>
        </w:rPr>
        <w:t>à</w:t>
      </w:r>
      <w:r w:rsidR="00BF50CD">
        <w:rPr>
          <w:spacing w:val="-2"/>
          <w:lang w:val="fr-CA"/>
        </w:rPr>
        <w:t xml:space="preserve"> </w:t>
      </w:r>
      <w:r w:rsidRPr="00B63BD5">
        <w:rPr>
          <w:spacing w:val="-2"/>
          <w:lang w:val="fr-CA"/>
        </w:rPr>
        <w:t>tau</w:t>
      </w:r>
      <w:r w:rsidRPr="00B63BD5">
        <w:rPr>
          <w:lang w:val="fr-CA"/>
        </w:rPr>
        <w:t>x fixe en dollars américains ou un Prêt à taux fixe en dollars canadiens.</w:t>
      </w:r>
    </w:p>
    <w:p w14:paraId="6F59A85A" w14:textId="77777777" w:rsidR="00F8248C" w:rsidRPr="00B63BD5" w:rsidRDefault="00F8248C"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color w:val="000000" w:themeColor="text1"/>
          <w:lang w:val="fr-CA"/>
        </w:rPr>
      </w:pPr>
      <w:r w:rsidRPr="00B63BD5">
        <w:rPr>
          <w:color w:val="000000" w:themeColor="text1"/>
          <w:lang w:val="fr-CA"/>
        </w:rPr>
        <w:t>« </w:t>
      </w:r>
      <w:r w:rsidRPr="00B63BD5">
        <w:rPr>
          <w:b/>
          <w:color w:val="000000" w:themeColor="text1"/>
          <w:u w:val="single"/>
          <w:lang w:val="fr-CA"/>
        </w:rPr>
        <w:t>Prêt à taux fixe en dollars américains</w:t>
      </w:r>
      <w:r w:rsidRPr="00B63BD5">
        <w:rPr>
          <w:color w:val="000000" w:themeColor="text1"/>
          <w:lang w:val="fr-CA"/>
        </w:rPr>
        <w:t xml:space="preserve"> » a le sens qui lui est donné sous la rubrique « Facilités de crédit » de la Lettre relative aux facilités. </w:t>
      </w:r>
    </w:p>
    <w:p w14:paraId="7677B87F" w14:textId="320F947F" w:rsidR="00F8248C" w:rsidRDefault="00F8248C"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Prêt à taux fixe en dollars canadiens</w:t>
      </w:r>
      <w:r w:rsidRPr="00B63BD5">
        <w:rPr>
          <w:lang w:val="fr-CA"/>
        </w:rPr>
        <w:t> » a le sens qui lui est donné sous la rubrique « Facilités de crédit » de la Lettre relative aux facilités.</w:t>
      </w:r>
    </w:p>
    <w:p w14:paraId="3D3ED43F" w14:textId="77777777" w:rsidR="00BF50CD" w:rsidRPr="00B63BD5" w:rsidRDefault="00BF50CD" w:rsidP="00BF50CD">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Prêt à taux préférentiel en dollars canadiens</w:t>
      </w:r>
      <w:r w:rsidRPr="00B63BD5">
        <w:rPr>
          <w:lang w:val="fr-CA"/>
        </w:rPr>
        <w:t> » a le sens qui lui est donné sous la rubrique « Facilités de crédit » de la Lettre relative aux facilités.</w:t>
      </w:r>
    </w:p>
    <w:p w14:paraId="7852CA0C" w14:textId="77777777" w:rsidR="00BF50CD" w:rsidRPr="00B63BD5" w:rsidRDefault="00BF50CD" w:rsidP="00BF50CD">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Style w:val="Prompt"/>
          <w:lang w:val="fr-CA"/>
        </w:rPr>
      </w:pPr>
      <w:r w:rsidRPr="00B63BD5">
        <w:rPr>
          <w:color w:val="000000" w:themeColor="text1"/>
          <w:lang w:val="fr-CA"/>
        </w:rPr>
        <w:t>« </w:t>
      </w:r>
      <w:r w:rsidRPr="00B63BD5">
        <w:rPr>
          <w:b/>
          <w:color w:val="000000" w:themeColor="text1"/>
          <w:u w:val="single"/>
          <w:lang w:val="fr-CA"/>
        </w:rPr>
        <w:t>Prêt au taux de base américain</w:t>
      </w:r>
      <w:r w:rsidRPr="00B63BD5">
        <w:rPr>
          <w:color w:val="000000" w:themeColor="text1"/>
          <w:lang w:val="fr-CA"/>
        </w:rPr>
        <w:t xml:space="preserve"> » </w:t>
      </w:r>
      <w:r w:rsidRPr="00944767">
        <w:rPr>
          <w:color w:val="000000" w:themeColor="text1"/>
          <w:lang w:val="fr-CA"/>
        </w:rPr>
        <w:t xml:space="preserve">a le sens qui lui est donné sous la rubrique « Facilités de </w:t>
      </w:r>
      <w:r>
        <w:rPr>
          <w:color w:val="000000" w:themeColor="text1"/>
          <w:lang w:val="fr-CA"/>
        </w:rPr>
        <w:t>prêt relative aux immobilisations</w:t>
      </w:r>
      <w:r w:rsidRPr="00944767">
        <w:rPr>
          <w:color w:val="000000" w:themeColor="text1"/>
          <w:lang w:val="fr-CA"/>
        </w:rPr>
        <w:t> » de la Lettre relative aux facilités</w:t>
      </w:r>
      <w:r w:rsidRPr="00B63BD5">
        <w:rPr>
          <w:color w:val="000000" w:themeColor="text1"/>
          <w:lang w:val="fr-CA"/>
        </w:rPr>
        <w:t>.</w:t>
      </w:r>
    </w:p>
    <w:p w14:paraId="2E9A5AA4" w14:textId="079C84BB" w:rsidR="00494A98" w:rsidRPr="00B63BD5" w:rsidRDefault="00494A98"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b/>
          <w:u w:val="single"/>
          <w:lang w:val="fr-CA"/>
        </w:rPr>
        <w:t>« Prêt au taux SOFR à terme »</w:t>
      </w:r>
      <w:r w:rsidRPr="00B63BD5">
        <w:rPr>
          <w:lang w:val="fr-CA"/>
        </w:rPr>
        <w:t xml:space="preserve"> désigne une avance consentie à l’Emprunteur ou aux Emprunteurs, sur laquelle l’intérêt est calculé et payable en fonction du Taux de référence SOFR à terme en fonction d’une année de 360 jours.</w:t>
      </w:r>
    </w:p>
    <w:p w14:paraId="2EC7F8D9" w14:textId="77777777" w:rsidR="00494A98" w:rsidRPr="00B63BD5" w:rsidRDefault="00494A98"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Prêt au taux SONIA </w:t>
      </w:r>
      <w:r w:rsidRPr="00B63BD5">
        <w:rPr>
          <w:lang w:val="fr-CA"/>
        </w:rPr>
        <w:t>» désigne une avance consentie à l’Emprunteur ou aux Emprunteurs, sur laquelle l’intérêt est calculé et payable en fonction du Taux de référence SONIA simple et sur une année de 365 jours.</w:t>
      </w:r>
    </w:p>
    <w:p w14:paraId="4C3AE523" w14:textId="77777777" w:rsidR="00494A98" w:rsidRPr="00B63BD5" w:rsidRDefault="00494A98"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b/>
          <w:u w:val="single"/>
          <w:lang w:val="fr-CA"/>
        </w:rPr>
        <w:t>« Prêt au taux SOFR simple quotidien »</w:t>
      </w:r>
      <w:r w:rsidRPr="00B63BD5">
        <w:rPr>
          <w:lang w:val="fr-CA"/>
        </w:rPr>
        <w:t xml:space="preserve"> désigne une avance consentie à l’Emprunteur ou aux Emprunteurs, sur laquelle l’intérêt est calculé et payable en fonction du Taux de référence SOFR simple quotidien en fonction d’une année de 360 jours.</w:t>
      </w:r>
    </w:p>
    <w:p w14:paraId="74075208" w14:textId="1A73A50C" w:rsidR="00494A98" w:rsidRPr="00B63BD5" w:rsidRDefault="00494A98"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Prix d’achat de l’acceptation bancaire</w:t>
      </w:r>
      <w:r w:rsidRPr="00B63BD5">
        <w:rPr>
          <w:lang w:val="fr-CA"/>
        </w:rPr>
        <w:t> » désigne, à l’égard d’une Acceptation bancaire que la Banque achète un jour donné, la somme (arrondie au cent entier le plus proche dans la monnaie applicable, la moitié de un cent étant arrondie à la hausse) calculée ce jour</w:t>
      </w:r>
      <w:r w:rsidRPr="00B63BD5">
        <w:rPr>
          <w:lang w:val="fr-CA"/>
        </w:rPr>
        <w:noBreakHyphen/>
        <w:t xml:space="preserve">là et correspondant au produit de la multiplication des chiffres indiqués en </w:t>
      </w:r>
      <w:r w:rsidR="00ED0352" w:rsidRPr="00B63BD5">
        <w:rPr>
          <w:lang w:val="fr-CA"/>
        </w:rPr>
        <w:t>(</w:t>
      </w:r>
      <w:r w:rsidRPr="00B63BD5">
        <w:rPr>
          <w:lang w:val="fr-CA"/>
        </w:rPr>
        <w:t xml:space="preserve">a) et en </w:t>
      </w:r>
      <w:r w:rsidR="00ED0352" w:rsidRPr="00B63BD5">
        <w:rPr>
          <w:lang w:val="fr-CA"/>
        </w:rPr>
        <w:t>(</w:t>
      </w:r>
      <w:r w:rsidRPr="00B63BD5">
        <w:rPr>
          <w:lang w:val="fr-CA"/>
        </w:rPr>
        <w:t>b), comme suit :</w:t>
      </w:r>
    </w:p>
    <w:p w14:paraId="5574FB84" w14:textId="04559573" w:rsidR="00494A98" w:rsidRPr="000B7739" w:rsidRDefault="00494A98" w:rsidP="000C4154">
      <w:pPr>
        <w:pStyle w:val="04LOLglNew3"/>
        <w:numPr>
          <w:ilvl w:val="2"/>
          <w:numId w:val="59"/>
        </w:numPr>
        <w:rPr>
          <w:lang w:val="fr-CA"/>
        </w:rPr>
      </w:pPr>
      <w:r w:rsidRPr="000B7739">
        <w:rPr>
          <w:lang w:val="fr-CA"/>
        </w:rPr>
        <w:t>la valeur nominale de l’Acceptation bancaire en question;</w:t>
      </w:r>
    </w:p>
    <w:p w14:paraId="6A55669A" w14:textId="733C49D8" w:rsidR="00494A98" w:rsidRPr="00B63BD5" w:rsidRDefault="00494A98" w:rsidP="000B7739">
      <w:pPr>
        <w:pStyle w:val="04LOLglNew3"/>
        <w:rPr>
          <w:lang w:val="fr-CA"/>
        </w:rPr>
      </w:pPr>
      <w:r w:rsidRPr="00B63BD5">
        <w:rPr>
          <w:lang w:val="fr-CA"/>
        </w:rPr>
        <w:t>le quotient obtenu en divisant un par la somme de un et du produit de la multiplication des éléments suivants :</w:t>
      </w:r>
    </w:p>
    <w:p w14:paraId="36CEF2F7" w14:textId="1832B32A" w:rsidR="00494A98" w:rsidRPr="00B63BD5" w:rsidRDefault="00494A98" w:rsidP="00404E07">
      <w:pPr>
        <w:pStyle w:val="04LOLglNew4"/>
        <w:rPr>
          <w:lang w:val="fr-CA"/>
        </w:rPr>
      </w:pPr>
      <w:r w:rsidRPr="00B63BD5">
        <w:rPr>
          <w:lang w:val="fr-CA"/>
        </w:rPr>
        <w:t>le Taux d’escompte des acceptations bancaires (exprimé sous forme de décimale);</w:t>
      </w:r>
    </w:p>
    <w:p w14:paraId="3C4BC9F8" w14:textId="072C45AA" w:rsidR="00494A98" w:rsidRPr="00B63BD5" w:rsidRDefault="00494A98" w:rsidP="00404E07">
      <w:pPr>
        <w:pStyle w:val="04LOLglNew4"/>
        <w:rPr>
          <w:lang w:val="fr-CA"/>
        </w:rPr>
      </w:pPr>
      <w:r w:rsidRPr="00B63BD5">
        <w:rPr>
          <w:lang w:val="fr-CA"/>
        </w:rPr>
        <w:t xml:space="preserve">la fraction dont le numérateur correspond au nombre de jours à écouler du terme de l’Acceptation bancaire en question, et le dénominateur, à 365 pour les Acceptations bancaires libellées en Dollars canadiens ou à 360 pour les Acceptations bancaires libellées en Dollars américains; </w:t>
      </w:r>
    </w:p>
    <w:p w14:paraId="145B0531" w14:textId="42593051" w:rsidR="00494A98" w:rsidRPr="00B63BD5" w:rsidRDefault="00494A98"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lastRenderedPageBreak/>
        <w:t>ce quotient étant arrondi à la hausse ou à la baisse à la cinquième décimale la plus proche et 0,000 005 étant arrondi à la hausse.</w:t>
      </w:r>
    </w:p>
    <w:p w14:paraId="67079E5A" w14:textId="4234201E" w:rsidR="00494A98" w:rsidRPr="00B63BD5" w:rsidRDefault="00494A98"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color w:val="000000" w:themeColor="text1"/>
          <w:lang w:val="fr-CA"/>
        </w:rPr>
      </w:pPr>
      <w:r w:rsidRPr="00B63BD5">
        <w:rPr>
          <w:color w:val="000000" w:themeColor="text1"/>
          <w:lang w:val="fr-CA"/>
        </w:rPr>
        <w:t>« </w:t>
      </w:r>
      <w:r w:rsidRPr="00B63BD5">
        <w:rPr>
          <w:b/>
          <w:color w:val="000000" w:themeColor="text1"/>
          <w:u w:val="single"/>
          <w:lang w:val="fr-CA"/>
        </w:rPr>
        <w:t>Sanctions</w:t>
      </w:r>
      <w:r w:rsidRPr="00B63BD5">
        <w:rPr>
          <w:color w:val="000000" w:themeColor="text1"/>
          <w:lang w:val="fr-CA"/>
        </w:rPr>
        <w:t> » a le sens qui lui est donné au paragraphe II f) de la présente Annexe A.</w:t>
      </w:r>
    </w:p>
    <w:p w14:paraId="0EAB3A29" w14:textId="6570F079" w:rsidR="00494A98" w:rsidRPr="00B63BD5" w:rsidRDefault="00494A98"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Signature électronique</w:t>
      </w:r>
      <w:r w:rsidRPr="00B63BD5">
        <w:rPr>
          <w:lang w:val="fr-CA"/>
        </w:rPr>
        <w:t> » désigne une signature qui comporte une ou plusieurs lettres ou un ou plusieurs caractères, chiffres ou autres symboles sous forme numérique, qui est intégrée à une Communication électronique, y est jointe ou y est associée, et ce terme comprend une signature électronique sécurisée, selon ce qui est prescrit par les lois applicables ou exigé par la Banque.</w:t>
      </w:r>
    </w:p>
    <w:p w14:paraId="6AFFA513" w14:textId="3100C57A" w:rsidR="00494A98" w:rsidRPr="00B63BD5" w:rsidRDefault="00494A98"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Stocks acceptables</w:t>
      </w:r>
      <w:r w:rsidRPr="00B63BD5">
        <w:rPr>
          <w:lang w:val="fr-CA"/>
        </w:rPr>
        <w:t xml:space="preserve"> » désigne la valeur, que la Banque établit après avoir examiné les états financiers les plus récents, les certificats de conformité et le rapport sur la valeur des garanties fournis par l’Emprunteur, en fonction du moindre des deux chiffres suivants, soit le coût ou la juste valeur marchande de toutes les matières appartenant à l’Emprunteur et destinées à la revente ou à la production de marchandises à des fins de revente, </w:t>
      </w:r>
      <w:r w:rsidRPr="00B63BD5">
        <w:rPr>
          <w:color w:val="000000" w:themeColor="text1"/>
          <w:lang w:val="fr-CA"/>
        </w:rPr>
        <w:t xml:space="preserve">[sauf les travaux en cours </w:t>
      </w:r>
      <w:r w:rsidRPr="00B63BD5">
        <w:rPr>
          <w:b/>
          <w:color w:val="00B0F0"/>
          <w:highlight w:val="yellow"/>
          <w:lang w:val="fr-CA"/>
        </w:rPr>
        <w:t xml:space="preserve">OU </w:t>
      </w:r>
      <w:r w:rsidRPr="00B63BD5">
        <w:rPr>
          <w:color w:val="000000" w:themeColor="text1"/>
          <w:lang w:val="fr-CA"/>
        </w:rPr>
        <w:t>y compris au plus ● % des travaux en cours</w:t>
      </w:r>
      <w:r w:rsidRPr="00B63BD5">
        <w:rPr>
          <w:rStyle w:val="Prompt"/>
          <w:color w:val="000000" w:themeColor="text1"/>
          <w:lang w:val="fr-CA"/>
        </w:rPr>
        <w:t>]</w:t>
      </w:r>
      <w:r w:rsidRPr="00B63BD5">
        <w:rPr>
          <w:rStyle w:val="Prompt"/>
          <w:color w:val="auto"/>
          <w:lang w:val="fr-CA"/>
        </w:rPr>
        <w:t>,</w:t>
      </w:r>
      <w:r w:rsidRPr="00B63BD5">
        <w:rPr>
          <w:lang w:val="fr-CA"/>
        </w:rPr>
        <w:t xml:space="preserve"> et sur lesquelles la Banque détient une sûreté de premier rang, sous réserve seulement des Créances prioritaires éventuelles et des Charges autorisées. Les Stocks acceptables ne tiennent pas compte de la valeur des stocks financés au moyen des facilités de prêt à l’acheteur après l’expédition </w:t>
      </w:r>
      <w:r w:rsidRPr="00B63BD5">
        <w:rPr>
          <w:b/>
          <w:color w:val="00B0F0"/>
          <w:highlight w:val="yellow"/>
          <w:lang w:val="fr-CA"/>
        </w:rPr>
        <w:t>[N.B. : Modifier et se conformer à la feuille de conditions]</w:t>
      </w:r>
      <w:r w:rsidRPr="00B63BD5">
        <w:rPr>
          <w:lang w:val="fr-CA"/>
        </w:rPr>
        <w:t>.</w:t>
      </w:r>
    </w:p>
    <w:p w14:paraId="5F8DF1EE" w14:textId="6B2D74C0" w:rsidR="00494A98" w:rsidRPr="00B63BD5" w:rsidRDefault="00494A98"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Succursale</w:t>
      </w:r>
      <w:r w:rsidRPr="00B63BD5">
        <w:rPr>
          <w:b/>
          <w:lang w:val="fr-CA"/>
        </w:rPr>
        <w:t> </w:t>
      </w:r>
      <w:r w:rsidRPr="00B63BD5">
        <w:rPr>
          <w:lang w:val="fr-CA"/>
        </w:rPr>
        <w:t>» désigne la succursale de la Banque qui est indiquée à la clause intitulée « Avis » dans la Lettre relative aux facilités ou que la Banque désigne d’une autre manière.</w:t>
      </w:r>
    </w:p>
    <w:p w14:paraId="7F32D3C5" w14:textId="77777777" w:rsidR="00511093" w:rsidRPr="00B63BD5" w:rsidRDefault="00494A98" w:rsidP="00B63BD5">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Taux de base américain de la Banque</w:t>
      </w:r>
      <w:r w:rsidRPr="00B63BD5">
        <w:rPr>
          <w:lang w:val="fr-CA"/>
        </w:rPr>
        <w:t> » désigne le taux d’intérêt annuel variable établi et rajusté par la Banque à titre de taux de référence aux fins de l’établissement des taux d’intérêt qu’elle applique aux prêts commerciaux qu’elle consent au Canada en Dollars américains, calculés sur une année de 360 jours, qui s’établissait à ● % par année le ● 20●, étant entendu que si ce taux d’intérêt est inférieur à zéro, il est réputé être égal à zéro. Ce taux est indiqué dans une succursale de la Banque. Une attestation d’un directeur ou d’un directeur de comptes de la Banque constitue, sauf erreur manifeste, une preuve concluante du Taux de base américain de la Banque.</w:t>
      </w:r>
    </w:p>
    <w:p w14:paraId="65227604" w14:textId="5CC7FC9C" w:rsidR="00494A98" w:rsidRPr="00B63BD5" w:rsidRDefault="00494A98" w:rsidP="00B63BD5">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Taux de référence SOFR </w:t>
      </w:r>
      <w:r w:rsidRPr="00B63BD5">
        <w:rPr>
          <w:lang w:val="fr-CA"/>
        </w:rPr>
        <w:t xml:space="preserve">» (i) pour les Prêts au taux SOFR quotidien, a le sens donné à l’expression « Taux de référence SOFR simple » dans l’Annexe relative aux Prêts au taux SOFR simple quotidien et (ii) pour les Prêts au taux SOFR à terme, a le sens donné à l’expression « Taux de référence SOFR à terme » dans l’Annexe relative aux Prêts au taux SOFR à terme. </w:t>
      </w:r>
    </w:p>
    <w:p w14:paraId="2BAB1013" w14:textId="77777777" w:rsidR="00494A98" w:rsidRPr="00B63BD5" w:rsidRDefault="00494A98" w:rsidP="00F25705">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b/>
          <w:lang w:val="fr-CA"/>
        </w:rPr>
      </w:pPr>
      <w:r w:rsidRPr="00B63BD5">
        <w:rPr>
          <w:lang w:val="fr-CA"/>
        </w:rPr>
        <w:t>«</w:t>
      </w:r>
      <w:r w:rsidRPr="00B63BD5">
        <w:rPr>
          <w:spacing w:val="-2"/>
          <w:lang w:val="fr-CA"/>
        </w:rPr>
        <w:t> </w:t>
      </w:r>
      <w:r w:rsidRPr="00B63BD5">
        <w:rPr>
          <w:b/>
          <w:spacing w:val="-2"/>
          <w:u w:val="single"/>
          <w:lang w:val="fr-CA"/>
        </w:rPr>
        <w:t>Taux de référence SONIA simple </w:t>
      </w:r>
      <w:r w:rsidRPr="00B63BD5">
        <w:rPr>
          <w:spacing w:val="-2"/>
          <w:lang w:val="fr-CA"/>
        </w:rPr>
        <w:t>» a le sens qui lui est donné dans l’Annexe relative aux Prêts au</w:t>
      </w:r>
      <w:r w:rsidRPr="00B63BD5">
        <w:rPr>
          <w:lang w:val="fr-CA"/>
        </w:rPr>
        <w:t xml:space="preserve"> taux SONIA. </w:t>
      </w:r>
    </w:p>
    <w:p w14:paraId="6AFED0E5" w14:textId="77777777" w:rsidR="00494A98" w:rsidRPr="00B63BD5" w:rsidRDefault="00494A98" w:rsidP="00B63BD5">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Style w:val="Prompt"/>
          <w:color w:val="auto"/>
          <w:lang w:val="fr-CA"/>
        </w:rPr>
      </w:pPr>
      <w:r w:rsidRPr="00B63BD5">
        <w:rPr>
          <w:lang w:val="fr-CA"/>
        </w:rPr>
        <w:t>« </w:t>
      </w:r>
      <w:r w:rsidRPr="00B63BD5">
        <w:rPr>
          <w:b/>
          <w:u w:val="single"/>
          <w:lang w:val="fr-CA"/>
        </w:rPr>
        <w:t>Taux d’escompte des acceptations bancaires</w:t>
      </w:r>
      <w:r w:rsidRPr="00B63BD5">
        <w:rPr>
          <w:b/>
          <w:lang w:val="fr-CA"/>
        </w:rPr>
        <w:t> </w:t>
      </w:r>
      <w:r w:rsidRPr="00B63BD5">
        <w:rPr>
          <w:lang w:val="fr-CA"/>
        </w:rPr>
        <w:t xml:space="preserve">» désigne le taux d’escompte annuel qui s’applique aux Acceptations bancaires, exprimé en pourcentage, qui est établi par la Banque. </w:t>
      </w:r>
    </w:p>
    <w:p w14:paraId="3B12AFEC" w14:textId="77777777" w:rsidR="00494A98" w:rsidRPr="00B63BD5" w:rsidRDefault="00494A98" w:rsidP="00B63BD5">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u w:val="single"/>
          <w:lang w:val="fr-CA"/>
        </w:rPr>
      </w:pPr>
      <w:r w:rsidRPr="00B63BD5">
        <w:rPr>
          <w:lang w:val="fr-CA"/>
        </w:rPr>
        <w:t>« </w:t>
      </w:r>
      <w:r w:rsidRPr="00B63BD5">
        <w:rPr>
          <w:b/>
          <w:u w:val="single"/>
          <w:lang w:val="fr-CA"/>
        </w:rPr>
        <w:t>Taux fixe en dollars américains de la Banque</w:t>
      </w:r>
      <w:r w:rsidRPr="00B63BD5">
        <w:rPr>
          <w:lang w:val="fr-CA"/>
        </w:rPr>
        <w:t> » désigne le taux d’intérêt fixe annuel offert par la Banque et accepté par l’Emprunteur relativement aux fonds en Dollars américains demandés sur une période de 30, de 60, de 90 ou de 180 jours ou de un, de deux, de trois, de quatre ou de cinq ans, sous réserve d’une confirmation de la Banque, telle que choisie par l’Emprunteur (sans porter atteinte au droit de la Banque de demander le remboursement de toutes les dettes contractées aux termes des Facilités de crédit à quelque moment que ce soit ou sans diminuer ce droit), ce taux d’intérêt ne devant en aucun cas être inférieur à 0 % par année. Une confirmation ou une attestation de la Banque constitue, sauf erreur manifeste, une preuve concluante du Taux fixe en dollars américains de la Banque.</w:t>
      </w:r>
    </w:p>
    <w:p w14:paraId="0E224848" w14:textId="77777777" w:rsidR="00494A98" w:rsidRPr="00B63BD5" w:rsidRDefault="00494A98" w:rsidP="00B63BD5">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Taux fixe en dollars canadiens de la Banque</w:t>
      </w:r>
      <w:r w:rsidRPr="00B63BD5">
        <w:rPr>
          <w:lang w:val="fr-CA"/>
        </w:rPr>
        <w:t> » désigne le taux d’intérêt fixe annuel offert par la Banque et accepté par l’Emprunteur relativement aux fonds en Dollars canadiens demandés sur une période de 30, de 60, de 90 ou de 180 jours ou de un, de deux, de trois, de quatre ou de cinq ans, sous réserve d’une confirmation de la Banque, telle que choisie par l’Emprunteur (sans porter atteinte au droit de la Banque de demander le remboursement de toutes les dettes contractées aux termes des Facilités de crédit à quelque moment que ce soit ou sans diminuer ce droit), ce taux d’intérêt ne devant en aucun cas être inférieur à 0 % par année. Une confirmation ou une attestation de la Banque constitue, sauf erreur manifeste, une preuve concluante du Taux fixe en dollars canadiens de la Banque.</w:t>
      </w:r>
    </w:p>
    <w:p w14:paraId="1E806377" w14:textId="77777777" w:rsidR="00494A98" w:rsidRPr="00B63BD5" w:rsidRDefault="00494A98" w:rsidP="00B63BD5">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lastRenderedPageBreak/>
        <w:t>« </w:t>
      </w:r>
      <w:r w:rsidRPr="00B63BD5">
        <w:rPr>
          <w:b/>
          <w:u w:val="single"/>
          <w:lang w:val="fr-CA"/>
        </w:rPr>
        <w:t>Taux préférentiel de la Banque</w:t>
      </w:r>
      <w:r w:rsidRPr="00B63BD5">
        <w:rPr>
          <w:lang w:val="fr-CA"/>
        </w:rPr>
        <w:t> » désigne le taux d’intérêt annuel variable établi et rajusté par la Banque à titre de taux de référence aux fins de l’établissement des taux d’intérêt qu’elle applique aux prêts commerciaux qu’elle consent au Canada en Dollars canadiens, selon une année de 365 jours, qui s’établissait à ● % par année le ● 20●, étant entendu que si ce taux d’intérêt est inférieur à zéro, il est réputé être égal à zéro. Ce taux est indiqué dans une succursale de la Banque ou sur le site Web de la Banque. Une confirmation ou une attestation de la Banque constitue, sauf erreur manifeste, une preuve concluante du Taux préférentiel de la Banque.</w:t>
      </w:r>
    </w:p>
    <w:p w14:paraId="05C546F1" w14:textId="77777777" w:rsidR="00494A98" w:rsidRPr="00B63BD5" w:rsidRDefault="00494A98" w:rsidP="00B63BD5">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color w:val="000000" w:themeColor="text1"/>
          <w:lang w:val="fr-CA"/>
        </w:rPr>
      </w:pPr>
      <w:r w:rsidRPr="00B63BD5">
        <w:rPr>
          <w:color w:val="000000" w:themeColor="text1"/>
          <w:lang w:val="fr-CA"/>
        </w:rPr>
        <w:t>« </w:t>
      </w:r>
      <w:r w:rsidRPr="00B63BD5">
        <w:rPr>
          <w:b/>
          <w:color w:val="000000" w:themeColor="text1"/>
          <w:u w:val="single"/>
          <w:lang w:val="fr-CA"/>
        </w:rPr>
        <w:t>Taxes et impôts</w:t>
      </w:r>
      <w:r w:rsidRPr="00B63BD5">
        <w:rPr>
          <w:color w:val="000000" w:themeColor="text1"/>
          <w:lang w:val="fr-CA"/>
        </w:rPr>
        <w:t xml:space="preserve"> » désigne les frais (y compris les frais relatifs aux documents, aux licences ou aux enregistrements), les taxes et impôts (y compris l’impôt sur les recettes brutes, les taxes de vente et d’utilisation, l’impôt foncier et les contributions mobilières, les taxes et impôts sur les biens corporels ou incorporels, les droits de timbre, la taxe sur la valeur ajoutée, l’impôt sur le revenu et la taxe d’accise), les cotisations, les droits, les charges, les déductions ou les retenues, de quelque nature que ce soit, ainsi que les pénalités, les sommes à ajouter aux taxes et impôts et l’intérêt couru sur les éléments qui précèdent. </w:t>
      </w:r>
    </w:p>
    <w:p w14:paraId="1A928AB7" w14:textId="59360A48" w:rsidR="00494A98" w:rsidRPr="00B63BD5" w:rsidRDefault="00494A98" w:rsidP="00B63BD5">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w:t>
      </w:r>
      <w:r w:rsidRPr="00B63BD5">
        <w:rPr>
          <w:b/>
          <w:u w:val="single"/>
          <w:lang w:val="fr-CA"/>
        </w:rPr>
        <w:t>Territoire de compétence </w:t>
      </w:r>
      <w:r w:rsidRPr="00B63BD5">
        <w:rPr>
          <w:lang w:val="fr-CA"/>
        </w:rPr>
        <w:t>» a le sens qui lui est donné à l’article XVII</w:t>
      </w:r>
      <w:r w:rsidR="00F57628" w:rsidRPr="00B63BD5">
        <w:rPr>
          <w:lang w:val="fr-CA"/>
        </w:rPr>
        <w:t>I</w:t>
      </w:r>
      <w:r w:rsidRPr="00B63BD5">
        <w:rPr>
          <w:lang w:val="fr-CA"/>
        </w:rPr>
        <w:t xml:space="preserve"> de la présente Annexe A.</w:t>
      </w:r>
    </w:p>
    <w:p w14:paraId="4B8C825E" w14:textId="110BC25D" w:rsidR="00494A98" w:rsidRPr="00B63BD5" w:rsidRDefault="00494A98" w:rsidP="00B63BD5">
      <w:pPr>
        <w:pStyle w:val="TextJustified"/>
        <w:spacing w:before="0" w:after="240"/>
        <w:jc w:val="both"/>
        <w:rPr>
          <w:sz w:val="20"/>
          <w:lang w:val="fr-CA"/>
        </w:rPr>
      </w:pPr>
      <w:r w:rsidRPr="00B63BD5">
        <w:rPr>
          <w:sz w:val="20"/>
          <w:lang w:val="fr-CA"/>
        </w:rPr>
        <w:t>« </w:t>
      </w:r>
      <w:r w:rsidRPr="00B63BD5">
        <w:rPr>
          <w:b/>
          <w:sz w:val="20"/>
          <w:u w:val="single"/>
          <w:lang w:val="fr-CA"/>
        </w:rPr>
        <w:t>Traite</w:t>
      </w:r>
      <w:r w:rsidRPr="00B63BD5">
        <w:rPr>
          <w:sz w:val="20"/>
          <w:lang w:val="fr-CA"/>
        </w:rPr>
        <w:t xml:space="preserve"> » désigne une lettre de change au sens de la </w:t>
      </w:r>
      <w:r w:rsidRPr="00B63BD5">
        <w:rPr>
          <w:i/>
          <w:sz w:val="20"/>
          <w:lang w:val="fr-CA"/>
        </w:rPr>
        <w:t>Loi sur les lettres de change</w:t>
      </w:r>
      <w:r w:rsidRPr="00B63BD5">
        <w:rPr>
          <w:sz w:val="20"/>
          <w:lang w:val="fr-CA"/>
        </w:rPr>
        <w:t xml:space="preserve"> (Canada), établie selon le modèle prescrit par la Banque, tirée par l’Emprunteur sur la Banque à des fins d’acceptation à titre d’Acceptation bancaire et portant les lettres et les chiffres distinctifs indiqués par la Banque, mais qui, à ce moment</w:t>
      </w:r>
      <w:r w:rsidRPr="00B63BD5">
        <w:rPr>
          <w:sz w:val="20"/>
          <w:lang w:val="fr-CA"/>
        </w:rPr>
        <w:noBreakHyphen/>
        <w:t>là, n’a été ni remplie ni acceptée par la Banque.</w:t>
      </w:r>
    </w:p>
    <w:p w14:paraId="596F7971" w14:textId="77777777" w:rsidR="00494A98" w:rsidRPr="00B63BD5" w:rsidRDefault="00494A98" w:rsidP="00B63BD5">
      <w:pPr>
        <w:pStyle w:val="TextJustified"/>
        <w:spacing w:before="0" w:after="240"/>
        <w:jc w:val="both"/>
        <w:rPr>
          <w:lang w:val="fr-CA"/>
        </w:rPr>
      </w:pPr>
      <w:r w:rsidRPr="00B63BD5">
        <w:rPr>
          <w:sz w:val="20"/>
          <w:lang w:val="fr-CA"/>
        </w:rPr>
        <w:t>« </w:t>
      </w:r>
      <w:r w:rsidRPr="00B63BD5">
        <w:rPr>
          <w:b/>
          <w:sz w:val="20"/>
          <w:u w:val="single"/>
          <w:lang w:val="fr-CA"/>
        </w:rPr>
        <w:t>Valeur corporelle nette</w:t>
      </w:r>
      <w:r w:rsidRPr="00B63BD5">
        <w:rPr>
          <w:sz w:val="20"/>
          <w:lang w:val="fr-CA"/>
        </w:rPr>
        <w:t> » désigne [le montant global du capital d’apport, du bénéfice non réparti et des prêts (y compris le capital et l’intérêt) consentis à l’Emprunteur [et à ● (sur une base combinée)], qui ont été subordonnés en faveur de la Banque, à la satisfaction de celle</w:t>
      </w:r>
      <w:r w:rsidRPr="00B63BD5">
        <w:rPr>
          <w:sz w:val="20"/>
          <w:lang w:val="fr-CA"/>
        </w:rPr>
        <w:noBreakHyphen/>
        <w:t xml:space="preserve">ci quant à la forme et au fond, déduction faite des éléments d’actif que la Banque considère comme des éléments d’actif incorporels, y compris (i) la survaleur, (ii) les comptes clients des sociétés liées et des membres du groupe, (iii) les avances consenties aux actionnaires, (iv) les charges reportées, et (v) les placements effectués dans les sociétés liées et les membres du groupe] </w:t>
      </w:r>
      <w:r w:rsidRPr="00B63BD5">
        <w:rPr>
          <w:b/>
          <w:color w:val="00B0F0"/>
          <w:sz w:val="20"/>
          <w:highlight w:val="yellow"/>
          <w:lang w:val="fr-CA"/>
        </w:rPr>
        <w:t>OU [personnaliser conformément à la feuille de conditions].</w:t>
      </w:r>
    </w:p>
    <w:p w14:paraId="2C4FD348" w14:textId="7B7A65D0" w:rsidR="00C63738" w:rsidRPr="00B63BD5" w:rsidRDefault="00C63738"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Dans les présentes, le singulier englobe le pluriel et le masculin englobe le féminin, et vice</w:t>
      </w:r>
      <w:r w:rsidRPr="00B63BD5">
        <w:rPr>
          <w:lang w:val="fr-CA"/>
        </w:rPr>
        <w:noBreakHyphen/>
        <w:t>versa.</w:t>
      </w:r>
    </w:p>
    <w:p w14:paraId="3313A1E7" w14:textId="77595D6B" w:rsidR="00CB4C75" w:rsidRPr="00B63BD5" w:rsidRDefault="00CB4C75"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Dans la présente Lettre relative aux facilités, toute mention</w:t>
      </w:r>
      <w:r w:rsidR="00AC4107" w:rsidRPr="00B63BD5">
        <w:rPr>
          <w:lang w:val="fr-CA"/>
        </w:rPr>
        <w:t xml:space="preserve"> </w:t>
      </w:r>
      <w:r w:rsidRPr="00B63BD5">
        <w:rPr>
          <w:lang w:val="fr-CA"/>
        </w:rPr>
        <w:t>:</w:t>
      </w:r>
    </w:p>
    <w:p w14:paraId="3D391515" w14:textId="7E05CB0A" w:rsidR="00CB4C75" w:rsidRPr="000B7739" w:rsidRDefault="00CB4C75" w:rsidP="000C4154">
      <w:pPr>
        <w:pStyle w:val="04LOLglNew3"/>
        <w:numPr>
          <w:ilvl w:val="2"/>
          <w:numId w:val="41"/>
        </w:numPr>
        <w:rPr>
          <w:lang w:val="fr-CA"/>
        </w:rPr>
      </w:pPr>
      <w:r w:rsidRPr="000B7739">
        <w:rPr>
          <w:lang w:val="fr-CA"/>
        </w:rPr>
        <w:t>du taux de la banque centrale comprend tout taux de remplacement de ce taux;</w:t>
      </w:r>
    </w:p>
    <w:p w14:paraId="51EA9621" w14:textId="00B05041" w:rsidR="00CB4C75" w:rsidRPr="000B7739" w:rsidRDefault="00CB4C75" w:rsidP="000C4154">
      <w:pPr>
        <w:pStyle w:val="04LOLglNew3"/>
        <w:numPr>
          <w:ilvl w:val="2"/>
          <w:numId w:val="41"/>
        </w:numPr>
        <w:rPr>
          <w:lang w:val="fr-CA"/>
        </w:rPr>
      </w:pPr>
      <w:r w:rsidRPr="000B7739">
        <w:rPr>
          <w:lang w:val="fr-CA"/>
        </w:rPr>
        <w:t>d</w:t>
      </w:r>
      <w:r w:rsidR="00564B0C" w:rsidRPr="000B7739">
        <w:rPr>
          <w:lang w:val="fr-CA"/>
        </w:rPr>
        <w:t>’</w:t>
      </w:r>
      <w:r w:rsidRPr="000B7739">
        <w:rPr>
          <w:lang w:val="fr-CA"/>
        </w:rPr>
        <w:t>une page ou d</w:t>
      </w:r>
      <w:r w:rsidR="00564B0C" w:rsidRPr="000B7739">
        <w:rPr>
          <w:lang w:val="fr-CA"/>
        </w:rPr>
        <w:t>’</w:t>
      </w:r>
      <w:r w:rsidRPr="000B7739">
        <w:rPr>
          <w:lang w:val="fr-CA"/>
        </w:rPr>
        <w:t>un écran d</w:t>
      </w:r>
      <w:r w:rsidR="00564B0C" w:rsidRPr="000B7739">
        <w:rPr>
          <w:lang w:val="fr-CA"/>
        </w:rPr>
        <w:t>’</w:t>
      </w:r>
      <w:r w:rsidRPr="000B7739">
        <w:rPr>
          <w:lang w:val="fr-CA"/>
        </w:rPr>
        <w:t>un service d</w:t>
      </w:r>
      <w:r w:rsidR="00564B0C" w:rsidRPr="000B7739">
        <w:rPr>
          <w:lang w:val="fr-CA"/>
        </w:rPr>
        <w:t>’</w:t>
      </w:r>
      <w:r w:rsidRPr="000B7739">
        <w:rPr>
          <w:lang w:val="fr-CA"/>
        </w:rPr>
        <w:t>information qui affiche un taux comprend</w:t>
      </w:r>
      <w:r w:rsidR="00AC4107" w:rsidRPr="000B7739">
        <w:rPr>
          <w:lang w:val="fr-CA"/>
        </w:rPr>
        <w:t xml:space="preserve"> </w:t>
      </w:r>
      <w:r w:rsidRPr="000B7739">
        <w:rPr>
          <w:lang w:val="fr-CA"/>
        </w:rPr>
        <w:t>:</w:t>
      </w:r>
    </w:p>
    <w:p w14:paraId="2F8E3F1D" w14:textId="340E435D" w:rsidR="00CB4C75" w:rsidRPr="00B63BD5" w:rsidRDefault="00CB4C75" w:rsidP="00404E07">
      <w:pPr>
        <w:pStyle w:val="04LOLglNew4"/>
        <w:rPr>
          <w:lang w:val="fr-CA"/>
        </w:rPr>
      </w:pPr>
      <w:r w:rsidRPr="00B63BD5">
        <w:rPr>
          <w:lang w:val="fr-CA"/>
        </w:rPr>
        <w:t>tout remplacement du service d</w:t>
      </w:r>
      <w:r w:rsidR="00564B0C" w:rsidRPr="00B63BD5">
        <w:rPr>
          <w:lang w:val="fr-CA"/>
        </w:rPr>
        <w:t>’</w:t>
      </w:r>
      <w:r w:rsidRPr="00B63BD5">
        <w:rPr>
          <w:lang w:val="fr-CA"/>
        </w:rPr>
        <w:t>information qui affiche ce taux;</w:t>
      </w:r>
    </w:p>
    <w:p w14:paraId="7F180E2D" w14:textId="1D9E14D8" w:rsidR="00CB4C75" w:rsidRPr="00B63BD5" w:rsidRDefault="00CB4C75" w:rsidP="00404E07">
      <w:pPr>
        <w:pStyle w:val="04LOLglNew4"/>
        <w:rPr>
          <w:lang w:val="fr-CA"/>
        </w:rPr>
      </w:pPr>
      <w:r w:rsidRPr="00B63BD5">
        <w:rPr>
          <w:lang w:val="fr-CA"/>
        </w:rPr>
        <w:t>la page appropriée de l</w:t>
      </w:r>
      <w:r w:rsidR="00564B0C" w:rsidRPr="00B63BD5">
        <w:rPr>
          <w:lang w:val="fr-CA"/>
        </w:rPr>
        <w:t>’</w:t>
      </w:r>
      <w:r w:rsidRPr="00B63BD5">
        <w:rPr>
          <w:lang w:val="fr-CA"/>
        </w:rPr>
        <w:t>autre service d</w:t>
      </w:r>
      <w:r w:rsidR="00564B0C" w:rsidRPr="00B63BD5">
        <w:rPr>
          <w:lang w:val="fr-CA"/>
        </w:rPr>
        <w:t>’</w:t>
      </w:r>
      <w:r w:rsidRPr="00B63BD5">
        <w:rPr>
          <w:lang w:val="fr-CA"/>
        </w:rPr>
        <w:t>information qui publie ce taux de temps à</w:t>
      </w:r>
      <w:r w:rsidR="00952856" w:rsidRPr="00B63BD5">
        <w:rPr>
          <w:lang w:val="fr-CA"/>
        </w:rPr>
        <w:t> </w:t>
      </w:r>
      <w:r w:rsidRPr="00B63BD5">
        <w:rPr>
          <w:lang w:val="fr-CA"/>
        </w:rPr>
        <w:t>autre au</w:t>
      </w:r>
      <w:r w:rsidR="00307AD5" w:rsidRPr="00B63BD5">
        <w:rPr>
          <w:lang w:val="fr-CA"/>
        </w:rPr>
        <w:t> </w:t>
      </w:r>
      <w:r w:rsidRPr="00B63BD5">
        <w:rPr>
          <w:lang w:val="fr-CA"/>
        </w:rPr>
        <w:t>lieu</w:t>
      </w:r>
      <w:r w:rsidR="00307AD5" w:rsidRPr="00B63BD5">
        <w:rPr>
          <w:lang w:val="fr-CA"/>
        </w:rPr>
        <w:t> </w:t>
      </w:r>
      <w:r w:rsidRPr="00B63BD5">
        <w:rPr>
          <w:lang w:val="fr-CA"/>
        </w:rPr>
        <w:t>de ce service d</w:t>
      </w:r>
      <w:r w:rsidR="00564B0C" w:rsidRPr="00B63BD5">
        <w:rPr>
          <w:lang w:val="fr-CA"/>
        </w:rPr>
        <w:t>’</w:t>
      </w:r>
      <w:r w:rsidRPr="00B63BD5">
        <w:rPr>
          <w:lang w:val="fr-CA"/>
        </w:rPr>
        <w:t>information;</w:t>
      </w:r>
    </w:p>
    <w:p w14:paraId="58E4E1F6" w14:textId="07A82829" w:rsidR="00CB4C75" w:rsidRPr="00B63BD5" w:rsidRDefault="00404E07" w:rsidP="00404E07">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09"/>
        <w:jc w:val="both"/>
        <w:rPr>
          <w:lang w:val="fr-CA"/>
        </w:rPr>
      </w:pPr>
      <w:r w:rsidRPr="00B63BD5">
        <w:rPr>
          <w:lang w:val="fr-CA"/>
        </w:rPr>
        <w:tab/>
      </w:r>
      <w:r w:rsidR="00CB4C75" w:rsidRPr="00B63BD5">
        <w:rPr>
          <w:lang w:val="fr-CA"/>
        </w:rPr>
        <w:t>et, si cette page ou ce service cesse d</w:t>
      </w:r>
      <w:r w:rsidR="00564B0C" w:rsidRPr="00B63BD5">
        <w:rPr>
          <w:lang w:val="fr-CA"/>
        </w:rPr>
        <w:t>’</w:t>
      </w:r>
      <w:r w:rsidR="00CB4C75" w:rsidRPr="00B63BD5">
        <w:rPr>
          <w:lang w:val="fr-CA"/>
        </w:rPr>
        <w:t>être offert, comprend toute autre page ou tout autre service qui affiche ce taux désigné par la Banque après consultation avec l</w:t>
      </w:r>
      <w:r w:rsidR="00564B0C" w:rsidRPr="00B63BD5">
        <w:rPr>
          <w:lang w:val="fr-CA"/>
        </w:rPr>
        <w:t>’</w:t>
      </w:r>
      <w:r w:rsidR="00CB4C75" w:rsidRPr="00B63BD5">
        <w:rPr>
          <w:lang w:val="fr-CA"/>
        </w:rPr>
        <w:t>Emprunteur.</w:t>
      </w:r>
    </w:p>
    <w:p w14:paraId="1AAB731B" w14:textId="77777777" w:rsidR="00F91AA4" w:rsidRPr="00B63BD5" w:rsidRDefault="00F91AA4" w:rsidP="00632863">
      <w:pPr>
        <w:pStyle w:val="ListNumber"/>
        <w:spacing w:after="240"/>
        <w:ind w:left="709"/>
        <w:jc w:val="both"/>
        <w:rPr>
          <w:lang w:val="fr-CA"/>
        </w:rPr>
      </w:pPr>
      <w:r w:rsidRPr="00B63BD5">
        <w:rPr>
          <w:lang w:val="fr-CA"/>
        </w:rPr>
        <w:t>Déclarations et garanties</w:t>
      </w:r>
    </w:p>
    <w:p w14:paraId="3FBA9CCB" w14:textId="6F2293B1" w:rsidR="00F91AA4" w:rsidRPr="00B63BD5" w:rsidRDefault="00F91AA4" w:rsidP="00632863">
      <w:pPr>
        <w:keepNext/>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xml:space="preserve">Chaque </w:t>
      </w:r>
      <w:r w:rsidR="008121D8" w:rsidRPr="00B63BD5">
        <w:rPr>
          <w:lang w:val="fr-CA"/>
        </w:rPr>
        <w:t>Bénéficiaire du crédit</w:t>
      </w:r>
      <w:r w:rsidRPr="00B63BD5">
        <w:rPr>
          <w:lang w:val="fr-CA"/>
        </w:rPr>
        <w:t xml:space="preserve"> fait les déclarations et donne les garanties suivantes à la Banque, en</w:t>
      </w:r>
      <w:r w:rsidR="00307AD5" w:rsidRPr="00B63BD5">
        <w:rPr>
          <w:lang w:val="fr-CA"/>
        </w:rPr>
        <w:t> </w:t>
      </w:r>
      <w:r w:rsidRPr="00B63BD5">
        <w:rPr>
          <w:lang w:val="fr-CA"/>
        </w:rPr>
        <w:t>date</w:t>
      </w:r>
      <w:r w:rsidR="00307AD5" w:rsidRPr="00B63BD5">
        <w:rPr>
          <w:lang w:val="fr-CA"/>
        </w:rPr>
        <w:t> </w:t>
      </w:r>
      <w:r w:rsidRPr="00B63BD5">
        <w:rPr>
          <w:lang w:val="fr-CA"/>
        </w:rPr>
        <w:t>de</w:t>
      </w:r>
      <w:r w:rsidR="00307AD5" w:rsidRPr="00B63BD5">
        <w:rPr>
          <w:lang w:val="fr-CA"/>
        </w:rPr>
        <w:t> </w:t>
      </w:r>
      <w:r w:rsidRPr="00B63BD5">
        <w:rPr>
          <w:lang w:val="fr-CA"/>
        </w:rPr>
        <w:t>la</w:t>
      </w:r>
      <w:r w:rsidR="00307AD5" w:rsidRPr="00B63BD5">
        <w:rPr>
          <w:lang w:val="fr-CA"/>
        </w:rPr>
        <w:t> </w:t>
      </w:r>
      <w:r w:rsidRPr="00B63BD5">
        <w:rPr>
          <w:lang w:val="fr-CA"/>
        </w:rPr>
        <w:t xml:space="preserve">Lettre relative aux facilités et au moment où une avance est consentie </w:t>
      </w:r>
      <w:r w:rsidR="00247274" w:rsidRPr="00B63BD5">
        <w:rPr>
          <w:lang w:val="fr-CA"/>
        </w:rPr>
        <w:t xml:space="preserve">sur </w:t>
      </w:r>
      <w:r w:rsidRPr="00B63BD5">
        <w:rPr>
          <w:lang w:val="fr-CA"/>
        </w:rPr>
        <w:t>l</w:t>
      </w:r>
      <w:r w:rsidR="00564B0C" w:rsidRPr="00B63BD5">
        <w:rPr>
          <w:lang w:val="fr-CA"/>
        </w:rPr>
        <w:t>’</w:t>
      </w:r>
      <w:r w:rsidRPr="00B63BD5">
        <w:rPr>
          <w:lang w:val="fr-CA"/>
        </w:rPr>
        <w:t>une ou l</w:t>
      </w:r>
      <w:r w:rsidR="00564B0C" w:rsidRPr="00B63BD5">
        <w:rPr>
          <w:lang w:val="fr-CA"/>
        </w:rPr>
        <w:t>’</w:t>
      </w:r>
      <w:r w:rsidRPr="00B63BD5">
        <w:rPr>
          <w:lang w:val="fr-CA"/>
        </w:rPr>
        <w:t>autre des</w:t>
      </w:r>
      <w:r w:rsidR="00307AD5" w:rsidRPr="00B63BD5">
        <w:rPr>
          <w:lang w:val="fr-CA"/>
        </w:rPr>
        <w:t> </w:t>
      </w:r>
      <w:r w:rsidRPr="00B63BD5">
        <w:rPr>
          <w:lang w:val="fr-CA"/>
        </w:rPr>
        <w:t xml:space="preserve">Facilités de crédit ou </w:t>
      </w:r>
      <w:r w:rsidR="00247274" w:rsidRPr="00B63BD5">
        <w:rPr>
          <w:lang w:val="fr-CA"/>
        </w:rPr>
        <w:t xml:space="preserve">au moment où </w:t>
      </w:r>
      <w:r w:rsidRPr="00B63BD5">
        <w:rPr>
          <w:lang w:val="fr-CA"/>
        </w:rPr>
        <w:t>une autre utilisation en est faite</w:t>
      </w:r>
      <w:r w:rsidR="00AC4107" w:rsidRPr="00B63BD5">
        <w:rPr>
          <w:lang w:val="fr-CA"/>
        </w:rPr>
        <w:t xml:space="preserve"> </w:t>
      </w:r>
      <w:r w:rsidRPr="00B63BD5">
        <w:rPr>
          <w:lang w:val="fr-CA"/>
        </w:rPr>
        <w:t xml:space="preserve">: </w:t>
      </w:r>
    </w:p>
    <w:p w14:paraId="1811E172" w14:textId="21C7C59C" w:rsidR="00F91AA4" w:rsidRPr="000B7739" w:rsidRDefault="00CF4950" w:rsidP="000C4154">
      <w:pPr>
        <w:pStyle w:val="04LOLglNew3"/>
        <w:numPr>
          <w:ilvl w:val="2"/>
          <w:numId w:val="42"/>
        </w:numPr>
        <w:rPr>
          <w:lang w:val="fr-CA"/>
        </w:rPr>
      </w:pPr>
      <w:r w:rsidRPr="000B7739">
        <w:rPr>
          <w:lang w:val="fr-CA"/>
        </w:rPr>
        <w:t>dans le cas d</w:t>
      </w:r>
      <w:r w:rsidR="00564B0C" w:rsidRPr="000B7739">
        <w:rPr>
          <w:lang w:val="fr-CA"/>
        </w:rPr>
        <w:t>’</w:t>
      </w:r>
      <w:r w:rsidRPr="000B7739">
        <w:rPr>
          <w:lang w:val="fr-CA"/>
        </w:rPr>
        <w:t xml:space="preserve">une </w:t>
      </w:r>
      <w:r w:rsidR="00F91AA4" w:rsidRPr="000B7739">
        <w:rPr>
          <w:lang w:val="fr-CA"/>
        </w:rPr>
        <w:t xml:space="preserve">société par actions, </w:t>
      </w:r>
      <w:r w:rsidR="006327FF" w:rsidRPr="000B7739">
        <w:rPr>
          <w:lang w:val="fr-CA"/>
        </w:rPr>
        <w:t xml:space="preserve">elle </w:t>
      </w:r>
      <w:r w:rsidR="00247274" w:rsidRPr="000B7739">
        <w:rPr>
          <w:lang w:val="fr-CA"/>
        </w:rPr>
        <w:t xml:space="preserve">a été </w:t>
      </w:r>
      <w:r w:rsidR="00F91AA4" w:rsidRPr="000B7739">
        <w:rPr>
          <w:lang w:val="fr-CA"/>
        </w:rPr>
        <w:t xml:space="preserve">dûment constituée (ou, </w:t>
      </w:r>
      <w:r w:rsidRPr="000B7739">
        <w:rPr>
          <w:lang w:val="fr-CA"/>
        </w:rPr>
        <w:t>dans le cas d</w:t>
      </w:r>
      <w:r w:rsidR="00564B0C" w:rsidRPr="000B7739">
        <w:rPr>
          <w:lang w:val="fr-CA"/>
        </w:rPr>
        <w:t>’</w:t>
      </w:r>
      <w:r w:rsidR="00F91AA4" w:rsidRPr="000B7739">
        <w:rPr>
          <w:lang w:val="fr-CA"/>
        </w:rPr>
        <w:t>une société de</w:t>
      </w:r>
      <w:r w:rsidR="00307AD5" w:rsidRPr="000B7739">
        <w:rPr>
          <w:lang w:val="fr-CA"/>
        </w:rPr>
        <w:t> </w:t>
      </w:r>
      <w:r w:rsidR="00F91AA4" w:rsidRPr="000B7739">
        <w:rPr>
          <w:lang w:val="fr-CA"/>
        </w:rPr>
        <w:t xml:space="preserve">personnes ou </w:t>
      </w:r>
      <w:r w:rsidRPr="000B7739">
        <w:rPr>
          <w:lang w:val="fr-CA"/>
        </w:rPr>
        <w:t>d</w:t>
      </w:r>
      <w:r w:rsidR="00564B0C" w:rsidRPr="000B7739">
        <w:rPr>
          <w:lang w:val="fr-CA"/>
        </w:rPr>
        <w:t>’</w:t>
      </w:r>
      <w:r w:rsidR="00F91AA4" w:rsidRPr="000B7739">
        <w:rPr>
          <w:lang w:val="fr-CA"/>
        </w:rPr>
        <w:t xml:space="preserve">une autre </w:t>
      </w:r>
      <w:r w:rsidR="00247274" w:rsidRPr="000B7739">
        <w:rPr>
          <w:lang w:val="fr-CA"/>
        </w:rPr>
        <w:t>entité juridique</w:t>
      </w:r>
      <w:r w:rsidR="00F91AA4" w:rsidRPr="000B7739">
        <w:rPr>
          <w:lang w:val="fr-CA"/>
        </w:rPr>
        <w:t>, e</w:t>
      </w:r>
      <w:r w:rsidR="006327FF" w:rsidRPr="000B7739">
        <w:rPr>
          <w:lang w:val="fr-CA"/>
        </w:rPr>
        <w:t xml:space="preserve">lle </w:t>
      </w:r>
      <w:r w:rsidR="00247274" w:rsidRPr="000B7739">
        <w:rPr>
          <w:lang w:val="fr-CA"/>
        </w:rPr>
        <w:t xml:space="preserve">a été </w:t>
      </w:r>
      <w:r w:rsidR="00F91AA4" w:rsidRPr="000B7739">
        <w:rPr>
          <w:lang w:val="fr-CA"/>
        </w:rPr>
        <w:t xml:space="preserve">dûment établie ou </w:t>
      </w:r>
      <w:r w:rsidR="00247274" w:rsidRPr="000B7739">
        <w:rPr>
          <w:lang w:val="fr-CA"/>
        </w:rPr>
        <w:t>formée</w:t>
      </w:r>
      <w:r w:rsidR="00F91AA4" w:rsidRPr="000B7739">
        <w:rPr>
          <w:lang w:val="fr-CA"/>
        </w:rPr>
        <w:t>, selon le cas), est</w:t>
      </w:r>
      <w:r w:rsidR="00307AD5" w:rsidRPr="000B7739">
        <w:rPr>
          <w:lang w:val="fr-CA"/>
        </w:rPr>
        <w:t> </w:t>
      </w:r>
      <w:r w:rsidR="00F91AA4" w:rsidRPr="000B7739">
        <w:rPr>
          <w:lang w:val="fr-CA"/>
        </w:rPr>
        <w:t>en</w:t>
      </w:r>
      <w:r w:rsidR="00307AD5" w:rsidRPr="000B7739">
        <w:rPr>
          <w:lang w:val="fr-CA"/>
        </w:rPr>
        <w:t> </w:t>
      </w:r>
      <w:r w:rsidR="00F91AA4" w:rsidRPr="000B7739">
        <w:rPr>
          <w:lang w:val="fr-CA"/>
        </w:rPr>
        <w:t>règle et a le droit d</w:t>
      </w:r>
      <w:r w:rsidR="00564B0C" w:rsidRPr="000B7739">
        <w:rPr>
          <w:lang w:val="fr-CA"/>
        </w:rPr>
        <w:t>’</w:t>
      </w:r>
      <w:r w:rsidR="00F91AA4" w:rsidRPr="000B7739">
        <w:rPr>
          <w:lang w:val="fr-CA"/>
        </w:rPr>
        <w:t>exercer ses activités dans tous les territoires où elle exerce ses activités ou</w:t>
      </w:r>
      <w:r w:rsidR="00307AD5" w:rsidRPr="000B7739">
        <w:rPr>
          <w:lang w:val="fr-CA"/>
        </w:rPr>
        <w:t> </w:t>
      </w:r>
      <w:r w:rsidR="00F91AA4" w:rsidRPr="000B7739">
        <w:rPr>
          <w:lang w:val="fr-CA"/>
        </w:rPr>
        <w:t>détient des éléments d</w:t>
      </w:r>
      <w:r w:rsidR="00564B0C" w:rsidRPr="000B7739">
        <w:rPr>
          <w:lang w:val="fr-CA"/>
        </w:rPr>
        <w:t>’</w:t>
      </w:r>
      <w:r w:rsidR="00F91AA4" w:rsidRPr="000B7739">
        <w:rPr>
          <w:lang w:val="fr-CA"/>
        </w:rPr>
        <w:t>actif;</w:t>
      </w:r>
    </w:p>
    <w:p w14:paraId="010280CD" w14:textId="2CE01AC5" w:rsidR="00F91AA4" w:rsidRPr="000B7739" w:rsidRDefault="00CF4950" w:rsidP="000C4154">
      <w:pPr>
        <w:pStyle w:val="04LOLglNew3"/>
        <w:numPr>
          <w:ilvl w:val="2"/>
          <w:numId w:val="42"/>
        </w:numPr>
        <w:rPr>
          <w:lang w:val="fr-CA"/>
        </w:rPr>
      </w:pPr>
      <w:r w:rsidRPr="000B7739">
        <w:rPr>
          <w:lang w:val="fr-CA"/>
        </w:rPr>
        <w:t>le fait qu</w:t>
      </w:r>
      <w:r w:rsidR="00564B0C" w:rsidRPr="000B7739">
        <w:rPr>
          <w:lang w:val="fr-CA"/>
        </w:rPr>
        <w:t>’</w:t>
      </w:r>
      <w:r w:rsidR="007F466F" w:rsidRPr="000B7739">
        <w:rPr>
          <w:lang w:val="fr-CA"/>
        </w:rPr>
        <w:t>il</w:t>
      </w:r>
      <w:r w:rsidRPr="000B7739">
        <w:rPr>
          <w:lang w:val="fr-CA"/>
        </w:rPr>
        <w:t xml:space="preserve"> signe </w:t>
      </w:r>
      <w:r w:rsidR="00F91AA4" w:rsidRPr="000B7739">
        <w:rPr>
          <w:lang w:val="fr-CA"/>
        </w:rPr>
        <w:t xml:space="preserve">la présente Lettre relative aux facilités et </w:t>
      </w:r>
      <w:r w:rsidRPr="000B7739">
        <w:rPr>
          <w:lang w:val="fr-CA"/>
        </w:rPr>
        <w:t>l</w:t>
      </w:r>
      <w:r w:rsidR="00F91AA4" w:rsidRPr="000B7739">
        <w:rPr>
          <w:lang w:val="fr-CA"/>
        </w:rPr>
        <w:t xml:space="preserve">es </w:t>
      </w:r>
      <w:r w:rsidR="0066117A" w:rsidRPr="000B7739">
        <w:rPr>
          <w:lang w:val="fr-CA"/>
        </w:rPr>
        <w:t xml:space="preserve">autres </w:t>
      </w:r>
      <w:r w:rsidR="00F91AA4" w:rsidRPr="000B7739">
        <w:rPr>
          <w:lang w:val="fr-CA"/>
        </w:rPr>
        <w:t xml:space="preserve">Documents de prêt et contracte </w:t>
      </w:r>
      <w:r w:rsidR="00247274" w:rsidRPr="000B7739">
        <w:rPr>
          <w:lang w:val="fr-CA"/>
        </w:rPr>
        <w:t xml:space="preserve">une </w:t>
      </w:r>
      <w:r w:rsidR="00F91AA4" w:rsidRPr="000B7739">
        <w:rPr>
          <w:lang w:val="fr-CA"/>
        </w:rPr>
        <w:t>dette envers la Banque ne contrevient pas ni ne contreviendra à ce qui suit</w:t>
      </w:r>
      <w:r w:rsidR="00AC4107" w:rsidRPr="000B7739">
        <w:rPr>
          <w:lang w:val="fr-CA"/>
        </w:rPr>
        <w:t xml:space="preserve"> </w:t>
      </w:r>
      <w:r w:rsidR="00F91AA4" w:rsidRPr="000B7739">
        <w:rPr>
          <w:lang w:val="fr-CA"/>
        </w:rPr>
        <w:t xml:space="preserve">: </w:t>
      </w:r>
    </w:p>
    <w:p w14:paraId="5813D64B" w14:textId="5B9254BC" w:rsidR="00F91AA4" w:rsidRPr="00B63BD5" w:rsidRDefault="00F91AA4" w:rsidP="00404E07">
      <w:pPr>
        <w:pStyle w:val="04LOLglNew4"/>
        <w:rPr>
          <w:lang w:val="fr-CA"/>
        </w:rPr>
      </w:pPr>
      <w:r w:rsidRPr="00B63BD5">
        <w:rPr>
          <w:lang w:val="fr-CA"/>
        </w:rPr>
        <w:lastRenderedPageBreak/>
        <w:t>une Exigence</w:t>
      </w:r>
      <w:r w:rsidR="00952F22" w:rsidRPr="00B63BD5">
        <w:rPr>
          <w:lang w:val="fr-CA"/>
        </w:rPr>
        <w:t xml:space="preserve"> juridique</w:t>
      </w:r>
      <w:r w:rsidRPr="00B63BD5">
        <w:rPr>
          <w:lang w:val="fr-CA"/>
        </w:rPr>
        <w:t xml:space="preserve"> </w:t>
      </w:r>
      <w:r w:rsidR="00011082" w:rsidRPr="00B63BD5">
        <w:rPr>
          <w:lang w:val="fr-CA"/>
        </w:rPr>
        <w:t>qui s</w:t>
      </w:r>
      <w:r w:rsidR="00564B0C" w:rsidRPr="00B63BD5">
        <w:rPr>
          <w:lang w:val="fr-CA"/>
        </w:rPr>
        <w:t>’</w:t>
      </w:r>
      <w:r w:rsidR="00011082" w:rsidRPr="00B63BD5">
        <w:rPr>
          <w:lang w:val="fr-CA"/>
        </w:rPr>
        <w:t xml:space="preserve">applique </w:t>
      </w:r>
      <w:r w:rsidR="008121D8" w:rsidRPr="00B63BD5">
        <w:rPr>
          <w:lang w:val="fr-CA"/>
        </w:rPr>
        <w:t>au</w:t>
      </w:r>
      <w:r w:rsidRPr="00B63BD5">
        <w:rPr>
          <w:lang w:val="fr-CA"/>
        </w:rPr>
        <w:t xml:space="preserve"> </w:t>
      </w:r>
      <w:r w:rsidR="008121D8" w:rsidRPr="00B63BD5">
        <w:rPr>
          <w:lang w:val="fr-CA"/>
        </w:rPr>
        <w:t>Bénéficiaire du crédit</w:t>
      </w:r>
      <w:r w:rsidR="00011082" w:rsidRPr="00B63BD5">
        <w:rPr>
          <w:lang w:val="fr-CA"/>
        </w:rPr>
        <w:t xml:space="preserve"> </w:t>
      </w:r>
      <w:r w:rsidRPr="00B63BD5">
        <w:rPr>
          <w:lang w:val="fr-CA"/>
        </w:rPr>
        <w:t>en question;</w:t>
      </w:r>
    </w:p>
    <w:p w14:paraId="0C10E054" w14:textId="01F2423A" w:rsidR="00F91AA4" w:rsidRPr="00B63BD5" w:rsidRDefault="00F91AA4" w:rsidP="00404E07">
      <w:pPr>
        <w:pStyle w:val="04LOLglNew4"/>
        <w:rPr>
          <w:lang w:val="fr-CA"/>
        </w:rPr>
      </w:pPr>
      <w:r w:rsidRPr="00B63BD5">
        <w:rPr>
          <w:lang w:val="fr-CA"/>
        </w:rPr>
        <w:t xml:space="preserve">une disposition prévue </w:t>
      </w:r>
      <w:r w:rsidR="00011082" w:rsidRPr="00B63BD5">
        <w:rPr>
          <w:lang w:val="fr-CA"/>
        </w:rPr>
        <w:t>dans</w:t>
      </w:r>
      <w:r w:rsidRPr="00B63BD5">
        <w:rPr>
          <w:lang w:val="fr-CA"/>
        </w:rPr>
        <w:t xml:space="preserve"> une autre convention de prêt ou de crédit ou</w:t>
      </w:r>
      <w:r w:rsidR="00011082" w:rsidRPr="00B63BD5">
        <w:rPr>
          <w:lang w:val="fr-CA"/>
        </w:rPr>
        <w:t xml:space="preserve"> dans</w:t>
      </w:r>
      <w:r w:rsidRPr="00B63BD5">
        <w:rPr>
          <w:lang w:val="fr-CA"/>
        </w:rPr>
        <w:t xml:space="preserve"> un autre </w:t>
      </w:r>
      <w:r w:rsidR="00247274" w:rsidRPr="00B63BD5">
        <w:rPr>
          <w:lang w:val="fr-CA"/>
        </w:rPr>
        <w:t xml:space="preserve">titre </w:t>
      </w:r>
      <w:r w:rsidRPr="00B63BD5">
        <w:rPr>
          <w:lang w:val="fr-CA"/>
        </w:rPr>
        <w:t>d</w:t>
      </w:r>
      <w:r w:rsidR="00564B0C" w:rsidRPr="00B63BD5">
        <w:rPr>
          <w:lang w:val="fr-CA"/>
        </w:rPr>
        <w:t>’</w:t>
      </w:r>
      <w:r w:rsidRPr="00B63BD5">
        <w:rPr>
          <w:lang w:val="fr-CA"/>
        </w:rPr>
        <w:t xml:space="preserve">emprunt ou contrat auquel </w:t>
      </w:r>
      <w:r w:rsidR="007F466F" w:rsidRPr="00B63BD5">
        <w:rPr>
          <w:lang w:val="fr-CA"/>
        </w:rPr>
        <w:t xml:space="preserve">il </w:t>
      </w:r>
      <w:r w:rsidRPr="00B63BD5">
        <w:rPr>
          <w:lang w:val="fr-CA"/>
        </w:rPr>
        <w:t xml:space="preserve">est partie; </w:t>
      </w:r>
    </w:p>
    <w:p w14:paraId="7E7AB6BA" w14:textId="5C458601" w:rsidR="00F91AA4" w:rsidRPr="00B63BD5" w:rsidRDefault="007F466F" w:rsidP="000B7739">
      <w:pPr>
        <w:pStyle w:val="04LOLglNew3"/>
        <w:rPr>
          <w:lang w:val="fr-CA"/>
        </w:rPr>
      </w:pPr>
      <w:r w:rsidRPr="00B63BD5">
        <w:rPr>
          <w:lang w:val="fr-CA"/>
        </w:rPr>
        <w:t xml:space="preserve">il </w:t>
      </w:r>
      <w:r w:rsidR="00011082" w:rsidRPr="00B63BD5">
        <w:rPr>
          <w:lang w:val="fr-CA"/>
        </w:rPr>
        <w:t xml:space="preserve">a dûment autorisé, signé et remis </w:t>
      </w:r>
      <w:r w:rsidR="00F91AA4" w:rsidRPr="00B63BD5">
        <w:rPr>
          <w:lang w:val="fr-CA"/>
        </w:rPr>
        <w:t xml:space="preserve">la présente Lettre relative aux facilités et les </w:t>
      </w:r>
      <w:r w:rsidR="0066117A" w:rsidRPr="00B63BD5">
        <w:rPr>
          <w:lang w:val="fr-CA"/>
        </w:rPr>
        <w:t xml:space="preserve">autres </w:t>
      </w:r>
      <w:r w:rsidR="00F91AA4" w:rsidRPr="00B63BD5">
        <w:rPr>
          <w:lang w:val="fr-CA"/>
        </w:rPr>
        <w:t>Documents de</w:t>
      </w:r>
      <w:r w:rsidR="00307AD5" w:rsidRPr="00B63BD5">
        <w:rPr>
          <w:lang w:val="fr-CA"/>
        </w:rPr>
        <w:t> </w:t>
      </w:r>
      <w:r w:rsidR="00F91AA4" w:rsidRPr="00B63BD5">
        <w:rPr>
          <w:lang w:val="fr-CA"/>
        </w:rPr>
        <w:t xml:space="preserve">prêt auxquels </w:t>
      </w:r>
      <w:r w:rsidRPr="00B63BD5">
        <w:rPr>
          <w:lang w:val="fr-CA"/>
        </w:rPr>
        <w:t>il</w:t>
      </w:r>
      <w:r w:rsidR="00F91AA4" w:rsidRPr="00B63BD5">
        <w:rPr>
          <w:lang w:val="fr-CA"/>
        </w:rPr>
        <w:t xml:space="preserve"> est partie et</w:t>
      </w:r>
      <w:r w:rsidR="00011082" w:rsidRPr="00B63BD5">
        <w:rPr>
          <w:lang w:val="fr-CA"/>
        </w:rPr>
        <w:t xml:space="preserve"> ces documents</w:t>
      </w:r>
      <w:r w:rsidR="00F91AA4" w:rsidRPr="00B63BD5">
        <w:rPr>
          <w:lang w:val="fr-CA"/>
        </w:rPr>
        <w:t xml:space="preserve"> constituent des obligations </w:t>
      </w:r>
      <w:r w:rsidR="00247274" w:rsidRPr="00B63BD5">
        <w:rPr>
          <w:lang w:val="fr-CA"/>
        </w:rPr>
        <w:t xml:space="preserve">valides qui </w:t>
      </w:r>
      <w:r w:rsidRPr="00B63BD5">
        <w:rPr>
          <w:lang w:val="fr-CA"/>
        </w:rPr>
        <w:t xml:space="preserve">le </w:t>
      </w:r>
      <w:r w:rsidR="00247274" w:rsidRPr="00B63BD5">
        <w:rPr>
          <w:lang w:val="fr-CA"/>
        </w:rPr>
        <w:t xml:space="preserve">lient et sont </w:t>
      </w:r>
      <w:r w:rsidR="00F91AA4" w:rsidRPr="00B63BD5">
        <w:rPr>
          <w:lang w:val="fr-CA"/>
        </w:rPr>
        <w:t>exécutoires</w:t>
      </w:r>
      <w:r w:rsidR="00011082" w:rsidRPr="00B63BD5">
        <w:rPr>
          <w:lang w:val="fr-CA"/>
        </w:rPr>
        <w:t xml:space="preserve"> à son encontre</w:t>
      </w:r>
      <w:r w:rsidR="00CF4950" w:rsidRPr="00B63BD5">
        <w:rPr>
          <w:lang w:val="fr-CA"/>
        </w:rPr>
        <w:t>,</w:t>
      </w:r>
      <w:r w:rsidR="00F91AA4" w:rsidRPr="00B63BD5">
        <w:rPr>
          <w:lang w:val="fr-CA"/>
        </w:rPr>
        <w:t xml:space="preserve"> conformément à leurs modalités respectives;</w:t>
      </w:r>
    </w:p>
    <w:p w14:paraId="44C0F0F6" w14:textId="332ED18E" w:rsidR="00F91AA4" w:rsidRPr="00B63BD5" w:rsidRDefault="007F466F" w:rsidP="000B7739">
      <w:pPr>
        <w:pStyle w:val="04LOLglNew3"/>
        <w:rPr>
          <w:lang w:val="fr-CA"/>
        </w:rPr>
      </w:pPr>
      <w:r w:rsidRPr="00B63BD5">
        <w:rPr>
          <w:lang w:val="fr-CA"/>
        </w:rPr>
        <w:t xml:space="preserve">il </w:t>
      </w:r>
      <w:r w:rsidR="00011082" w:rsidRPr="00B63BD5">
        <w:rPr>
          <w:lang w:val="fr-CA"/>
        </w:rPr>
        <w:t xml:space="preserve">a rempli </w:t>
      </w:r>
      <w:r w:rsidR="00F91AA4" w:rsidRPr="00B63BD5">
        <w:rPr>
          <w:lang w:val="fr-CA"/>
        </w:rPr>
        <w:t xml:space="preserve">toutes les Exigences </w:t>
      </w:r>
      <w:r w:rsidR="00952F22" w:rsidRPr="00B63BD5">
        <w:rPr>
          <w:lang w:val="fr-CA"/>
        </w:rPr>
        <w:t>juridiques</w:t>
      </w:r>
      <w:r w:rsidR="00F91AA4" w:rsidRPr="00B63BD5">
        <w:rPr>
          <w:lang w:val="fr-CA"/>
        </w:rPr>
        <w:t xml:space="preserve"> et</w:t>
      </w:r>
      <w:r w:rsidR="00011082" w:rsidRPr="00B63BD5">
        <w:rPr>
          <w:lang w:val="fr-CA"/>
        </w:rPr>
        <w:t xml:space="preserve"> obtenu</w:t>
      </w:r>
      <w:r w:rsidR="00F91AA4" w:rsidRPr="00B63BD5">
        <w:rPr>
          <w:lang w:val="fr-CA"/>
        </w:rPr>
        <w:t xml:space="preserve"> les autres autorisations, approbations, consentements et ordonnances </w:t>
      </w:r>
      <w:r w:rsidR="00011082" w:rsidRPr="00B63BD5">
        <w:rPr>
          <w:lang w:val="fr-CA"/>
        </w:rPr>
        <w:t xml:space="preserve">nécessaires </w:t>
      </w:r>
      <w:r w:rsidR="00CF4950" w:rsidRPr="00B63BD5">
        <w:rPr>
          <w:lang w:val="fr-CA"/>
        </w:rPr>
        <w:t xml:space="preserve">aux fins de la signature </w:t>
      </w:r>
      <w:r w:rsidR="00F91AA4" w:rsidRPr="00B63BD5">
        <w:rPr>
          <w:lang w:val="fr-CA"/>
        </w:rPr>
        <w:t xml:space="preserve">et </w:t>
      </w:r>
      <w:r w:rsidR="00CF4950" w:rsidRPr="00B63BD5">
        <w:rPr>
          <w:lang w:val="fr-CA"/>
        </w:rPr>
        <w:t>de</w:t>
      </w:r>
      <w:r w:rsidR="00F91AA4" w:rsidRPr="00B63BD5">
        <w:rPr>
          <w:lang w:val="fr-CA"/>
        </w:rPr>
        <w:t xml:space="preserve"> la remise de la présente Lettre relative aux facilités et </w:t>
      </w:r>
      <w:r w:rsidR="00011082" w:rsidRPr="00B63BD5">
        <w:rPr>
          <w:lang w:val="fr-CA"/>
        </w:rPr>
        <w:t xml:space="preserve">des </w:t>
      </w:r>
      <w:r w:rsidR="0066117A" w:rsidRPr="00B63BD5">
        <w:rPr>
          <w:lang w:val="fr-CA"/>
        </w:rPr>
        <w:t xml:space="preserve">autres </w:t>
      </w:r>
      <w:r w:rsidR="00F91AA4" w:rsidRPr="00B63BD5">
        <w:rPr>
          <w:lang w:val="fr-CA"/>
        </w:rPr>
        <w:t xml:space="preserve">Documents de prêt; </w:t>
      </w:r>
    </w:p>
    <w:p w14:paraId="38E8DCB8" w14:textId="3415840D" w:rsidR="00F91AA4" w:rsidRPr="00B63BD5" w:rsidRDefault="00F91AA4" w:rsidP="000B7739">
      <w:pPr>
        <w:pStyle w:val="04LOLglNew3"/>
        <w:rPr>
          <w:lang w:val="fr-CA"/>
        </w:rPr>
      </w:pPr>
      <w:r w:rsidRPr="00B63BD5">
        <w:rPr>
          <w:lang w:val="fr-CA"/>
        </w:rPr>
        <w:t xml:space="preserve">tous les renseignements financiers et autres </w:t>
      </w:r>
      <w:r w:rsidR="00011082" w:rsidRPr="00B63BD5">
        <w:rPr>
          <w:lang w:val="fr-CA"/>
        </w:rPr>
        <w:t>qu</w:t>
      </w:r>
      <w:r w:rsidR="00564B0C" w:rsidRPr="00B63BD5">
        <w:rPr>
          <w:lang w:val="fr-CA"/>
        </w:rPr>
        <w:t>’</w:t>
      </w:r>
      <w:r w:rsidR="007F466F" w:rsidRPr="00B63BD5">
        <w:rPr>
          <w:lang w:val="fr-CA"/>
        </w:rPr>
        <w:t>il</w:t>
      </w:r>
      <w:r w:rsidR="00011082" w:rsidRPr="00B63BD5">
        <w:rPr>
          <w:lang w:val="fr-CA"/>
        </w:rPr>
        <w:t xml:space="preserve"> a </w:t>
      </w:r>
      <w:r w:rsidRPr="00B63BD5">
        <w:rPr>
          <w:lang w:val="fr-CA"/>
        </w:rPr>
        <w:t>fournis à la Banque relativement aux Facilités de</w:t>
      </w:r>
      <w:r w:rsidR="00307AD5" w:rsidRPr="00B63BD5">
        <w:rPr>
          <w:lang w:val="fr-CA"/>
        </w:rPr>
        <w:t> </w:t>
      </w:r>
      <w:r w:rsidRPr="00B63BD5">
        <w:rPr>
          <w:lang w:val="fr-CA"/>
        </w:rPr>
        <w:t xml:space="preserve">crédit sont </w:t>
      </w:r>
      <w:r w:rsidR="00247274" w:rsidRPr="00B63BD5">
        <w:rPr>
          <w:lang w:val="fr-CA"/>
        </w:rPr>
        <w:t xml:space="preserve">exacts et </w:t>
      </w:r>
      <w:r w:rsidRPr="00B63BD5">
        <w:rPr>
          <w:lang w:val="fr-CA"/>
        </w:rPr>
        <w:t>véridiques</w:t>
      </w:r>
      <w:r w:rsidR="00011082" w:rsidRPr="00B63BD5">
        <w:rPr>
          <w:lang w:val="fr-CA"/>
        </w:rPr>
        <w:t>,</w:t>
      </w:r>
      <w:r w:rsidRPr="00B63BD5">
        <w:rPr>
          <w:lang w:val="fr-CA"/>
        </w:rPr>
        <w:t xml:space="preserve"> et </w:t>
      </w:r>
      <w:r w:rsidR="007F466F" w:rsidRPr="00B63BD5">
        <w:rPr>
          <w:lang w:val="fr-CA"/>
        </w:rPr>
        <w:t xml:space="preserve">il </w:t>
      </w:r>
      <w:r w:rsidRPr="00B63BD5">
        <w:rPr>
          <w:lang w:val="fr-CA"/>
        </w:rPr>
        <w:t xml:space="preserve">reconnaît que </w:t>
      </w:r>
      <w:r w:rsidR="00011082" w:rsidRPr="00B63BD5">
        <w:rPr>
          <w:lang w:val="fr-CA"/>
        </w:rPr>
        <w:t xml:space="preserve">la Banque </w:t>
      </w:r>
      <w:r w:rsidR="00247274" w:rsidRPr="00B63BD5">
        <w:rPr>
          <w:lang w:val="fr-CA"/>
        </w:rPr>
        <w:t xml:space="preserve">lui </w:t>
      </w:r>
      <w:r w:rsidR="00011082" w:rsidRPr="00B63BD5">
        <w:rPr>
          <w:lang w:val="fr-CA"/>
        </w:rPr>
        <w:t xml:space="preserve">fait </w:t>
      </w:r>
      <w:r w:rsidRPr="00B63BD5">
        <w:rPr>
          <w:lang w:val="fr-CA"/>
        </w:rPr>
        <w:t>l</w:t>
      </w:r>
      <w:r w:rsidR="00564B0C" w:rsidRPr="00B63BD5">
        <w:rPr>
          <w:lang w:val="fr-CA"/>
        </w:rPr>
        <w:t>’</w:t>
      </w:r>
      <w:r w:rsidRPr="00B63BD5">
        <w:rPr>
          <w:lang w:val="fr-CA"/>
        </w:rPr>
        <w:t xml:space="preserve">offre de crédit </w:t>
      </w:r>
      <w:r w:rsidR="00011082" w:rsidRPr="00B63BD5">
        <w:rPr>
          <w:lang w:val="fr-CA"/>
        </w:rPr>
        <w:t>qui</w:t>
      </w:r>
      <w:r w:rsidRPr="00B63BD5">
        <w:rPr>
          <w:lang w:val="fr-CA"/>
        </w:rPr>
        <w:t xml:space="preserve"> </w:t>
      </w:r>
      <w:r w:rsidR="00011082" w:rsidRPr="00B63BD5">
        <w:rPr>
          <w:lang w:val="fr-CA"/>
        </w:rPr>
        <w:t xml:space="preserve">est </w:t>
      </w:r>
      <w:r w:rsidRPr="00B63BD5">
        <w:rPr>
          <w:lang w:val="fr-CA"/>
        </w:rPr>
        <w:t xml:space="preserve">énoncée dans la présente Lettre relative aux facilités sur la foi </w:t>
      </w:r>
      <w:r w:rsidR="00247274" w:rsidRPr="00B63BD5">
        <w:rPr>
          <w:lang w:val="fr-CA"/>
        </w:rPr>
        <w:t>de l</w:t>
      </w:r>
      <w:r w:rsidR="00564B0C" w:rsidRPr="00B63BD5">
        <w:rPr>
          <w:lang w:val="fr-CA"/>
        </w:rPr>
        <w:t>’</w:t>
      </w:r>
      <w:r w:rsidR="00247274" w:rsidRPr="00B63BD5">
        <w:rPr>
          <w:lang w:val="fr-CA"/>
        </w:rPr>
        <w:t xml:space="preserve">exactitude et de la véracité </w:t>
      </w:r>
      <w:r w:rsidRPr="00B63BD5">
        <w:rPr>
          <w:lang w:val="fr-CA"/>
        </w:rPr>
        <w:t>de</w:t>
      </w:r>
      <w:r w:rsidR="00307AD5" w:rsidRPr="00B63BD5">
        <w:rPr>
          <w:lang w:val="fr-CA"/>
        </w:rPr>
        <w:t> </w:t>
      </w:r>
      <w:r w:rsidRPr="00B63BD5">
        <w:rPr>
          <w:lang w:val="fr-CA"/>
        </w:rPr>
        <w:t>ces</w:t>
      </w:r>
      <w:r w:rsidR="00307AD5" w:rsidRPr="00B63BD5">
        <w:rPr>
          <w:lang w:val="fr-CA"/>
        </w:rPr>
        <w:t> </w:t>
      </w:r>
      <w:r w:rsidRPr="00B63BD5">
        <w:rPr>
          <w:lang w:val="fr-CA"/>
        </w:rPr>
        <w:t xml:space="preserve">renseignements et des déclarations et garanties qui </w:t>
      </w:r>
      <w:r w:rsidR="00247274" w:rsidRPr="00B63BD5">
        <w:rPr>
          <w:lang w:val="fr-CA"/>
        </w:rPr>
        <w:t>sont énoncées ci</w:t>
      </w:r>
      <w:r w:rsidR="00247274" w:rsidRPr="00B63BD5">
        <w:rPr>
          <w:lang w:val="fr-CA"/>
        </w:rPr>
        <w:noBreakHyphen/>
        <w:t>dessus</w:t>
      </w:r>
      <w:r w:rsidR="00A239B4" w:rsidRPr="00B63BD5">
        <w:rPr>
          <w:lang w:val="fr-CA"/>
        </w:rPr>
        <w:t>;</w:t>
      </w:r>
    </w:p>
    <w:p w14:paraId="326D4DCC" w14:textId="0A9E364D" w:rsidR="00F91AA4" w:rsidRPr="00B63BD5" w:rsidRDefault="00F91AA4" w:rsidP="00632863">
      <w:pPr>
        <w:spacing w:after="240"/>
        <w:jc w:val="both"/>
        <w:rPr>
          <w:b/>
          <w:color w:val="00B0F0"/>
          <w:lang w:val="fr-CA"/>
        </w:rPr>
      </w:pPr>
      <w:r w:rsidRPr="00B63BD5">
        <w:rPr>
          <w:b/>
          <w:color w:val="00B0F0"/>
          <w:highlight w:val="yellow"/>
          <w:lang w:val="fr-CA"/>
        </w:rPr>
        <w:t>[</w:t>
      </w:r>
      <w:r w:rsidR="00EC3CB5" w:rsidRPr="00B63BD5">
        <w:rPr>
          <w:b/>
          <w:color w:val="00B0F0"/>
          <w:highlight w:val="yellow"/>
          <w:lang w:val="fr-CA"/>
        </w:rPr>
        <w:t>N.B. :</w:t>
      </w:r>
      <w:r w:rsidRPr="00B63BD5">
        <w:rPr>
          <w:b/>
          <w:color w:val="00B0F0"/>
          <w:highlight w:val="yellow"/>
          <w:lang w:val="fr-CA"/>
        </w:rPr>
        <w:t xml:space="preserve"> </w:t>
      </w:r>
      <w:r w:rsidRPr="00B63BD5">
        <w:rPr>
          <w:b/>
          <w:color w:val="00B0F0"/>
          <w:highlight w:val="yellow"/>
          <w:u w:val="single"/>
          <w:lang w:val="fr-CA"/>
        </w:rPr>
        <w:t>Ne pas</w:t>
      </w:r>
      <w:r w:rsidRPr="00B63BD5">
        <w:rPr>
          <w:b/>
          <w:color w:val="00B0F0"/>
          <w:highlight w:val="yellow"/>
          <w:lang w:val="fr-CA"/>
        </w:rPr>
        <w:t xml:space="preserve"> modifier la </w:t>
      </w:r>
      <w:r w:rsidR="00247274" w:rsidRPr="00B63BD5">
        <w:rPr>
          <w:b/>
          <w:color w:val="00B0F0"/>
          <w:highlight w:val="yellow"/>
          <w:lang w:val="fr-CA"/>
        </w:rPr>
        <w:t xml:space="preserve">substance </w:t>
      </w:r>
      <w:r w:rsidRPr="00B63BD5">
        <w:rPr>
          <w:b/>
          <w:color w:val="00B0F0"/>
          <w:highlight w:val="yellow"/>
          <w:lang w:val="fr-CA"/>
        </w:rPr>
        <w:t xml:space="preserve">de la disposition suivante sans le consentement </w:t>
      </w:r>
      <w:r w:rsidR="0066117A" w:rsidRPr="00B63BD5">
        <w:rPr>
          <w:b/>
          <w:color w:val="00B0F0"/>
          <w:highlight w:val="yellow"/>
          <w:lang w:val="fr-CA"/>
        </w:rPr>
        <w:t xml:space="preserve">écrit </w:t>
      </w:r>
      <w:r w:rsidRPr="00B63BD5">
        <w:rPr>
          <w:b/>
          <w:color w:val="00B0F0"/>
          <w:highlight w:val="yellow"/>
          <w:lang w:val="fr-CA"/>
        </w:rPr>
        <w:t xml:space="preserve">préalable </w:t>
      </w:r>
      <w:r w:rsidR="00B026FA" w:rsidRPr="00B63BD5">
        <w:rPr>
          <w:b/>
          <w:color w:val="00B0F0"/>
          <w:highlight w:val="yellow"/>
          <w:lang w:val="fr-CA"/>
        </w:rPr>
        <w:t>des</w:t>
      </w:r>
      <w:r w:rsidR="00307AD5" w:rsidRPr="00B63BD5">
        <w:rPr>
          <w:b/>
          <w:color w:val="00B0F0"/>
          <w:highlight w:val="yellow"/>
          <w:lang w:val="fr-CA"/>
        </w:rPr>
        <w:t> </w:t>
      </w:r>
      <w:r w:rsidR="00B026FA" w:rsidRPr="00B63BD5">
        <w:rPr>
          <w:b/>
          <w:color w:val="00B0F0"/>
          <w:highlight w:val="yellow"/>
          <w:lang w:val="fr-CA"/>
        </w:rPr>
        <w:t>services juridiques</w:t>
      </w:r>
      <w:r w:rsidRPr="00B63BD5">
        <w:rPr>
          <w:b/>
          <w:color w:val="00B0F0"/>
          <w:highlight w:val="yellow"/>
          <w:lang w:val="fr-CA"/>
        </w:rPr>
        <w:t xml:space="preserve"> de </w:t>
      </w:r>
      <w:r w:rsidR="00011082" w:rsidRPr="00B63BD5">
        <w:rPr>
          <w:b/>
          <w:color w:val="00B0F0"/>
          <w:highlight w:val="yellow"/>
          <w:lang w:val="fr-CA"/>
        </w:rPr>
        <w:t>la Banque</w:t>
      </w:r>
      <w:r w:rsidRPr="00B63BD5">
        <w:rPr>
          <w:b/>
          <w:color w:val="00B0F0"/>
          <w:highlight w:val="yellow"/>
          <w:lang w:val="fr-CA"/>
        </w:rPr>
        <w:t>.]</w:t>
      </w:r>
    </w:p>
    <w:p w14:paraId="264E4B40" w14:textId="57C8E9A8" w:rsidR="00F91AA4" w:rsidRPr="00B63BD5" w:rsidRDefault="00F91AA4" w:rsidP="000B7739">
      <w:pPr>
        <w:pStyle w:val="04LOLglNew3"/>
        <w:rPr>
          <w:lang w:val="fr-CA"/>
        </w:rPr>
      </w:pPr>
      <w:r w:rsidRPr="00B63BD5">
        <w:rPr>
          <w:lang w:val="fr-CA"/>
        </w:rPr>
        <w:t>ni l</w:t>
      </w:r>
      <w:r w:rsidR="00564B0C" w:rsidRPr="00B63BD5">
        <w:rPr>
          <w:lang w:val="fr-CA"/>
        </w:rPr>
        <w:t>’</w:t>
      </w:r>
      <w:r w:rsidRPr="00B63BD5">
        <w:rPr>
          <w:lang w:val="fr-CA"/>
        </w:rPr>
        <w:t>Emprunteur ni ses filiales,</w:t>
      </w:r>
      <w:r w:rsidR="00BA7373" w:rsidRPr="00B63BD5">
        <w:rPr>
          <w:lang w:val="fr-CA"/>
        </w:rPr>
        <w:t xml:space="preserve"> </w:t>
      </w:r>
      <w:r w:rsidR="00F32BD1" w:rsidRPr="00B63BD5">
        <w:rPr>
          <w:lang w:val="fr-CA"/>
        </w:rPr>
        <w:t xml:space="preserve">ses </w:t>
      </w:r>
      <w:r w:rsidRPr="00B63BD5">
        <w:rPr>
          <w:lang w:val="fr-CA"/>
        </w:rPr>
        <w:t>administrateurs,</w:t>
      </w:r>
      <w:r w:rsidR="00BA7373" w:rsidRPr="00B63BD5">
        <w:rPr>
          <w:lang w:val="fr-CA"/>
        </w:rPr>
        <w:t xml:space="preserve"> </w:t>
      </w:r>
      <w:r w:rsidR="00F32BD1" w:rsidRPr="00B63BD5">
        <w:rPr>
          <w:lang w:val="fr-CA"/>
        </w:rPr>
        <w:t xml:space="preserve">ses </w:t>
      </w:r>
      <w:r w:rsidRPr="00B63BD5">
        <w:rPr>
          <w:lang w:val="fr-CA"/>
        </w:rPr>
        <w:t>dirigeants,</w:t>
      </w:r>
      <w:r w:rsidR="00F32BD1" w:rsidRPr="00B63BD5">
        <w:rPr>
          <w:lang w:val="fr-CA"/>
        </w:rPr>
        <w:t xml:space="preserve"> ses</w:t>
      </w:r>
      <w:r w:rsidR="00BA7373" w:rsidRPr="00B63BD5">
        <w:rPr>
          <w:lang w:val="fr-CA"/>
        </w:rPr>
        <w:t xml:space="preserve"> </w:t>
      </w:r>
      <w:r w:rsidRPr="00B63BD5">
        <w:rPr>
          <w:lang w:val="fr-CA"/>
        </w:rPr>
        <w:t>employés,</w:t>
      </w:r>
      <w:r w:rsidR="00F32BD1" w:rsidRPr="00B63BD5">
        <w:rPr>
          <w:lang w:val="fr-CA"/>
        </w:rPr>
        <w:t xml:space="preserve"> ses</w:t>
      </w:r>
      <w:r w:rsidR="00BA7373" w:rsidRPr="00B63BD5">
        <w:rPr>
          <w:lang w:val="fr-CA"/>
        </w:rPr>
        <w:t xml:space="preserve"> </w:t>
      </w:r>
      <w:r w:rsidRPr="00B63BD5">
        <w:rPr>
          <w:lang w:val="fr-CA"/>
        </w:rPr>
        <w:t>mandataires ou</w:t>
      </w:r>
      <w:r w:rsidR="00307AD5" w:rsidRPr="00B63BD5">
        <w:rPr>
          <w:lang w:val="fr-CA"/>
        </w:rPr>
        <w:t> </w:t>
      </w:r>
      <w:r w:rsidR="00F32BD1" w:rsidRPr="00B63BD5">
        <w:rPr>
          <w:lang w:val="fr-CA"/>
        </w:rPr>
        <w:t>les</w:t>
      </w:r>
      <w:r w:rsidRPr="00B63BD5">
        <w:rPr>
          <w:lang w:val="fr-CA"/>
        </w:rPr>
        <w:t xml:space="preserve"> membres de son groupe ne sont des personnes physiques ou morales (et </w:t>
      </w:r>
      <w:r w:rsidR="00247274" w:rsidRPr="00B63BD5">
        <w:rPr>
          <w:lang w:val="fr-CA"/>
        </w:rPr>
        <w:t>ni l</w:t>
      </w:r>
      <w:r w:rsidR="00564B0C" w:rsidRPr="00B63BD5">
        <w:rPr>
          <w:lang w:val="fr-CA"/>
        </w:rPr>
        <w:t>’</w:t>
      </w:r>
      <w:r w:rsidR="00247274" w:rsidRPr="00B63BD5">
        <w:rPr>
          <w:lang w:val="fr-CA"/>
        </w:rPr>
        <w:t>Emprunteur ni</w:t>
      </w:r>
      <w:r w:rsidR="00307AD5" w:rsidRPr="00B63BD5">
        <w:rPr>
          <w:lang w:val="fr-CA"/>
        </w:rPr>
        <w:t> </w:t>
      </w:r>
      <w:r w:rsidR="00247274" w:rsidRPr="00B63BD5">
        <w:rPr>
          <w:lang w:val="fr-CA"/>
        </w:rPr>
        <w:t xml:space="preserve">aucune </w:t>
      </w:r>
      <w:r w:rsidR="00686D8B" w:rsidRPr="00B63BD5">
        <w:rPr>
          <w:lang w:val="fr-CA"/>
        </w:rPr>
        <w:t>autre p</w:t>
      </w:r>
      <w:r w:rsidR="004E0F68" w:rsidRPr="00B63BD5">
        <w:rPr>
          <w:lang w:val="fr-CA"/>
        </w:rPr>
        <w:t>ersonne</w:t>
      </w:r>
      <w:r w:rsidR="00686D8B" w:rsidRPr="00B63BD5">
        <w:rPr>
          <w:lang w:val="fr-CA"/>
        </w:rPr>
        <w:t xml:space="preserve"> physique ou moral</w:t>
      </w:r>
      <w:r w:rsidR="007869D4" w:rsidRPr="00B63BD5">
        <w:rPr>
          <w:lang w:val="fr-CA"/>
        </w:rPr>
        <w:t>e</w:t>
      </w:r>
      <w:r w:rsidR="004E0F68" w:rsidRPr="00B63BD5">
        <w:rPr>
          <w:lang w:val="fr-CA"/>
        </w:rPr>
        <w:t xml:space="preserve"> </w:t>
      </w:r>
      <w:r w:rsidRPr="00B63BD5">
        <w:rPr>
          <w:lang w:val="fr-CA"/>
        </w:rPr>
        <w:t>n</w:t>
      </w:r>
      <w:r w:rsidR="00564B0C" w:rsidRPr="00B63BD5">
        <w:rPr>
          <w:lang w:val="fr-CA"/>
        </w:rPr>
        <w:t>’</w:t>
      </w:r>
      <w:r w:rsidRPr="00B63BD5">
        <w:rPr>
          <w:lang w:val="fr-CA"/>
        </w:rPr>
        <w:t>exploitent</w:t>
      </w:r>
      <w:r w:rsidR="00BA7373" w:rsidRPr="00B63BD5">
        <w:rPr>
          <w:lang w:val="fr-CA"/>
        </w:rPr>
        <w:t xml:space="preserve">, </w:t>
      </w:r>
      <w:r w:rsidR="004E0F68" w:rsidRPr="00B63BD5">
        <w:rPr>
          <w:lang w:val="fr-CA"/>
        </w:rPr>
        <w:t xml:space="preserve">ne </w:t>
      </w:r>
      <w:r w:rsidRPr="00B63BD5">
        <w:rPr>
          <w:lang w:val="fr-CA"/>
        </w:rPr>
        <w:t xml:space="preserve">possèdent, </w:t>
      </w:r>
      <w:r w:rsidR="004E0F68" w:rsidRPr="00B63BD5">
        <w:rPr>
          <w:lang w:val="fr-CA"/>
        </w:rPr>
        <w:t xml:space="preserve">ne </w:t>
      </w:r>
      <w:r w:rsidRPr="00B63BD5">
        <w:rPr>
          <w:lang w:val="fr-CA"/>
        </w:rPr>
        <w:t>détiennent</w:t>
      </w:r>
      <w:r w:rsidR="00BA7373" w:rsidRPr="00B63BD5">
        <w:rPr>
          <w:lang w:val="fr-CA"/>
        </w:rPr>
        <w:t xml:space="preserve"> </w:t>
      </w:r>
      <w:r w:rsidRPr="00B63BD5">
        <w:rPr>
          <w:lang w:val="fr-CA"/>
        </w:rPr>
        <w:t>à</w:t>
      </w:r>
      <w:r w:rsidR="00952856" w:rsidRPr="00B63BD5">
        <w:rPr>
          <w:lang w:val="fr-CA"/>
        </w:rPr>
        <w:t> </w:t>
      </w:r>
      <w:r w:rsidRPr="00B63BD5">
        <w:rPr>
          <w:lang w:val="fr-CA"/>
        </w:rPr>
        <w:t>titre de</w:t>
      </w:r>
      <w:r w:rsidR="00307AD5" w:rsidRPr="00B63BD5">
        <w:rPr>
          <w:lang w:val="fr-CA"/>
        </w:rPr>
        <w:t> </w:t>
      </w:r>
      <w:r w:rsidRPr="00B63BD5">
        <w:rPr>
          <w:lang w:val="fr-CA"/>
        </w:rPr>
        <w:t>propriétaire</w:t>
      </w:r>
      <w:r w:rsidR="00BA7373" w:rsidRPr="00B63BD5">
        <w:rPr>
          <w:lang w:val="fr-CA"/>
        </w:rPr>
        <w:t>s</w:t>
      </w:r>
      <w:r w:rsidRPr="00B63BD5">
        <w:rPr>
          <w:lang w:val="fr-CA"/>
        </w:rPr>
        <w:t>, n</w:t>
      </w:r>
      <w:r w:rsidR="00564B0C" w:rsidRPr="00B63BD5">
        <w:rPr>
          <w:lang w:val="fr-CA"/>
        </w:rPr>
        <w:t>’</w:t>
      </w:r>
      <w:r w:rsidRPr="00B63BD5">
        <w:rPr>
          <w:lang w:val="fr-CA"/>
        </w:rPr>
        <w:t>affrètent ni n</w:t>
      </w:r>
      <w:r w:rsidR="00564B0C" w:rsidRPr="00B63BD5">
        <w:rPr>
          <w:lang w:val="fr-CA"/>
        </w:rPr>
        <w:t>’</w:t>
      </w:r>
      <w:r w:rsidRPr="00B63BD5">
        <w:rPr>
          <w:lang w:val="fr-CA"/>
        </w:rPr>
        <w:t>utilisent un navire)</w:t>
      </w:r>
      <w:r w:rsidR="00A8196A" w:rsidRPr="00B63BD5">
        <w:rPr>
          <w:lang w:val="fr-CA"/>
        </w:rPr>
        <w:t>,</w:t>
      </w:r>
      <w:r w:rsidRPr="00B63BD5">
        <w:rPr>
          <w:lang w:val="fr-CA"/>
        </w:rPr>
        <w:t xml:space="preserve"> </w:t>
      </w:r>
      <w:r w:rsidR="00A8196A" w:rsidRPr="00B63BD5">
        <w:rPr>
          <w:lang w:val="fr-CA"/>
        </w:rPr>
        <w:t>ou n</w:t>
      </w:r>
      <w:r w:rsidR="00564B0C" w:rsidRPr="00B63BD5">
        <w:rPr>
          <w:lang w:val="fr-CA"/>
        </w:rPr>
        <w:t>’</w:t>
      </w:r>
      <w:r w:rsidR="00A8196A" w:rsidRPr="00B63BD5">
        <w:rPr>
          <w:lang w:val="fr-CA"/>
        </w:rPr>
        <w:t xml:space="preserve">appartiennent à une ou à plusieurs Personnes ou ne sont contrôlées par une ou plusieurs de ces Personnes </w:t>
      </w:r>
      <w:r w:rsidRPr="00B63BD5">
        <w:rPr>
          <w:lang w:val="fr-CA"/>
        </w:rPr>
        <w:t>qui (i)</w:t>
      </w:r>
      <w:r w:rsidR="00AC4107" w:rsidRPr="00B63BD5">
        <w:rPr>
          <w:lang w:val="fr-CA"/>
        </w:rPr>
        <w:t xml:space="preserve"> </w:t>
      </w:r>
      <w:r w:rsidR="00247274" w:rsidRPr="00B63BD5">
        <w:rPr>
          <w:lang w:val="fr-CA"/>
        </w:rPr>
        <w:t>font l</w:t>
      </w:r>
      <w:r w:rsidR="00564B0C" w:rsidRPr="00B63BD5">
        <w:rPr>
          <w:lang w:val="fr-CA"/>
        </w:rPr>
        <w:t>’</w:t>
      </w:r>
      <w:r w:rsidR="00247274" w:rsidRPr="00B63BD5">
        <w:rPr>
          <w:lang w:val="fr-CA"/>
        </w:rPr>
        <w:t xml:space="preserve">objet </w:t>
      </w:r>
      <w:r w:rsidRPr="00B63BD5">
        <w:rPr>
          <w:lang w:val="fr-CA"/>
        </w:rPr>
        <w:t xml:space="preserve">de sanctions </w:t>
      </w:r>
      <w:r w:rsidR="00BA7373" w:rsidRPr="00B63BD5">
        <w:rPr>
          <w:lang w:val="fr-CA"/>
        </w:rPr>
        <w:t>imposées</w:t>
      </w:r>
      <w:r w:rsidRPr="00B63BD5">
        <w:rPr>
          <w:lang w:val="fr-CA"/>
        </w:rPr>
        <w:t xml:space="preserve">, administrées ou </w:t>
      </w:r>
      <w:r w:rsidR="00247274" w:rsidRPr="00B63BD5">
        <w:rPr>
          <w:lang w:val="fr-CA"/>
        </w:rPr>
        <w:t xml:space="preserve">appliquées </w:t>
      </w:r>
      <w:r w:rsidR="00164D3A" w:rsidRPr="00B63BD5">
        <w:rPr>
          <w:lang w:val="fr-CA"/>
        </w:rPr>
        <w:t xml:space="preserve">par </w:t>
      </w:r>
      <w:r w:rsidRPr="00B63BD5">
        <w:rPr>
          <w:lang w:val="fr-CA"/>
        </w:rPr>
        <w:t xml:space="preserve">le Bureau du contrôle des avoirs étrangers du Trésor américain, </w:t>
      </w:r>
      <w:r w:rsidR="00164D3A" w:rsidRPr="00B63BD5">
        <w:rPr>
          <w:lang w:val="fr-CA"/>
        </w:rPr>
        <w:t>le</w:t>
      </w:r>
      <w:r w:rsidR="00307AD5" w:rsidRPr="00B63BD5">
        <w:rPr>
          <w:lang w:val="fr-CA"/>
        </w:rPr>
        <w:t> </w:t>
      </w:r>
      <w:r w:rsidRPr="00B63BD5">
        <w:rPr>
          <w:lang w:val="fr-CA"/>
        </w:rPr>
        <w:t>Département d</w:t>
      </w:r>
      <w:r w:rsidR="00564B0C" w:rsidRPr="00B63BD5">
        <w:rPr>
          <w:lang w:val="fr-CA"/>
        </w:rPr>
        <w:t>’</w:t>
      </w:r>
      <w:r w:rsidRPr="00B63BD5">
        <w:rPr>
          <w:lang w:val="fr-CA"/>
        </w:rPr>
        <w:t xml:space="preserve">État américain, </w:t>
      </w:r>
      <w:r w:rsidR="00164D3A" w:rsidRPr="00B63BD5">
        <w:rPr>
          <w:lang w:val="fr-CA"/>
        </w:rPr>
        <w:t>le</w:t>
      </w:r>
      <w:r w:rsidRPr="00B63BD5">
        <w:rPr>
          <w:lang w:val="fr-CA"/>
        </w:rPr>
        <w:t xml:space="preserve"> Conseil de sécurité des Nations Unies, l</w:t>
      </w:r>
      <w:r w:rsidR="00564B0C" w:rsidRPr="00B63BD5">
        <w:rPr>
          <w:lang w:val="fr-CA"/>
        </w:rPr>
        <w:t>’</w:t>
      </w:r>
      <w:r w:rsidRPr="00B63BD5">
        <w:rPr>
          <w:lang w:val="fr-CA"/>
        </w:rPr>
        <w:t xml:space="preserve">Union européenne, </w:t>
      </w:r>
      <w:r w:rsidR="00164D3A" w:rsidRPr="00B63BD5">
        <w:rPr>
          <w:lang w:val="fr-CA"/>
        </w:rPr>
        <w:t>le</w:t>
      </w:r>
      <w:r w:rsidR="00307AD5" w:rsidRPr="00B63BD5">
        <w:rPr>
          <w:lang w:val="fr-CA"/>
        </w:rPr>
        <w:t> </w:t>
      </w:r>
      <w:r w:rsidRPr="00B63BD5">
        <w:rPr>
          <w:lang w:val="fr-CA"/>
        </w:rPr>
        <w:t>Trésor britannique, l</w:t>
      </w:r>
      <w:r w:rsidR="00564B0C" w:rsidRPr="00B63BD5">
        <w:rPr>
          <w:lang w:val="fr-CA"/>
        </w:rPr>
        <w:t>’</w:t>
      </w:r>
      <w:r w:rsidRPr="00B63BD5">
        <w:rPr>
          <w:lang w:val="fr-CA"/>
        </w:rPr>
        <w:t>Autorité monétaire de Hong</w:t>
      </w:r>
      <w:r w:rsidR="00AC4107" w:rsidRPr="00B63BD5">
        <w:rPr>
          <w:lang w:val="fr-CA"/>
        </w:rPr>
        <w:t xml:space="preserve"> </w:t>
      </w:r>
      <w:r w:rsidRPr="00B63BD5">
        <w:rPr>
          <w:lang w:val="fr-CA"/>
        </w:rPr>
        <w:t xml:space="preserve">Kong, </w:t>
      </w:r>
      <w:r w:rsidR="00164D3A" w:rsidRPr="00B63BD5">
        <w:rPr>
          <w:lang w:val="fr-CA"/>
        </w:rPr>
        <w:t>A</w:t>
      </w:r>
      <w:r w:rsidRPr="00B63BD5">
        <w:rPr>
          <w:lang w:val="fr-CA"/>
        </w:rPr>
        <w:t>ffaires mondiales Canada, Affaires étrangères, Commerce et Développement Canada, l</w:t>
      </w:r>
      <w:r w:rsidR="00564B0C" w:rsidRPr="00B63BD5">
        <w:rPr>
          <w:lang w:val="fr-CA"/>
        </w:rPr>
        <w:t>’</w:t>
      </w:r>
      <w:r w:rsidRPr="00B63BD5">
        <w:rPr>
          <w:lang w:val="fr-CA"/>
        </w:rPr>
        <w:t>Agence des services frontaliers du Canada ou</w:t>
      </w:r>
      <w:r w:rsidR="00307AD5" w:rsidRPr="00B63BD5">
        <w:rPr>
          <w:lang w:val="fr-CA"/>
        </w:rPr>
        <w:t> </w:t>
      </w:r>
      <w:r w:rsidRPr="00B63BD5">
        <w:rPr>
          <w:lang w:val="fr-CA"/>
        </w:rPr>
        <w:t>Justice Canada</w:t>
      </w:r>
      <w:r w:rsidR="00247274" w:rsidRPr="00B63BD5">
        <w:rPr>
          <w:lang w:val="fr-CA"/>
        </w:rPr>
        <w:t xml:space="preserve"> ou figurent sur les listes de Personnes expressément désignées ou bloquées tenues</w:t>
      </w:r>
      <w:r w:rsidR="00F32BD1" w:rsidRPr="00B63BD5">
        <w:rPr>
          <w:lang w:val="fr-CA"/>
        </w:rPr>
        <w:t xml:space="preserve"> par l</w:t>
      </w:r>
      <w:r w:rsidR="00564B0C" w:rsidRPr="00B63BD5">
        <w:rPr>
          <w:lang w:val="fr-CA"/>
        </w:rPr>
        <w:t>’</w:t>
      </w:r>
      <w:r w:rsidR="00F32BD1" w:rsidRPr="00B63BD5">
        <w:rPr>
          <w:lang w:val="fr-CA"/>
        </w:rPr>
        <w:t>un ou l</w:t>
      </w:r>
      <w:r w:rsidR="00564B0C" w:rsidRPr="00B63BD5">
        <w:rPr>
          <w:lang w:val="fr-CA"/>
        </w:rPr>
        <w:t>’</w:t>
      </w:r>
      <w:r w:rsidR="00F32BD1" w:rsidRPr="00B63BD5">
        <w:rPr>
          <w:lang w:val="fr-CA"/>
        </w:rPr>
        <w:t>autre de ces organismes</w:t>
      </w:r>
      <w:r w:rsidRPr="00B63BD5">
        <w:rPr>
          <w:lang w:val="fr-CA"/>
        </w:rPr>
        <w:t>, y</w:t>
      </w:r>
      <w:r w:rsidR="00AC4107" w:rsidRPr="00B63BD5">
        <w:rPr>
          <w:lang w:val="fr-CA"/>
        </w:rPr>
        <w:t xml:space="preserve"> </w:t>
      </w:r>
      <w:r w:rsidRPr="00B63BD5">
        <w:rPr>
          <w:lang w:val="fr-CA"/>
        </w:rPr>
        <w:t>compris des dispositions législatives habilitantes ou</w:t>
      </w:r>
      <w:r w:rsidR="00307AD5" w:rsidRPr="00B63BD5">
        <w:rPr>
          <w:lang w:val="fr-CA"/>
        </w:rPr>
        <w:t> </w:t>
      </w:r>
      <w:r w:rsidRPr="00B63BD5">
        <w:rPr>
          <w:lang w:val="fr-CA"/>
        </w:rPr>
        <w:t>des</w:t>
      </w:r>
      <w:r w:rsidR="00307AD5" w:rsidRPr="00B63BD5">
        <w:rPr>
          <w:lang w:val="fr-CA"/>
        </w:rPr>
        <w:t> </w:t>
      </w:r>
      <w:r w:rsidRPr="00B63BD5">
        <w:rPr>
          <w:lang w:val="fr-CA"/>
        </w:rPr>
        <w:t>décrets</w:t>
      </w:r>
      <w:r w:rsidRPr="00B63BD5">
        <w:rPr>
          <w:lang w:val="fr-CA"/>
        </w:rPr>
        <w:noBreakHyphen/>
        <w:t>lois s</w:t>
      </w:r>
      <w:r w:rsidR="00564B0C" w:rsidRPr="00B63BD5">
        <w:rPr>
          <w:lang w:val="fr-CA"/>
        </w:rPr>
        <w:t>’</w:t>
      </w:r>
      <w:r w:rsidRPr="00B63BD5">
        <w:rPr>
          <w:lang w:val="fr-CA"/>
        </w:rPr>
        <w:t xml:space="preserve">y rapportant ou des lois </w:t>
      </w:r>
      <w:r w:rsidR="00CF4950" w:rsidRPr="00B63BD5">
        <w:rPr>
          <w:lang w:val="fr-CA"/>
        </w:rPr>
        <w:t xml:space="preserve">relatives à des </w:t>
      </w:r>
      <w:r w:rsidRPr="00B63BD5">
        <w:rPr>
          <w:lang w:val="fr-CA"/>
        </w:rPr>
        <w:t>sanctions similaires que les États</w:t>
      </w:r>
      <w:r w:rsidRPr="00B63BD5">
        <w:rPr>
          <w:lang w:val="fr-CA"/>
        </w:rPr>
        <w:noBreakHyphen/>
        <w:t>Unis, le</w:t>
      </w:r>
      <w:r w:rsidR="00307AD5" w:rsidRPr="00B63BD5">
        <w:rPr>
          <w:lang w:val="fr-CA"/>
        </w:rPr>
        <w:t> </w:t>
      </w:r>
      <w:r w:rsidRPr="00B63BD5">
        <w:rPr>
          <w:lang w:val="fr-CA"/>
        </w:rPr>
        <w:t>Canada, l</w:t>
      </w:r>
      <w:r w:rsidR="00564B0C" w:rsidRPr="00B63BD5">
        <w:rPr>
          <w:lang w:val="fr-CA"/>
        </w:rPr>
        <w:t>’</w:t>
      </w:r>
      <w:r w:rsidRPr="00B63BD5">
        <w:rPr>
          <w:lang w:val="fr-CA"/>
        </w:rPr>
        <w:t>Union européenne (et l</w:t>
      </w:r>
      <w:r w:rsidR="00564B0C" w:rsidRPr="00B63BD5">
        <w:rPr>
          <w:lang w:val="fr-CA"/>
        </w:rPr>
        <w:t>’</w:t>
      </w:r>
      <w:r w:rsidRPr="00B63BD5">
        <w:rPr>
          <w:lang w:val="fr-CA"/>
        </w:rPr>
        <w:t>un ou l</w:t>
      </w:r>
      <w:r w:rsidR="00564B0C" w:rsidRPr="00B63BD5">
        <w:rPr>
          <w:lang w:val="fr-CA"/>
        </w:rPr>
        <w:t>’</w:t>
      </w:r>
      <w:r w:rsidRPr="00B63BD5">
        <w:rPr>
          <w:lang w:val="fr-CA"/>
        </w:rPr>
        <w:t>autre de</w:t>
      </w:r>
      <w:r w:rsidR="00164D3A" w:rsidRPr="00B63BD5">
        <w:rPr>
          <w:lang w:val="fr-CA"/>
        </w:rPr>
        <w:t xml:space="preserve"> se</w:t>
      </w:r>
      <w:r w:rsidRPr="00B63BD5">
        <w:rPr>
          <w:lang w:val="fr-CA"/>
        </w:rPr>
        <w:t xml:space="preserve">s États membres), le </w:t>
      </w:r>
      <w:r w:rsidR="007F466F" w:rsidRPr="00B63BD5">
        <w:rPr>
          <w:lang w:val="fr-CA"/>
        </w:rPr>
        <w:t>Royaume-Uni,</w:t>
      </w:r>
      <w:r w:rsidRPr="00B63BD5">
        <w:rPr>
          <w:lang w:val="fr-CA"/>
        </w:rPr>
        <w:t xml:space="preserve"> le Conseil de sécurité des Nations Unies, ou un autre organisme législatif des Nations Unies</w:t>
      </w:r>
      <w:r w:rsidR="00CF4950" w:rsidRPr="00B63BD5">
        <w:rPr>
          <w:lang w:val="fr-CA"/>
        </w:rPr>
        <w:t>,</w:t>
      </w:r>
      <w:r w:rsidRPr="00B63BD5">
        <w:rPr>
          <w:lang w:val="fr-CA"/>
        </w:rPr>
        <w:t xml:space="preserve"> ou une autre Autorité gouvernementale pertinente pourrai</w:t>
      </w:r>
      <w:r w:rsidR="00164D3A" w:rsidRPr="00B63BD5">
        <w:rPr>
          <w:lang w:val="fr-CA"/>
        </w:rPr>
        <w:t>en</w:t>
      </w:r>
      <w:r w:rsidRPr="00B63BD5">
        <w:rPr>
          <w:lang w:val="fr-CA"/>
        </w:rPr>
        <w:t>t adopter (collectivement, les «</w:t>
      </w:r>
      <w:r w:rsidR="0094743F" w:rsidRPr="00B63BD5">
        <w:rPr>
          <w:lang w:val="fr-CA"/>
        </w:rPr>
        <w:t> </w:t>
      </w:r>
      <w:r w:rsidRPr="00B63BD5">
        <w:rPr>
          <w:b/>
          <w:lang w:val="fr-CA"/>
        </w:rPr>
        <w:t>Sanctions</w:t>
      </w:r>
      <w:r w:rsidR="0094743F" w:rsidRPr="00B63BD5">
        <w:rPr>
          <w:lang w:val="fr-CA"/>
        </w:rPr>
        <w:t> </w:t>
      </w:r>
      <w:r w:rsidRPr="00B63BD5">
        <w:rPr>
          <w:lang w:val="fr-CA"/>
        </w:rPr>
        <w:t>»)</w:t>
      </w:r>
      <w:r w:rsidR="00CF4950" w:rsidRPr="00B63BD5">
        <w:rPr>
          <w:lang w:val="fr-CA"/>
        </w:rPr>
        <w:t>,</w:t>
      </w:r>
      <w:r w:rsidRPr="00B63BD5">
        <w:rPr>
          <w:lang w:val="fr-CA"/>
        </w:rPr>
        <w:t xml:space="preserve"> ou (ii)</w:t>
      </w:r>
      <w:r w:rsidR="00AC4107" w:rsidRPr="00B63BD5">
        <w:rPr>
          <w:lang w:val="fr-CA"/>
        </w:rPr>
        <w:t xml:space="preserve"> </w:t>
      </w:r>
      <w:r w:rsidRPr="00B63BD5">
        <w:rPr>
          <w:lang w:val="fr-CA"/>
        </w:rPr>
        <w:t>sont situées</w:t>
      </w:r>
      <w:r w:rsidR="00164D3A" w:rsidRPr="00B63BD5">
        <w:rPr>
          <w:lang w:val="fr-CA"/>
        </w:rPr>
        <w:t xml:space="preserve"> ou constituées</w:t>
      </w:r>
      <w:r w:rsidRPr="00B63BD5">
        <w:rPr>
          <w:lang w:val="fr-CA"/>
        </w:rPr>
        <w:t xml:space="preserve"> ou résident dans un pays ou dans un territoire qui </w:t>
      </w:r>
      <w:r w:rsidR="00247274" w:rsidRPr="00B63BD5">
        <w:rPr>
          <w:lang w:val="fr-CA"/>
        </w:rPr>
        <w:t>fait</w:t>
      </w:r>
      <w:r w:rsidR="00164D3A" w:rsidRPr="00B63BD5">
        <w:rPr>
          <w:lang w:val="fr-CA"/>
        </w:rPr>
        <w:t xml:space="preserve">, ou dont le gouvernement </w:t>
      </w:r>
      <w:r w:rsidR="00247274" w:rsidRPr="00B63BD5">
        <w:rPr>
          <w:lang w:val="fr-CA"/>
        </w:rPr>
        <w:t>fait</w:t>
      </w:r>
      <w:r w:rsidR="00686D8B" w:rsidRPr="00B63BD5">
        <w:rPr>
          <w:lang w:val="fr-CA"/>
        </w:rPr>
        <w:t>,</w:t>
      </w:r>
      <w:r w:rsidR="00247274" w:rsidRPr="00B63BD5">
        <w:rPr>
          <w:lang w:val="fr-CA"/>
        </w:rPr>
        <w:t xml:space="preserve"> l</w:t>
      </w:r>
      <w:r w:rsidR="00564B0C" w:rsidRPr="00B63BD5">
        <w:rPr>
          <w:lang w:val="fr-CA"/>
        </w:rPr>
        <w:t>’</w:t>
      </w:r>
      <w:r w:rsidR="00247274" w:rsidRPr="00B63BD5">
        <w:rPr>
          <w:lang w:val="fr-CA"/>
        </w:rPr>
        <w:t xml:space="preserve">objet de </w:t>
      </w:r>
      <w:r w:rsidRPr="00B63BD5">
        <w:rPr>
          <w:lang w:val="fr-CA"/>
        </w:rPr>
        <w:t>Sanctions</w:t>
      </w:r>
      <w:r w:rsidR="00BA7373" w:rsidRPr="00B63BD5">
        <w:rPr>
          <w:lang w:val="fr-CA"/>
        </w:rPr>
        <w:t>,</w:t>
      </w:r>
      <w:r w:rsidR="00164D3A" w:rsidRPr="00B63BD5">
        <w:rPr>
          <w:lang w:val="fr-CA"/>
        </w:rPr>
        <w:t xml:space="preserve"> </w:t>
      </w:r>
      <w:r w:rsidR="00DA0F8B" w:rsidRPr="00B63BD5">
        <w:rPr>
          <w:lang w:val="fr-CA"/>
        </w:rPr>
        <w:t>sauf dans la mesure où cette déclaration et garantie entraînerait la violation d</w:t>
      </w:r>
      <w:r w:rsidR="00564B0C" w:rsidRPr="00B63BD5">
        <w:rPr>
          <w:lang w:val="fr-CA"/>
        </w:rPr>
        <w:t>’</w:t>
      </w:r>
      <w:r w:rsidR="00DA0F8B" w:rsidRPr="00B63BD5">
        <w:rPr>
          <w:lang w:val="fr-CA"/>
        </w:rPr>
        <w:t>une</w:t>
      </w:r>
      <w:r w:rsidR="00615FEA" w:rsidRPr="00B63BD5">
        <w:rPr>
          <w:lang w:val="fr-CA"/>
        </w:rPr>
        <w:t> </w:t>
      </w:r>
      <w:r w:rsidR="00DA0F8B" w:rsidRPr="00B63BD5">
        <w:rPr>
          <w:lang w:val="fr-CA"/>
        </w:rPr>
        <w:t>Exigence juridique applicable, auquel cas le Bénéficiaire du crédit applicable devra en aviser immédiatement la Banque et lui donner les précisions nécessaires</w:t>
      </w:r>
      <w:r w:rsidRPr="00B63BD5">
        <w:rPr>
          <w:lang w:val="fr-CA"/>
        </w:rPr>
        <w:t xml:space="preserve">; </w:t>
      </w:r>
    </w:p>
    <w:p w14:paraId="24A99C4F" w14:textId="5BF1FCA0" w:rsidR="00F91AA4" w:rsidRPr="00B63BD5" w:rsidRDefault="00CF4950" w:rsidP="000B7739">
      <w:pPr>
        <w:pStyle w:val="04LOLglNew3"/>
        <w:rPr>
          <w:lang w:val="fr-CA"/>
        </w:rPr>
      </w:pPr>
      <w:r w:rsidRPr="00B63BD5">
        <w:rPr>
          <w:lang w:val="fr-CA"/>
        </w:rPr>
        <w:t xml:space="preserve">relativement </w:t>
      </w:r>
      <w:r w:rsidR="00F91AA4" w:rsidRPr="00B63BD5">
        <w:rPr>
          <w:lang w:val="fr-CA"/>
        </w:rPr>
        <w:t>à une Lettre de garantie ou à un Crédit documentaire émis par la Banque aux termes de</w:t>
      </w:r>
      <w:r w:rsidR="00615FEA" w:rsidRPr="00B63BD5">
        <w:rPr>
          <w:lang w:val="fr-CA"/>
        </w:rPr>
        <w:t> </w:t>
      </w:r>
      <w:r w:rsidR="00F91AA4" w:rsidRPr="00B63BD5">
        <w:rPr>
          <w:lang w:val="fr-CA"/>
        </w:rPr>
        <w:t>l</w:t>
      </w:r>
      <w:r w:rsidR="00564B0C" w:rsidRPr="00B63BD5">
        <w:rPr>
          <w:lang w:val="fr-CA"/>
        </w:rPr>
        <w:t>’</w:t>
      </w:r>
      <w:r w:rsidR="00F91AA4" w:rsidRPr="00B63BD5">
        <w:rPr>
          <w:lang w:val="fr-CA"/>
        </w:rPr>
        <w:t>une ou l</w:t>
      </w:r>
      <w:r w:rsidR="00564B0C" w:rsidRPr="00B63BD5">
        <w:rPr>
          <w:lang w:val="fr-CA"/>
        </w:rPr>
        <w:t>’</w:t>
      </w:r>
      <w:r w:rsidR="00F91AA4" w:rsidRPr="00B63BD5">
        <w:rPr>
          <w:lang w:val="fr-CA"/>
        </w:rPr>
        <w:t xml:space="preserve">autre des Facilités de crédit, </w:t>
      </w:r>
      <w:r w:rsidR="00900457" w:rsidRPr="00B63BD5">
        <w:rPr>
          <w:lang w:val="fr-CA"/>
        </w:rPr>
        <w:t>l</w:t>
      </w:r>
      <w:r w:rsidR="00564B0C" w:rsidRPr="00B63BD5">
        <w:rPr>
          <w:lang w:val="fr-CA"/>
        </w:rPr>
        <w:t>’</w:t>
      </w:r>
      <w:r w:rsidR="00900457" w:rsidRPr="00B63BD5">
        <w:rPr>
          <w:lang w:val="fr-CA"/>
        </w:rPr>
        <w:t xml:space="preserve">Emprunteur a obtenu </w:t>
      </w:r>
      <w:r w:rsidR="00F91AA4" w:rsidRPr="00B63BD5">
        <w:rPr>
          <w:lang w:val="fr-CA"/>
        </w:rPr>
        <w:t>tous les permis d</w:t>
      </w:r>
      <w:r w:rsidR="00564B0C" w:rsidRPr="00B63BD5">
        <w:rPr>
          <w:lang w:val="fr-CA"/>
        </w:rPr>
        <w:t>’</w:t>
      </w:r>
      <w:r w:rsidR="00F91AA4" w:rsidRPr="00B63BD5">
        <w:rPr>
          <w:lang w:val="fr-CA"/>
        </w:rPr>
        <w:t>importation ou</w:t>
      </w:r>
      <w:r w:rsidR="00615FEA" w:rsidRPr="00B63BD5">
        <w:rPr>
          <w:lang w:val="fr-CA"/>
        </w:rPr>
        <w:t> </w:t>
      </w:r>
      <w:r w:rsidR="00F91AA4" w:rsidRPr="00B63BD5">
        <w:rPr>
          <w:lang w:val="fr-CA"/>
        </w:rPr>
        <w:t>d</w:t>
      </w:r>
      <w:r w:rsidR="00564B0C" w:rsidRPr="00B63BD5">
        <w:rPr>
          <w:lang w:val="fr-CA"/>
        </w:rPr>
        <w:t>’</w:t>
      </w:r>
      <w:r w:rsidR="00F91AA4" w:rsidRPr="00B63BD5">
        <w:rPr>
          <w:lang w:val="fr-CA"/>
        </w:rPr>
        <w:t xml:space="preserve">exportation requis </w:t>
      </w:r>
      <w:r w:rsidR="00900457" w:rsidRPr="00B63BD5">
        <w:rPr>
          <w:lang w:val="fr-CA"/>
        </w:rPr>
        <w:t>qui s</w:t>
      </w:r>
      <w:r w:rsidR="00564B0C" w:rsidRPr="00B63BD5">
        <w:rPr>
          <w:lang w:val="fr-CA"/>
        </w:rPr>
        <w:t>’</w:t>
      </w:r>
      <w:r w:rsidR="00F91AA4" w:rsidRPr="00B63BD5">
        <w:rPr>
          <w:lang w:val="fr-CA"/>
        </w:rPr>
        <w:t>appli</w:t>
      </w:r>
      <w:r w:rsidR="00900457" w:rsidRPr="00B63BD5">
        <w:rPr>
          <w:lang w:val="fr-CA"/>
        </w:rPr>
        <w:t xml:space="preserve">quent </w:t>
      </w:r>
      <w:r w:rsidR="00F91AA4" w:rsidRPr="00B63BD5">
        <w:rPr>
          <w:lang w:val="fr-CA"/>
        </w:rPr>
        <w:t>aux opérations à l</w:t>
      </w:r>
      <w:r w:rsidR="00564B0C" w:rsidRPr="00B63BD5">
        <w:rPr>
          <w:lang w:val="fr-CA"/>
        </w:rPr>
        <w:t>’</w:t>
      </w:r>
      <w:r w:rsidR="00F91AA4" w:rsidRPr="00B63BD5">
        <w:rPr>
          <w:lang w:val="fr-CA"/>
        </w:rPr>
        <w:t>égard desquel</w:t>
      </w:r>
      <w:r w:rsidR="00900457" w:rsidRPr="00B63BD5">
        <w:rPr>
          <w:lang w:val="fr-CA"/>
        </w:rPr>
        <w:t>le</w:t>
      </w:r>
      <w:r w:rsidR="00F91AA4" w:rsidRPr="00B63BD5">
        <w:rPr>
          <w:lang w:val="fr-CA"/>
        </w:rPr>
        <w:t>s la Lettre de garantie ou</w:t>
      </w:r>
      <w:r w:rsidR="00615FEA" w:rsidRPr="00B63BD5">
        <w:rPr>
          <w:lang w:val="fr-CA"/>
        </w:rPr>
        <w:t> </w:t>
      </w:r>
      <w:r w:rsidR="00F91AA4" w:rsidRPr="00B63BD5">
        <w:rPr>
          <w:lang w:val="fr-CA"/>
        </w:rPr>
        <w:t>le</w:t>
      </w:r>
      <w:r w:rsidR="00615FEA" w:rsidRPr="00B63BD5">
        <w:rPr>
          <w:lang w:val="fr-CA"/>
        </w:rPr>
        <w:t> </w:t>
      </w:r>
      <w:r w:rsidR="00F91AA4" w:rsidRPr="00B63BD5">
        <w:rPr>
          <w:lang w:val="fr-CA"/>
        </w:rPr>
        <w:t xml:space="preserve">Crédit documentaire </w:t>
      </w:r>
      <w:r w:rsidR="00900457" w:rsidRPr="00B63BD5">
        <w:rPr>
          <w:lang w:val="fr-CA"/>
        </w:rPr>
        <w:t>est</w:t>
      </w:r>
      <w:r w:rsidR="00F91AA4" w:rsidRPr="00B63BD5">
        <w:rPr>
          <w:lang w:val="fr-CA"/>
        </w:rPr>
        <w:t xml:space="preserve"> émis et </w:t>
      </w:r>
      <w:r w:rsidR="00900457" w:rsidRPr="00B63BD5">
        <w:rPr>
          <w:lang w:val="fr-CA"/>
        </w:rPr>
        <w:t xml:space="preserve">il </w:t>
      </w:r>
      <w:r w:rsidR="00F91AA4" w:rsidRPr="00B63BD5">
        <w:rPr>
          <w:lang w:val="fr-CA"/>
        </w:rPr>
        <w:t>se conforme à tous les égards importants aux lois et</w:t>
      </w:r>
      <w:r w:rsidR="00615FEA" w:rsidRPr="00B63BD5">
        <w:rPr>
          <w:lang w:val="fr-CA"/>
        </w:rPr>
        <w:t> </w:t>
      </w:r>
      <w:r w:rsidR="00F91AA4" w:rsidRPr="00B63BD5">
        <w:rPr>
          <w:lang w:val="fr-CA"/>
        </w:rPr>
        <w:t>aux</w:t>
      </w:r>
      <w:r w:rsidR="00615FEA" w:rsidRPr="00B63BD5">
        <w:rPr>
          <w:lang w:val="fr-CA"/>
        </w:rPr>
        <w:t> </w:t>
      </w:r>
      <w:r w:rsidR="00F91AA4" w:rsidRPr="00B63BD5">
        <w:rPr>
          <w:lang w:val="fr-CA"/>
        </w:rPr>
        <w:t xml:space="preserve">règlements étrangers et nationaux </w:t>
      </w:r>
      <w:r w:rsidR="00900457" w:rsidRPr="00B63BD5">
        <w:rPr>
          <w:lang w:val="fr-CA"/>
        </w:rPr>
        <w:t xml:space="preserve">qui </w:t>
      </w:r>
      <w:r w:rsidR="00F91AA4" w:rsidRPr="00B63BD5">
        <w:rPr>
          <w:lang w:val="fr-CA"/>
        </w:rPr>
        <w:t>s</w:t>
      </w:r>
      <w:r w:rsidR="00564B0C" w:rsidRPr="00B63BD5">
        <w:rPr>
          <w:lang w:val="fr-CA"/>
        </w:rPr>
        <w:t>’</w:t>
      </w:r>
      <w:r w:rsidR="00F91AA4" w:rsidRPr="00B63BD5">
        <w:rPr>
          <w:lang w:val="fr-CA"/>
        </w:rPr>
        <w:t>appliqu</w:t>
      </w:r>
      <w:r w:rsidR="00900457" w:rsidRPr="00B63BD5">
        <w:rPr>
          <w:lang w:val="fr-CA"/>
        </w:rPr>
        <w:t>e</w:t>
      </w:r>
      <w:r w:rsidR="00F91AA4" w:rsidRPr="00B63BD5">
        <w:rPr>
          <w:lang w:val="fr-CA"/>
        </w:rPr>
        <w:t xml:space="preserve">nt </w:t>
      </w:r>
      <w:r w:rsidR="00DC31E2" w:rsidRPr="00B63BD5">
        <w:rPr>
          <w:lang w:val="fr-CA"/>
        </w:rPr>
        <w:t xml:space="preserve">à chaque </w:t>
      </w:r>
      <w:r w:rsidR="00F91AA4" w:rsidRPr="00B63BD5">
        <w:rPr>
          <w:lang w:val="fr-CA"/>
        </w:rPr>
        <w:t>territoire où il exerce ses activités</w:t>
      </w:r>
      <w:r w:rsidR="00FE4E51" w:rsidRPr="00B63BD5">
        <w:rPr>
          <w:lang w:val="fr-CA"/>
        </w:rPr>
        <w:t>,</w:t>
      </w:r>
      <w:r w:rsidR="00F91AA4" w:rsidRPr="00B63BD5">
        <w:rPr>
          <w:lang w:val="fr-CA"/>
        </w:rPr>
        <w:t xml:space="preserve"> à chaque Lettre de garantie ou à chaque Crédit documentaire et à l</w:t>
      </w:r>
      <w:r w:rsidR="00564B0C" w:rsidRPr="00B63BD5">
        <w:rPr>
          <w:lang w:val="fr-CA"/>
        </w:rPr>
        <w:t>’</w:t>
      </w:r>
      <w:r w:rsidR="00F91AA4" w:rsidRPr="00B63BD5">
        <w:rPr>
          <w:lang w:val="fr-CA"/>
        </w:rPr>
        <w:t>objet d</w:t>
      </w:r>
      <w:r w:rsidR="00564B0C" w:rsidRPr="00B63BD5">
        <w:rPr>
          <w:lang w:val="fr-CA"/>
        </w:rPr>
        <w:t>’</w:t>
      </w:r>
      <w:r w:rsidR="00F91AA4" w:rsidRPr="00B63BD5">
        <w:rPr>
          <w:lang w:val="fr-CA"/>
        </w:rPr>
        <w:t>une telle lettre ou</w:t>
      </w:r>
      <w:r w:rsidR="00615FEA" w:rsidRPr="00B63BD5">
        <w:rPr>
          <w:lang w:val="fr-CA"/>
        </w:rPr>
        <w:t> </w:t>
      </w:r>
      <w:r w:rsidR="00F91AA4" w:rsidRPr="00B63BD5">
        <w:rPr>
          <w:lang w:val="fr-CA"/>
        </w:rPr>
        <w:t>d</w:t>
      </w:r>
      <w:r w:rsidR="00564B0C" w:rsidRPr="00B63BD5">
        <w:rPr>
          <w:lang w:val="fr-CA"/>
        </w:rPr>
        <w:t>’</w:t>
      </w:r>
      <w:r w:rsidR="00F91AA4" w:rsidRPr="00B63BD5">
        <w:rPr>
          <w:lang w:val="fr-CA"/>
        </w:rPr>
        <w:t>un</w:t>
      </w:r>
      <w:r w:rsidR="00615FEA" w:rsidRPr="00B63BD5">
        <w:rPr>
          <w:lang w:val="fr-CA"/>
        </w:rPr>
        <w:t> </w:t>
      </w:r>
      <w:r w:rsidR="00F91AA4" w:rsidRPr="00B63BD5">
        <w:rPr>
          <w:lang w:val="fr-CA"/>
        </w:rPr>
        <w:t>tel</w:t>
      </w:r>
      <w:r w:rsidR="00615FEA" w:rsidRPr="00B63BD5">
        <w:rPr>
          <w:lang w:val="fr-CA"/>
        </w:rPr>
        <w:t> </w:t>
      </w:r>
      <w:r w:rsidR="00F91AA4" w:rsidRPr="00B63BD5">
        <w:rPr>
          <w:lang w:val="fr-CA"/>
        </w:rPr>
        <w:t>crédit, y</w:t>
      </w:r>
      <w:r w:rsidR="00AC4107" w:rsidRPr="00B63BD5">
        <w:rPr>
          <w:lang w:val="fr-CA"/>
        </w:rPr>
        <w:t xml:space="preserve"> </w:t>
      </w:r>
      <w:r w:rsidR="00F91AA4" w:rsidRPr="00B63BD5">
        <w:rPr>
          <w:lang w:val="fr-CA"/>
        </w:rPr>
        <w:t>compris, le cas échéant, l</w:t>
      </w:r>
      <w:r w:rsidR="00564B0C" w:rsidRPr="00B63BD5">
        <w:rPr>
          <w:lang w:val="fr-CA"/>
        </w:rPr>
        <w:t>’</w:t>
      </w:r>
      <w:r w:rsidR="00F91AA4" w:rsidRPr="00B63BD5">
        <w:rPr>
          <w:lang w:val="fr-CA"/>
        </w:rPr>
        <w:t>expédition et le financement des marchandises d</w:t>
      </w:r>
      <w:r w:rsidR="00FE4E51" w:rsidRPr="00B63BD5">
        <w:rPr>
          <w:lang w:val="fr-CA"/>
        </w:rPr>
        <w:t xml:space="preserve">écrites </w:t>
      </w:r>
      <w:r w:rsidR="00F91AA4" w:rsidRPr="00B63BD5">
        <w:rPr>
          <w:lang w:val="fr-CA"/>
        </w:rPr>
        <w:t xml:space="preserve">dans la Lettre de garantie ou le Crédit documentaire en question; </w:t>
      </w:r>
    </w:p>
    <w:p w14:paraId="19DE562C" w14:textId="1A86C4F6" w:rsidR="00F91AA4" w:rsidRPr="00B63BD5" w:rsidRDefault="00F91AA4" w:rsidP="00632863">
      <w:pPr>
        <w:keepNext/>
        <w:spacing w:after="240"/>
        <w:jc w:val="both"/>
        <w:rPr>
          <w:b/>
          <w:color w:val="00B0F0"/>
          <w:lang w:val="fr-CA"/>
        </w:rPr>
      </w:pPr>
      <w:r w:rsidRPr="00B63BD5">
        <w:rPr>
          <w:b/>
          <w:color w:val="00B0F0"/>
          <w:highlight w:val="yellow"/>
          <w:lang w:val="fr-CA"/>
        </w:rPr>
        <w:t>[</w:t>
      </w:r>
      <w:r w:rsidR="00EC3CB5" w:rsidRPr="00B63BD5">
        <w:rPr>
          <w:b/>
          <w:color w:val="00B0F0"/>
          <w:highlight w:val="yellow"/>
          <w:lang w:val="fr-CA"/>
        </w:rPr>
        <w:t>N.B. :</w:t>
      </w:r>
      <w:r w:rsidRPr="00B63BD5">
        <w:rPr>
          <w:b/>
          <w:color w:val="00B0F0"/>
          <w:highlight w:val="yellow"/>
          <w:lang w:val="fr-CA"/>
        </w:rPr>
        <w:t xml:space="preserve"> </w:t>
      </w:r>
      <w:r w:rsidRPr="00B63BD5">
        <w:rPr>
          <w:b/>
          <w:color w:val="00B0F0"/>
          <w:highlight w:val="yellow"/>
          <w:u w:val="single"/>
          <w:lang w:val="fr-CA"/>
        </w:rPr>
        <w:t>Ne pas</w:t>
      </w:r>
      <w:r w:rsidRPr="00B63BD5">
        <w:rPr>
          <w:b/>
          <w:color w:val="00B0F0"/>
          <w:highlight w:val="yellow"/>
          <w:lang w:val="fr-CA"/>
        </w:rPr>
        <w:t xml:space="preserve"> modifier la </w:t>
      </w:r>
      <w:r w:rsidR="00BF1722" w:rsidRPr="00B63BD5">
        <w:rPr>
          <w:b/>
          <w:color w:val="00B0F0"/>
          <w:highlight w:val="yellow"/>
          <w:lang w:val="fr-CA"/>
        </w:rPr>
        <w:t>substance</w:t>
      </w:r>
      <w:r w:rsidRPr="00B63BD5">
        <w:rPr>
          <w:b/>
          <w:color w:val="00B0F0"/>
          <w:highlight w:val="yellow"/>
          <w:lang w:val="fr-CA"/>
        </w:rPr>
        <w:t xml:space="preserve"> de la disposition suivante sans le consentement </w:t>
      </w:r>
      <w:r w:rsidR="0066117A" w:rsidRPr="00B63BD5">
        <w:rPr>
          <w:b/>
          <w:color w:val="00B0F0"/>
          <w:highlight w:val="yellow"/>
          <w:lang w:val="fr-CA"/>
        </w:rPr>
        <w:t xml:space="preserve">écrit </w:t>
      </w:r>
      <w:r w:rsidRPr="00B63BD5">
        <w:rPr>
          <w:b/>
          <w:color w:val="00B0F0"/>
          <w:highlight w:val="yellow"/>
          <w:lang w:val="fr-CA"/>
        </w:rPr>
        <w:t xml:space="preserve">préalable </w:t>
      </w:r>
      <w:r w:rsidR="00B026FA" w:rsidRPr="00B63BD5">
        <w:rPr>
          <w:b/>
          <w:color w:val="00B0F0"/>
          <w:highlight w:val="yellow"/>
          <w:lang w:val="fr-CA"/>
        </w:rPr>
        <w:t>des</w:t>
      </w:r>
      <w:r w:rsidR="00615FEA" w:rsidRPr="00B63BD5">
        <w:rPr>
          <w:b/>
          <w:color w:val="00B0F0"/>
          <w:highlight w:val="yellow"/>
          <w:lang w:val="fr-CA"/>
        </w:rPr>
        <w:t> </w:t>
      </w:r>
      <w:r w:rsidR="00B026FA" w:rsidRPr="00B63BD5">
        <w:rPr>
          <w:b/>
          <w:color w:val="00B0F0"/>
          <w:highlight w:val="yellow"/>
          <w:lang w:val="fr-CA"/>
        </w:rPr>
        <w:t>services juridiques</w:t>
      </w:r>
      <w:r w:rsidRPr="00B63BD5">
        <w:rPr>
          <w:b/>
          <w:color w:val="00B0F0"/>
          <w:highlight w:val="yellow"/>
          <w:lang w:val="fr-CA"/>
        </w:rPr>
        <w:t xml:space="preserve"> de </w:t>
      </w:r>
      <w:r w:rsidR="00FE4E51" w:rsidRPr="00B63BD5">
        <w:rPr>
          <w:b/>
          <w:color w:val="00B0F0"/>
          <w:highlight w:val="yellow"/>
          <w:lang w:val="fr-CA"/>
        </w:rPr>
        <w:t>la Banque</w:t>
      </w:r>
      <w:r w:rsidRPr="00B63BD5">
        <w:rPr>
          <w:b/>
          <w:color w:val="00B0F0"/>
          <w:highlight w:val="yellow"/>
          <w:lang w:val="fr-CA"/>
        </w:rPr>
        <w:t>.]</w:t>
      </w:r>
    </w:p>
    <w:p w14:paraId="6F51EE84" w14:textId="09355C07" w:rsidR="00F91AA4" w:rsidRPr="00B63BD5" w:rsidRDefault="00F91AA4" w:rsidP="000B7739">
      <w:pPr>
        <w:pStyle w:val="04LOLglNew3"/>
        <w:rPr>
          <w:lang w:val="fr-CA"/>
        </w:rPr>
      </w:pPr>
      <w:r w:rsidRPr="00B63BD5">
        <w:rPr>
          <w:lang w:val="fr-CA"/>
        </w:rPr>
        <w:t>aucune action d</w:t>
      </w:r>
      <w:r w:rsidR="00564B0C" w:rsidRPr="00B63BD5">
        <w:rPr>
          <w:lang w:val="fr-CA"/>
        </w:rPr>
        <w:t>’</w:t>
      </w:r>
      <w:r w:rsidRPr="00B63BD5">
        <w:rPr>
          <w:lang w:val="fr-CA"/>
        </w:rPr>
        <w:t xml:space="preserve">un </w:t>
      </w:r>
      <w:r w:rsidR="008121D8" w:rsidRPr="00B63BD5">
        <w:rPr>
          <w:lang w:val="fr-CA"/>
        </w:rPr>
        <w:t>Bénéficiaire du crédit</w:t>
      </w:r>
      <w:r w:rsidR="00FE4E51" w:rsidRPr="00B63BD5">
        <w:rPr>
          <w:lang w:val="fr-CA"/>
        </w:rPr>
        <w:t xml:space="preserve"> </w:t>
      </w:r>
      <w:r w:rsidRPr="00B63BD5">
        <w:rPr>
          <w:lang w:val="fr-CA"/>
        </w:rPr>
        <w:t>n</w:t>
      </w:r>
      <w:r w:rsidR="00564B0C" w:rsidRPr="00B63BD5">
        <w:rPr>
          <w:lang w:val="fr-CA"/>
        </w:rPr>
        <w:t>’</w:t>
      </w:r>
      <w:r w:rsidRPr="00B63BD5">
        <w:rPr>
          <w:lang w:val="fr-CA"/>
        </w:rPr>
        <w:t>a été émise ni n</w:t>
      </w:r>
      <w:r w:rsidR="00564B0C" w:rsidRPr="00B63BD5">
        <w:rPr>
          <w:lang w:val="fr-CA"/>
        </w:rPr>
        <w:t>’</w:t>
      </w:r>
      <w:r w:rsidRPr="00B63BD5">
        <w:rPr>
          <w:lang w:val="fr-CA"/>
        </w:rPr>
        <w:t>est détenue à titre d</w:t>
      </w:r>
      <w:r w:rsidR="00564B0C" w:rsidRPr="00B63BD5">
        <w:rPr>
          <w:lang w:val="fr-CA"/>
        </w:rPr>
        <w:t>’</w:t>
      </w:r>
      <w:r w:rsidRPr="00B63BD5">
        <w:rPr>
          <w:lang w:val="fr-CA"/>
        </w:rPr>
        <w:t xml:space="preserve">action au porteur </w:t>
      </w:r>
      <w:r w:rsidR="00DC31E2" w:rsidRPr="00B63BD5">
        <w:rPr>
          <w:lang w:val="fr-CA"/>
        </w:rPr>
        <w:t>ni</w:t>
      </w:r>
      <w:r w:rsidR="00615FEA" w:rsidRPr="00B63BD5">
        <w:rPr>
          <w:lang w:val="fr-CA"/>
        </w:rPr>
        <w:t> </w:t>
      </w:r>
      <w:r w:rsidR="00FE4E51" w:rsidRPr="00B63BD5">
        <w:rPr>
          <w:lang w:val="fr-CA"/>
        </w:rPr>
        <w:t>ne</w:t>
      </w:r>
      <w:r w:rsidR="00615FEA" w:rsidRPr="00B63BD5">
        <w:rPr>
          <w:lang w:val="fr-CA"/>
        </w:rPr>
        <w:t> </w:t>
      </w:r>
      <w:r w:rsidR="00FE4E51" w:rsidRPr="00B63BD5">
        <w:rPr>
          <w:lang w:val="fr-CA"/>
        </w:rPr>
        <w:t xml:space="preserve">peut être </w:t>
      </w:r>
      <w:r w:rsidRPr="00B63BD5">
        <w:rPr>
          <w:lang w:val="fr-CA"/>
        </w:rPr>
        <w:t>converti</w:t>
      </w:r>
      <w:r w:rsidR="00FE4E51" w:rsidRPr="00B63BD5">
        <w:rPr>
          <w:lang w:val="fr-CA"/>
        </w:rPr>
        <w:t xml:space="preserve">e </w:t>
      </w:r>
      <w:r w:rsidRPr="00B63BD5">
        <w:rPr>
          <w:lang w:val="fr-CA"/>
        </w:rPr>
        <w:t>en</w:t>
      </w:r>
      <w:r w:rsidR="00FE4E51" w:rsidRPr="00B63BD5">
        <w:rPr>
          <w:lang w:val="fr-CA"/>
        </w:rPr>
        <w:t xml:space="preserve"> une telle</w:t>
      </w:r>
      <w:r w:rsidRPr="00B63BD5">
        <w:rPr>
          <w:lang w:val="fr-CA"/>
        </w:rPr>
        <w:t xml:space="preserve"> action</w:t>
      </w:r>
      <w:r w:rsidR="00895150" w:rsidRPr="00B63BD5">
        <w:rPr>
          <w:lang w:val="fr-CA"/>
        </w:rPr>
        <w:t>;</w:t>
      </w:r>
      <w:r w:rsidRPr="00B63BD5">
        <w:rPr>
          <w:lang w:val="fr-CA"/>
        </w:rPr>
        <w:t xml:space="preserve"> </w:t>
      </w:r>
    </w:p>
    <w:p w14:paraId="6C898BE1" w14:textId="0C13DB3F" w:rsidR="0066117A" w:rsidRPr="00B63BD5" w:rsidRDefault="0066117A" w:rsidP="000B7739">
      <w:pPr>
        <w:pStyle w:val="04LOLglNew3"/>
        <w:rPr>
          <w:lang w:val="fr-CA"/>
        </w:rPr>
      </w:pPr>
      <w:r w:rsidRPr="00B63BD5">
        <w:rPr>
          <w:lang w:val="fr-CA"/>
        </w:rPr>
        <w:t>il maintient une assurance conforme aux exigences énoncées à l</w:t>
      </w:r>
      <w:r w:rsidR="00564B0C" w:rsidRPr="00B63BD5">
        <w:rPr>
          <w:lang w:val="fr-CA"/>
        </w:rPr>
        <w:t>’</w:t>
      </w:r>
      <w:r w:rsidRPr="00B63BD5">
        <w:rPr>
          <w:lang w:val="fr-CA"/>
        </w:rPr>
        <w:t>article</w:t>
      </w:r>
      <w:r w:rsidR="00B056F9" w:rsidRPr="00B63BD5">
        <w:rPr>
          <w:lang w:val="fr-CA"/>
        </w:rPr>
        <w:t> </w:t>
      </w:r>
      <w:r w:rsidRPr="00B63BD5">
        <w:rPr>
          <w:lang w:val="fr-CA"/>
        </w:rPr>
        <w:t>VI de la présente Annexe</w:t>
      </w:r>
      <w:r w:rsidR="00AC4107" w:rsidRPr="00B63BD5">
        <w:rPr>
          <w:lang w:val="fr-CA"/>
        </w:rPr>
        <w:t xml:space="preserve"> </w:t>
      </w:r>
      <w:r w:rsidRPr="00B63BD5">
        <w:rPr>
          <w:lang w:val="fr-CA"/>
        </w:rPr>
        <w:t>A.</w:t>
      </w:r>
    </w:p>
    <w:p w14:paraId="35383910" w14:textId="56C69868" w:rsidR="009926E7" w:rsidRPr="00B63BD5" w:rsidRDefault="009B0878" w:rsidP="00632863">
      <w:pPr>
        <w:pStyle w:val="ListNumber"/>
        <w:spacing w:after="240"/>
        <w:ind w:left="709"/>
        <w:jc w:val="both"/>
        <w:rPr>
          <w:lang w:val="fr-CA"/>
        </w:rPr>
      </w:pPr>
      <w:r w:rsidRPr="00B63BD5">
        <w:rPr>
          <w:lang w:val="fr-CA"/>
        </w:rPr>
        <w:lastRenderedPageBreak/>
        <w:t>Intérêts et frais</w:t>
      </w:r>
    </w:p>
    <w:p w14:paraId="03C24DAC" w14:textId="0E004EE9" w:rsidR="009926E7" w:rsidRPr="000B7739" w:rsidRDefault="004945B5" w:rsidP="000C4154">
      <w:pPr>
        <w:pStyle w:val="04LOLglNew3"/>
        <w:numPr>
          <w:ilvl w:val="2"/>
          <w:numId w:val="43"/>
        </w:numPr>
        <w:rPr>
          <w:lang w:val="fr-CA"/>
        </w:rPr>
      </w:pPr>
      <w:r w:rsidRPr="000B7739">
        <w:rPr>
          <w:lang w:val="fr-CA"/>
        </w:rPr>
        <w:t>Sauf disposition expresse à l</w:t>
      </w:r>
      <w:r w:rsidR="00564B0C" w:rsidRPr="000B7739">
        <w:rPr>
          <w:lang w:val="fr-CA"/>
        </w:rPr>
        <w:t>’</w:t>
      </w:r>
      <w:r w:rsidRPr="000B7739">
        <w:rPr>
          <w:lang w:val="fr-CA"/>
        </w:rPr>
        <w:t xml:space="preserve">effet contraire, </w:t>
      </w:r>
      <w:r w:rsidR="009B0878" w:rsidRPr="000B7739">
        <w:rPr>
          <w:lang w:val="fr-CA"/>
        </w:rPr>
        <w:t>l</w:t>
      </w:r>
      <w:r w:rsidR="00564B0C" w:rsidRPr="000B7739">
        <w:rPr>
          <w:lang w:val="fr-CA"/>
        </w:rPr>
        <w:t>’</w:t>
      </w:r>
      <w:r w:rsidR="009B0878" w:rsidRPr="000B7739">
        <w:rPr>
          <w:lang w:val="fr-CA"/>
        </w:rPr>
        <w:t xml:space="preserve">intérêt sur le solde quotidien du capital avancé </w:t>
      </w:r>
      <w:r w:rsidR="00DC31E2" w:rsidRPr="000B7739">
        <w:rPr>
          <w:lang w:val="fr-CA"/>
        </w:rPr>
        <w:t>sur</w:t>
      </w:r>
      <w:r w:rsidR="00BF50CD">
        <w:rPr>
          <w:lang w:val="fr-CA"/>
        </w:rPr>
        <w:t xml:space="preserve"> </w:t>
      </w:r>
      <w:r w:rsidR="00DC31E2" w:rsidRPr="000B7739">
        <w:rPr>
          <w:lang w:val="fr-CA"/>
        </w:rPr>
        <w:t>les</w:t>
      </w:r>
      <w:r w:rsidR="00BF50CD">
        <w:rPr>
          <w:lang w:val="fr-CA"/>
        </w:rPr>
        <w:t xml:space="preserve"> </w:t>
      </w:r>
      <w:r w:rsidR="009B0878" w:rsidRPr="000B7739">
        <w:rPr>
          <w:lang w:val="fr-CA"/>
        </w:rPr>
        <w:t xml:space="preserve">Facilités de crédit </w:t>
      </w:r>
      <w:r w:rsidR="00DC31E2" w:rsidRPr="000B7739">
        <w:rPr>
          <w:lang w:val="fr-CA"/>
        </w:rPr>
        <w:t>court et est payable par l</w:t>
      </w:r>
      <w:r w:rsidR="00564B0C" w:rsidRPr="000B7739">
        <w:rPr>
          <w:lang w:val="fr-CA"/>
        </w:rPr>
        <w:t>’</w:t>
      </w:r>
      <w:r w:rsidR="00DC31E2" w:rsidRPr="000B7739">
        <w:rPr>
          <w:lang w:val="fr-CA"/>
        </w:rPr>
        <w:t xml:space="preserve">Emprunteur, comme il est énoncé dans </w:t>
      </w:r>
      <w:r w:rsidR="009B0878" w:rsidRPr="000B7739">
        <w:rPr>
          <w:lang w:val="fr-CA"/>
        </w:rPr>
        <w:t>la présente Lettre relative aux facilités tant avant qu</w:t>
      </w:r>
      <w:r w:rsidR="00564B0C" w:rsidRPr="000B7739">
        <w:rPr>
          <w:lang w:val="fr-CA"/>
        </w:rPr>
        <w:t>’</w:t>
      </w:r>
      <w:r w:rsidR="009B0878" w:rsidRPr="000B7739">
        <w:rPr>
          <w:lang w:val="fr-CA"/>
        </w:rPr>
        <w:t>après</w:t>
      </w:r>
      <w:r w:rsidRPr="000B7739">
        <w:rPr>
          <w:lang w:val="fr-CA"/>
        </w:rPr>
        <w:t xml:space="preserve"> une </w:t>
      </w:r>
      <w:r w:rsidR="009B0878" w:rsidRPr="000B7739">
        <w:rPr>
          <w:lang w:val="fr-CA"/>
        </w:rPr>
        <w:t xml:space="preserve">demande de </w:t>
      </w:r>
      <w:r w:rsidRPr="000B7739">
        <w:rPr>
          <w:lang w:val="fr-CA"/>
        </w:rPr>
        <w:t>paiement</w:t>
      </w:r>
      <w:r w:rsidR="009B0878" w:rsidRPr="000B7739">
        <w:rPr>
          <w:lang w:val="fr-CA"/>
        </w:rPr>
        <w:t xml:space="preserve">, un défaut, </w:t>
      </w:r>
      <w:r w:rsidRPr="000B7739">
        <w:rPr>
          <w:lang w:val="fr-CA"/>
        </w:rPr>
        <w:t xml:space="preserve">une </w:t>
      </w:r>
      <w:r w:rsidR="009B0878" w:rsidRPr="000B7739">
        <w:rPr>
          <w:lang w:val="fr-CA"/>
        </w:rPr>
        <w:t>échéance ou</w:t>
      </w:r>
      <w:r w:rsidR="00615FEA" w:rsidRPr="000B7739">
        <w:rPr>
          <w:lang w:val="fr-CA"/>
        </w:rPr>
        <w:t> </w:t>
      </w:r>
      <w:r w:rsidR="009B0878" w:rsidRPr="000B7739">
        <w:rPr>
          <w:lang w:val="fr-CA"/>
        </w:rPr>
        <w:t xml:space="preserve">un jugement </w:t>
      </w:r>
      <w:r w:rsidR="00951120" w:rsidRPr="000B7739">
        <w:rPr>
          <w:lang w:val="fr-CA"/>
        </w:rPr>
        <w:t>et jusqu</w:t>
      </w:r>
      <w:r w:rsidR="00564B0C" w:rsidRPr="000B7739">
        <w:rPr>
          <w:lang w:val="fr-CA"/>
        </w:rPr>
        <w:t>’</w:t>
      </w:r>
      <w:r w:rsidR="00951120" w:rsidRPr="000B7739">
        <w:rPr>
          <w:lang w:val="fr-CA"/>
        </w:rPr>
        <w:t xml:space="preserve">au </w:t>
      </w:r>
      <w:r w:rsidR="003A5B33" w:rsidRPr="000B7739">
        <w:rPr>
          <w:lang w:val="fr-CA"/>
        </w:rPr>
        <w:t>paiement</w:t>
      </w:r>
      <w:r w:rsidR="00951120" w:rsidRPr="000B7739">
        <w:rPr>
          <w:lang w:val="fr-CA"/>
        </w:rPr>
        <w:t xml:space="preserve"> intégral irrévocable.</w:t>
      </w:r>
    </w:p>
    <w:p w14:paraId="502A81A5" w14:textId="7111DFEC" w:rsidR="00951120" w:rsidRPr="000B7739" w:rsidRDefault="00951120" w:rsidP="000C4154">
      <w:pPr>
        <w:pStyle w:val="04LOLglNew3"/>
        <w:numPr>
          <w:ilvl w:val="2"/>
          <w:numId w:val="43"/>
        </w:numPr>
        <w:rPr>
          <w:lang w:val="fr-CA"/>
        </w:rPr>
      </w:pPr>
      <w:r w:rsidRPr="000B7739">
        <w:rPr>
          <w:lang w:val="fr-CA"/>
        </w:rPr>
        <w:t>Si l</w:t>
      </w:r>
      <w:r w:rsidR="00564B0C" w:rsidRPr="000B7739">
        <w:rPr>
          <w:lang w:val="fr-CA"/>
        </w:rPr>
        <w:t>’</w:t>
      </w:r>
      <w:r w:rsidRPr="000B7739">
        <w:rPr>
          <w:lang w:val="fr-CA"/>
        </w:rPr>
        <w:t xml:space="preserve">Emprunteur rembourse </w:t>
      </w:r>
      <w:r w:rsidR="00DC31E2" w:rsidRPr="000B7739">
        <w:rPr>
          <w:lang w:val="fr-CA"/>
        </w:rPr>
        <w:t xml:space="preserve">une </w:t>
      </w:r>
      <w:r w:rsidR="004945B5" w:rsidRPr="000B7739">
        <w:rPr>
          <w:lang w:val="fr-CA"/>
        </w:rPr>
        <w:t xml:space="preserve">partie </w:t>
      </w:r>
      <w:r w:rsidR="00DC31E2" w:rsidRPr="000B7739">
        <w:rPr>
          <w:lang w:val="fr-CA"/>
        </w:rPr>
        <w:t>d</w:t>
      </w:r>
      <w:r w:rsidRPr="000B7739">
        <w:rPr>
          <w:lang w:val="fr-CA"/>
        </w:rPr>
        <w:t>es Facilités de crédit portant intérêt au Taux fixe en dollars canadiens de la Banque</w:t>
      </w:r>
      <w:r w:rsidR="00206160" w:rsidRPr="000B7739">
        <w:rPr>
          <w:lang w:val="fr-CA"/>
        </w:rPr>
        <w:t>,</w:t>
      </w:r>
      <w:r w:rsidR="004945B5" w:rsidRPr="000B7739">
        <w:rPr>
          <w:lang w:val="fr-CA"/>
        </w:rPr>
        <w:t xml:space="preserve"> </w:t>
      </w:r>
      <w:r w:rsidRPr="000B7739">
        <w:rPr>
          <w:lang w:val="fr-CA"/>
        </w:rPr>
        <w:t>au Taux fixe en dollars américains de la Banque</w:t>
      </w:r>
      <w:r w:rsidR="00206160" w:rsidRPr="000B7739">
        <w:rPr>
          <w:lang w:val="fr-CA"/>
        </w:rPr>
        <w:t>, au Taux de référence SOFR (pour les Prêts au taux SOFR à terme)</w:t>
      </w:r>
      <w:r w:rsidR="00E73AD8">
        <w:rPr>
          <w:lang w:val="fr-CA"/>
        </w:rPr>
        <w:t xml:space="preserve"> ou</w:t>
      </w:r>
      <w:r w:rsidR="001E2AF7" w:rsidRPr="000B7739">
        <w:rPr>
          <w:lang w:val="fr-CA"/>
        </w:rPr>
        <w:t xml:space="preserve"> </w:t>
      </w:r>
      <w:r w:rsidR="00206160" w:rsidRPr="000B7739">
        <w:rPr>
          <w:lang w:val="fr-CA"/>
        </w:rPr>
        <w:t xml:space="preserve">au taux CDOR </w:t>
      </w:r>
      <w:r w:rsidRPr="000B7739">
        <w:rPr>
          <w:lang w:val="fr-CA"/>
        </w:rPr>
        <w:t>à une date autre que l</w:t>
      </w:r>
      <w:r w:rsidR="00DA0F8B" w:rsidRPr="000B7739">
        <w:rPr>
          <w:lang w:val="fr-CA"/>
        </w:rPr>
        <w:t>a date d</w:t>
      </w:r>
      <w:r w:rsidR="00564B0C" w:rsidRPr="000B7739">
        <w:rPr>
          <w:lang w:val="fr-CA"/>
        </w:rPr>
        <w:t>’</w:t>
      </w:r>
      <w:r w:rsidRPr="000B7739">
        <w:rPr>
          <w:lang w:val="fr-CA"/>
        </w:rPr>
        <w:t>expiration de</w:t>
      </w:r>
      <w:r w:rsidR="00BF50CD">
        <w:rPr>
          <w:lang w:val="fr-CA"/>
        </w:rPr>
        <w:t xml:space="preserve"> </w:t>
      </w:r>
      <w:r w:rsidRPr="000B7739">
        <w:rPr>
          <w:lang w:val="fr-CA"/>
        </w:rPr>
        <w:t>la</w:t>
      </w:r>
      <w:r w:rsidR="00BF50CD">
        <w:rPr>
          <w:lang w:val="fr-CA"/>
        </w:rPr>
        <w:t xml:space="preserve"> </w:t>
      </w:r>
      <w:r w:rsidR="004E0F68" w:rsidRPr="000B7739">
        <w:rPr>
          <w:lang w:val="fr-CA"/>
        </w:rPr>
        <w:t>P</w:t>
      </w:r>
      <w:r w:rsidRPr="000B7739">
        <w:rPr>
          <w:lang w:val="fr-CA"/>
        </w:rPr>
        <w:t>ériode d</w:t>
      </w:r>
      <w:r w:rsidR="00564B0C" w:rsidRPr="000B7739">
        <w:rPr>
          <w:lang w:val="fr-CA"/>
        </w:rPr>
        <w:t>’</w:t>
      </w:r>
      <w:r w:rsidRPr="000B7739">
        <w:rPr>
          <w:lang w:val="fr-CA"/>
        </w:rPr>
        <w:t xml:space="preserve">intérêt choisie ou la Période </w:t>
      </w:r>
      <w:r w:rsidR="00206160" w:rsidRPr="000B7739">
        <w:rPr>
          <w:lang w:val="fr-CA"/>
        </w:rPr>
        <w:t>SOFR</w:t>
      </w:r>
      <w:r w:rsidR="00E73AD8">
        <w:rPr>
          <w:lang w:val="fr-CA"/>
        </w:rPr>
        <w:t xml:space="preserve"> ou</w:t>
      </w:r>
      <w:r w:rsidR="00206160" w:rsidRPr="000B7739">
        <w:rPr>
          <w:lang w:val="fr-CA"/>
        </w:rPr>
        <w:t xml:space="preserve"> CDOR</w:t>
      </w:r>
      <w:r w:rsidRPr="000B7739">
        <w:rPr>
          <w:lang w:val="fr-CA"/>
        </w:rPr>
        <w:t xml:space="preserve">, selon le cas, </w:t>
      </w:r>
      <w:r w:rsidR="00DC31E2" w:rsidRPr="000B7739">
        <w:rPr>
          <w:lang w:val="fr-CA"/>
        </w:rPr>
        <w:t>que ce soit</w:t>
      </w:r>
      <w:r w:rsidR="00B97375" w:rsidRPr="000B7739">
        <w:rPr>
          <w:lang w:val="fr-CA"/>
        </w:rPr>
        <w:t xml:space="preserve"> suivant</w:t>
      </w:r>
      <w:r w:rsidR="00DC31E2" w:rsidRPr="000B7739">
        <w:rPr>
          <w:lang w:val="fr-CA"/>
        </w:rPr>
        <w:t xml:space="preserve"> </w:t>
      </w:r>
      <w:r w:rsidRPr="000B7739">
        <w:rPr>
          <w:lang w:val="fr-CA"/>
        </w:rPr>
        <w:t>une</w:t>
      </w:r>
      <w:r w:rsidR="00BF50CD">
        <w:rPr>
          <w:lang w:val="fr-CA"/>
        </w:rPr>
        <w:t xml:space="preserve"> </w:t>
      </w:r>
      <w:r w:rsidRPr="000B7739">
        <w:rPr>
          <w:lang w:val="fr-CA"/>
        </w:rPr>
        <w:t xml:space="preserve">demande de remboursement faite par la Banque ou </w:t>
      </w:r>
      <w:r w:rsidR="004945B5" w:rsidRPr="000B7739">
        <w:rPr>
          <w:lang w:val="fr-CA"/>
        </w:rPr>
        <w:t>pour une autre raison</w:t>
      </w:r>
      <w:r w:rsidRPr="000B7739">
        <w:rPr>
          <w:lang w:val="fr-CA"/>
        </w:rPr>
        <w:t>, il devra verser à</w:t>
      </w:r>
      <w:r w:rsidR="00BF50CD">
        <w:rPr>
          <w:lang w:val="fr-CA"/>
        </w:rPr>
        <w:t xml:space="preserve"> </w:t>
      </w:r>
      <w:r w:rsidRPr="000B7739">
        <w:rPr>
          <w:lang w:val="fr-CA"/>
        </w:rPr>
        <w:t>la</w:t>
      </w:r>
      <w:r w:rsidR="00BF50CD">
        <w:rPr>
          <w:lang w:val="fr-CA"/>
        </w:rPr>
        <w:t xml:space="preserve"> </w:t>
      </w:r>
      <w:r w:rsidRPr="000B7739">
        <w:rPr>
          <w:lang w:val="fr-CA"/>
        </w:rPr>
        <w:t xml:space="preserve">Banque </w:t>
      </w:r>
      <w:r w:rsidR="004945B5" w:rsidRPr="000B7739">
        <w:rPr>
          <w:lang w:val="fr-CA"/>
        </w:rPr>
        <w:t xml:space="preserve">au même moment </w:t>
      </w:r>
      <w:r w:rsidRPr="000B7739">
        <w:rPr>
          <w:lang w:val="fr-CA"/>
        </w:rPr>
        <w:t>l</w:t>
      </w:r>
      <w:r w:rsidR="00853401" w:rsidRPr="000B7739">
        <w:rPr>
          <w:lang w:val="fr-CA"/>
        </w:rPr>
        <w:t>a</w:t>
      </w:r>
      <w:r w:rsidRPr="000B7739">
        <w:rPr>
          <w:lang w:val="fr-CA"/>
        </w:rPr>
        <w:t xml:space="preserve"> plus élevé</w:t>
      </w:r>
      <w:r w:rsidR="00853401" w:rsidRPr="000B7739">
        <w:rPr>
          <w:lang w:val="fr-CA"/>
        </w:rPr>
        <w:t>e</w:t>
      </w:r>
      <w:r w:rsidRPr="000B7739">
        <w:rPr>
          <w:lang w:val="fr-CA"/>
        </w:rPr>
        <w:t xml:space="preserve"> des</w:t>
      </w:r>
      <w:r w:rsidR="004945B5" w:rsidRPr="000B7739">
        <w:rPr>
          <w:lang w:val="fr-CA"/>
        </w:rPr>
        <w:t xml:space="preserve"> </w:t>
      </w:r>
      <w:r w:rsidR="00853401" w:rsidRPr="000B7739">
        <w:rPr>
          <w:lang w:val="fr-CA"/>
        </w:rPr>
        <w:t>sommes</w:t>
      </w:r>
      <w:r w:rsidRPr="000B7739">
        <w:rPr>
          <w:lang w:val="fr-CA"/>
        </w:rPr>
        <w:t xml:space="preserve"> suivant</w:t>
      </w:r>
      <w:r w:rsidR="00853401" w:rsidRPr="000B7739">
        <w:rPr>
          <w:lang w:val="fr-CA"/>
        </w:rPr>
        <w:t>e</w:t>
      </w:r>
      <w:r w:rsidRPr="000B7739">
        <w:rPr>
          <w:lang w:val="fr-CA"/>
        </w:rPr>
        <w:t>s</w:t>
      </w:r>
      <w:r w:rsidR="00AC4107" w:rsidRPr="000B7739">
        <w:rPr>
          <w:lang w:val="fr-CA"/>
        </w:rPr>
        <w:t xml:space="preserve"> </w:t>
      </w:r>
      <w:r w:rsidRPr="000B7739">
        <w:rPr>
          <w:lang w:val="fr-CA"/>
        </w:rPr>
        <w:t xml:space="preserve">: </w:t>
      </w:r>
    </w:p>
    <w:p w14:paraId="09BC7FB2" w14:textId="2B318FF0" w:rsidR="00951120" w:rsidRPr="00B63BD5" w:rsidRDefault="00951120" w:rsidP="00404E07">
      <w:pPr>
        <w:pStyle w:val="04LOLglNew4"/>
        <w:rPr>
          <w:lang w:val="fr-CA"/>
        </w:rPr>
      </w:pPr>
      <w:r w:rsidRPr="00B63BD5">
        <w:rPr>
          <w:lang w:val="fr-CA"/>
        </w:rPr>
        <w:t>l</w:t>
      </w:r>
      <w:r w:rsidR="00853401" w:rsidRPr="00B63BD5">
        <w:rPr>
          <w:lang w:val="fr-CA"/>
        </w:rPr>
        <w:t>a somme correspondant à trois mois d</w:t>
      </w:r>
      <w:r w:rsidR="00564B0C" w:rsidRPr="00B63BD5">
        <w:rPr>
          <w:lang w:val="fr-CA"/>
        </w:rPr>
        <w:t>’</w:t>
      </w:r>
      <w:r w:rsidRPr="00B63BD5">
        <w:rPr>
          <w:lang w:val="fr-CA"/>
        </w:rPr>
        <w:t xml:space="preserve">intérêt sur la tranche remboursée par anticipation au </w:t>
      </w:r>
      <w:r w:rsidR="0066117A" w:rsidRPr="00B63BD5">
        <w:rPr>
          <w:lang w:val="fr-CA"/>
        </w:rPr>
        <w:t>taux d</w:t>
      </w:r>
      <w:r w:rsidR="00564B0C" w:rsidRPr="00B63BD5">
        <w:rPr>
          <w:lang w:val="fr-CA"/>
        </w:rPr>
        <w:t>’</w:t>
      </w:r>
      <w:r w:rsidR="0066117A" w:rsidRPr="00B63BD5">
        <w:rPr>
          <w:lang w:val="fr-CA"/>
        </w:rPr>
        <w:t>intérêt</w:t>
      </w:r>
      <w:r w:rsidR="00CD3AB4" w:rsidRPr="00B63BD5">
        <w:rPr>
          <w:lang w:val="fr-CA"/>
        </w:rPr>
        <w:t xml:space="preserve"> applicable </w:t>
      </w:r>
      <w:r w:rsidR="0066117A" w:rsidRPr="00B63BD5">
        <w:rPr>
          <w:lang w:val="fr-CA"/>
        </w:rPr>
        <w:t>à la Facilité de crédit en question</w:t>
      </w:r>
      <w:r w:rsidRPr="00B63BD5">
        <w:rPr>
          <w:lang w:val="fr-CA"/>
        </w:rPr>
        <w:t xml:space="preserve">; </w:t>
      </w:r>
    </w:p>
    <w:p w14:paraId="1F7B8098" w14:textId="055563EF" w:rsidR="00951120" w:rsidRPr="00B63BD5" w:rsidRDefault="00951120" w:rsidP="00404E07">
      <w:pPr>
        <w:pStyle w:val="04LOLglNew4"/>
        <w:rPr>
          <w:lang w:val="fr-CA"/>
        </w:rPr>
      </w:pPr>
      <w:r w:rsidRPr="00B63BD5">
        <w:rPr>
          <w:lang w:val="fr-CA"/>
        </w:rPr>
        <w:t>l</w:t>
      </w:r>
      <w:r w:rsidR="008D6AF1" w:rsidRPr="00B63BD5">
        <w:rPr>
          <w:lang w:val="fr-CA"/>
        </w:rPr>
        <w:t xml:space="preserve">e </w:t>
      </w:r>
      <w:r w:rsidR="00F80968" w:rsidRPr="00B63BD5">
        <w:rPr>
          <w:lang w:val="fr-CA"/>
        </w:rPr>
        <w:t>M</w:t>
      </w:r>
      <w:r w:rsidR="008D6AF1" w:rsidRPr="00B63BD5">
        <w:rPr>
          <w:lang w:val="fr-CA"/>
        </w:rPr>
        <w:t>ontant</w:t>
      </w:r>
      <w:r w:rsidRPr="00B63BD5">
        <w:rPr>
          <w:lang w:val="fr-CA"/>
        </w:rPr>
        <w:t xml:space="preserve"> compensatoire applicable.</w:t>
      </w:r>
    </w:p>
    <w:p w14:paraId="60011225" w14:textId="55C8668E" w:rsidR="00951120" w:rsidRPr="00B63BD5" w:rsidRDefault="00951120" w:rsidP="000B7739">
      <w:pPr>
        <w:pStyle w:val="04LOLglNew3"/>
        <w:rPr>
          <w:lang w:val="fr-CA"/>
        </w:rPr>
      </w:pPr>
      <w:r w:rsidRPr="00B63BD5">
        <w:rPr>
          <w:lang w:val="fr-CA"/>
        </w:rPr>
        <w:t>L</w:t>
      </w:r>
      <w:r w:rsidR="00564B0C" w:rsidRPr="00B63BD5">
        <w:rPr>
          <w:lang w:val="fr-CA"/>
        </w:rPr>
        <w:t>’</w:t>
      </w:r>
      <w:r w:rsidRPr="00B63BD5">
        <w:rPr>
          <w:lang w:val="fr-CA"/>
        </w:rPr>
        <w:t xml:space="preserve">intérêt </w:t>
      </w:r>
      <w:r w:rsidR="00CF4950" w:rsidRPr="00B63BD5">
        <w:rPr>
          <w:lang w:val="fr-CA"/>
        </w:rPr>
        <w:t xml:space="preserve">établi </w:t>
      </w:r>
      <w:r w:rsidR="00853401" w:rsidRPr="00B63BD5">
        <w:rPr>
          <w:lang w:val="fr-CA"/>
        </w:rPr>
        <w:t>en fonction du</w:t>
      </w:r>
      <w:r w:rsidRPr="00B63BD5">
        <w:rPr>
          <w:lang w:val="fr-CA"/>
        </w:rPr>
        <w:t xml:space="preserve"> Taux de base américain de la Banque</w:t>
      </w:r>
      <w:r w:rsidR="007B0F5E" w:rsidRPr="00B63BD5">
        <w:rPr>
          <w:lang w:val="fr-CA"/>
        </w:rPr>
        <w:t>,</w:t>
      </w:r>
      <w:r w:rsidR="0060620C" w:rsidRPr="00B63BD5">
        <w:rPr>
          <w:lang w:val="fr-CA"/>
        </w:rPr>
        <w:t xml:space="preserve"> </w:t>
      </w:r>
      <w:r w:rsidR="00D54A43" w:rsidRPr="00B63BD5">
        <w:rPr>
          <w:lang w:val="fr-CA"/>
        </w:rPr>
        <w:t xml:space="preserve">du Taux de référence SOFR </w:t>
      </w:r>
      <w:r w:rsidRPr="00B63BD5">
        <w:rPr>
          <w:lang w:val="fr-CA"/>
        </w:rPr>
        <w:t>calculé sur une année de 360</w:t>
      </w:r>
      <w:r w:rsidR="00AC4107" w:rsidRPr="00B63BD5">
        <w:rPr>
          <w:lang w:val="fr-CA"/>
        </w:rPr>
        <w:t xml:space="preserve"> </w:t>
      </w:r>
      <w:r w:rsidRPr="00B63BD5">
        <w:rPr>
          <w:lang w:val="fr-CA"/>
        </w:rPr>
        <w:t xml:space="preserve">jours et </w:t>
      </w:r>
      <w:r w:rsidR="00853401" w:rsidRPr="00B63BD5">
        <w:rPr>
          <w:lang w:val="fr-CA"/>
        </w:rPr>
        <w:t>à l</w:t>
      </w:r>
      <w:r w:rsidR="00564B0C" w:rsidRPr="00B63BD5">
        <w:rPr>
          <w:lang w:val="fr-CA"/>
        </w:rPr>
        <w:t>’</w:t>
      </w:r>
      <w:r w:rsidR="00853401" w:rsidRPr="00B63BD5">
        <w:rPr>
          <w:lang w:val="fr-CA"/>
        </w:rPr>
        <w:t xml:space="preserve">égard du </w:t>
      </w:r>
      <w:r w:rsidRPr="00B63BD5">
        <w:rPr>
          <w:lang w:val="fr-CA"/>
        </w:rPr>
        <w:t>nombre de jours pendant le</w:t>
      </w:r>
      <w:r w:rsidR="00853401" w:rsidRPr="00B63BD5">
        <w:rPr>
          <w:lang w:val="fr-CA"/>
        </w:rPr>
        <w:t>s</w:t>
      </w:r>
      <w:r w:rsidRPr="00B63BD5">
        <w:rPr>
          <w:lang w:val="fr-CA"/>
        </w:rPr>
        <w:t>quel</w:t>
      </w:r>
      <w:r w:rsidR="00853401" w:rsidRPr="00B63BD5">
        <w:rPr>
          <w:lang w:val="fr-CA"/>
        </w:rPr>
        <w:t>s</w:t>
      </w:r>
      <w:r w:rsidRPr="00B63BD5">
        <w:rPr>
          <w:lang w:val="fr-CA"/>
        </w:rPr>
        <w:t xml:space="preserve"> les sommes sont </w:t>
      </w:r>
      <w:r w:rsidR="00DC31E2" w:rsidRPr="00B63BD5">
        <w:rPr>
          <w:lang w:val="fr-CA"/>
        </w:rPr>
        <w:t xml:space="preserve">effectivement </w:t>
      </w:r>
      <w:r w:rsidRPr="00B63BD5">
        <w:rPr>
          <w:lang w:val="fr-CA"/>
        </w:rPr>
        <w:t xml:space="preserve">impayées aux termes des Facilités de crédit pertinentes. Aux fins de la </w:t>
      </w:r>
      <w:r w:rsidRPr="00B63BD5">
        <w:rPr>
          <w:i/>
          <w:lang w:val="fr-CA"/>
        </w:rPr>
        <w:t>Loi sur l</w:t>
      </w:r>
      <w:r w:rsidR="00564B0C" w:rsidRPr="00B63BD5">
        <w:rPr>
          <w:i/>
          <w:lang w:val="fr-CA"/>
        </w:rPr>
        <w:t>’</w:t>
      </w:r>
      <w:r w:rsidRPr="00B63BD5">
        <w:rPr>
          <w:i/>
          <w:lang w:val="fr-CA"/>
        </w:rPr>
        <w:t>intérêt</w:t>
      </w:r>
      <w:r w:rsidRPr="00B63BD5">
        <w:rPr>
          <w:lang w:val="fr-CA"/>
        </w:rPr>
        <w:t xml:space="preserve"> (Canada), </w:t>
      </w:r>
      <w:r w:rsidR="008A3C22" w:rsidRPr="00B63BD5">
        <w:rPr>
          <w:lang w:val="fr-CA"/>
        </w:rPr>
        <w:t>(i)</w:t>
      </w:r>
      <w:r w:rsidR="00AC4107" w:rsidRPr="00B63BD5">
        <w:rPr>
          <w:lang w:val="fr-CA"/>
        </w:rPr>
        <w:t xml:space="preserve"> </w:t>
      </w:r>
      <w:r w:rsidRPr="00B63BD5">
        <w:rPr>
          <w:lang w:val="fr-CA"/>
        </w:rPr>
        <w:t>le taux d</w:t>
      </w:r>
      <w:r w:rsidR="00564B0C" w:rsidRPr="00B63BD5">
        <w:rPr>
          <w:lang w:val="fr-CA"/>
        </w:rPr>
        <w:t>’</w:t>
      </w:r>
      <w:r w:rsidRPr="00B63BD5">
        <w:rPr>
          <w:lang w:val="fr-CA"/>
        </w:rPr>
        <w:t>intérêt annuel auquel correspond l</w:t>
      </w:r>
      <w:r w:rsidR="00564B0C" w:rsidRPr="00B63BD5">
        <w:rPr>
          <w:lang w:val="fr-CA"/>
        </w:rPr>
        <w:t>’</w:t>
      </w:r>
      <w:r w:rsidRPr="00B63BD5">
        <w:rPr>
          <w:lang w:val="fr-CA"/>
        </w:rPr>
        <w:t>intérêt calculé sur une année de 360</w:t>
      </w:r>
      <w:r w:rsidR="00952856" w:rsidRPr="00B63BD5">
        <w:rPr>
          <w:lang w:val="fr-CA"/>
        </w:rPr>
        <w:t> </w:t>
      </w:r>
      <w:r w:rsidRPr="00B63BD5">
        <w:rPr>
          <w:lang w:val="fr-CA"/>
        </w:rPr>
        <w:t>jours e</w:t>
      </w:r>
      <w:r w:rsidR="00853401" w:rsidRPr="00B63BD5">
        <w:rPr>
          <w:lang w:val="fr-CA"/>
        </w:rPr>
        <w:t>s</w:t>
      </w:r>
      <w:r w:rsidRPr="00B63BD5">
        <w:rPr>
          <w:lang w:val="fr-CA"/>
        </w:rPr>
        <w:t>t le taux d</w:t>
      </w:r>
      <w:r w:rsidR="00564B0C" w:rsidRPr="00B63BD5">
        <w:rPr>
          <w:lang w:val="fr-CA"/>
        </w:rPr>
        <w:t>’</w:t>
      </w:r>
      <w:r w:rsidRPr="00B63BD5">
        <w:rPr>
          <w:lang w:val="fr-CA"/>
        </w:rPr>
        <w:t xml:space="preserve">intérêt prévu dans la présente Lettre relative aux facilités, multiplié par le nombre de jours </w:t>
      </w:r>
      <w:r w:rsidR="00DC31E2" w:rsidRPr="00B63BD5">
        <w:rPr>
          <w:lang w:val="fr-CA"/>
        </w:rPr>
        <w:t xml:space="preserve">effectivement compris dans </w:t>
      </w:r>
      <w:r w:rsidRPr="00B63BD5">
        <w:rPr>
          <w:lang w:val="fr-CA"/>
        </w:rPr>
        <w:t>l</w:t>
      </w:r>
      <w:r w:rsidR="00564B0C" w:rsidRPr="00B63BD5">
        <w:rPr>
          <w:lang w:val="fr-CA"/>
        </w:rPr>
        <w:t>’</w:t>
      </w:r>
      <w:r w:rsidRPr="00B63BD5">
        <w:rPr>
          <w:lang w:val="fr-CA"/>
        </w:rPr>
        <w:t>année en question (3</w:t>
      </w:r>
      <w:r w:rsidR="00853401" w:rsidRPr="00B63BD5">
        <w:rPr>
          <w:lang w:val="fr-CA"/>
        </w:rPr>
        <w:t>6</w:t>
      </w:r>
      <w:r w:rsidRPr="00B63BD5">
        <w:rPr>
          <w:lang w:val="fr-CA"/>
        </w:rPr>
        <w:t>5 ou 3</w:t>
      </w:r>
      <w:r w:rsidR="00853401" w:rsidRPr="00B63BD5">
        <w:rPr>
          <w:lang w:val="fr-CA"/>
        </w:rPr>
        <w:t>6</w:t>
      </w:r>
      <w:r w:rsidRPr="00B63BD5">
        <w:rPr>
          <w:lang w:val="fr-CA"/>
        </w:rPr>
        <w:t>6) et divisé par</w:t>
      </w:r>
      <w:r w:rsidR="00AC4107" w:rsidRPr="00B63BD5">
        <w:rPr>
          <w:lang w:val="fr-CA"/>
        </w:rPr>
        <w:t xml:space="preserve"> </w:t>
      </w:r>
      <w:r w:rsidRPr="00B63BD5">
        <w:rPr>
          <w:lang w:val="fr-CA"/>
        </w:rPr>
        <w:t>360</w:t>
      </w:r>
      <w:r w:rsidR="008A3C22" w:rsidRPr="00B63BD5">
        <w:rPr>
          <w:lang w:val="fr-CA"/>
        </w:rPr>
        <w:t xml:space="preserve"> et (ii)</w:t>
      </w:r>
      <w:r w:rsidR="00AC4107" w:rsidRPr="00B63BD5">
        <w:rPr>
          <w:lang w:val="fr-CA"/>
        </w:rPr>
        <w:t xml:space="preserve"> </w:t>
      </w:r>
      <w:r w:rsidR="00C66734" w:rsidRPr="00B63BD5">
        <w:rPr>
          <w:lang w:val="fr-CA"/>
        </w:rPr>
        <w:t>le taux d</w:t>
      </w:r>
      <w:r w:rsidR="00564B0C" w:rsidRPr="00B63BD5">
        <w:rPr>
          <w:lang w:val="fr-CA"/>
        </w:rPr>
        <w:t>’</w:t>
      </w:r>
      <w:r w:rsidR="00C66734" w:rsidRPr="00B63BD5">
        <w:rPr>
          <w:lang w:val="fr-CA"/>
        </w:rPr>
        <w:t>intérêt annuel auquel correspond l</w:t>
      </w:r>
      <w:r w:rsidR="00564B0C" w:rsidRPr="00B63BD5">
        <w:rPr>
          <w:lang w:val="fr-CA"/>
        </w:rPr>
        <w:t>’</w:t>
      </w:r>
      <w:r w:rsidR="00C66734" w:rsidRPr="00B63BD5">
        <w:rPr>
          <w:lang w:val="fr-CA"/>
        </w:rPr>
        <w:t>intérêt calculé sur une année de 365</w:t>
      </w:r>
      <w:r w:rsidR="00AC4107" w:rsidRPr="00B63BD5">
        <w:rPr>
          <w:lang w:val="fr-CA"/>
        </w:rPr>
        <w:t xml:space="preserve"> </w:t>
      </w:r>
      <w:r w:rsidR="00C66734" w:rsidRPr="00B63BD5">
        <w:rPr>
          <w:lang w:val="fr-CA"/>
        </w:rPr>
        <w:t>jours est le taux d</w:t>
      </w:r>
      <w:r w:rsidR="00564B0C" w:rsidRPr="00B63BD5">
        <w:rPr>
          <w:lang w:val="fr-CA"/>
        </w:rPr>
        <w:t>’</w:t>
      </w:r>
      <w:r w:rsidR="00C66734" w:rsidRPr="00B63BD5">
        <w:rPr>
          <w:lang w:val="fr-CA"/>
        </w:rPr>
        <w:t>intérêt prévu dans la présente Lettre relative aux facilités, multiplié par le nombre de jours effectivement compris dans l</w:t>
      </w:r>
      <w:r w:rsidR="00564B0C" w:rsidRPr="00B63BD5">
        <w:rPr>
          <w:lang w:val="fr-CA"/>
        </w:rPr>
        <w:t>’</w:t>
      </w:r>
      <w:r w:rsidR="00C66734" w:rsidRPr="00B63BD5">
        <w:rPr>
          <w:lang w:val="fr-CA"/>
        </w:rPr>
        <w:t>année en question (365 ou 366) et divisé par</w:t>
      </w:r>
      <w:r w:rsidR="00AC4107" w:rsidRPr="00B63BD5">
        <w:rPr>
          <w:lang w:val="fr-CA"/>
        </w:rPr>
        <w:t xml:space="preserve"> </w:t>
      </w:r>
      <w:r w:rsidR="00C66734" w:rsidRPr="00B63BD5">
        <w:rPr>
          <w:lang w:val="fr-CA"/>
        </w:rPr>
        <w:t>365</w:t>
      </w:r>
      <w:r w:rsidR="00E914C3" w:rsidRPr="00B63BD5">
        <w:rPr>
          <w:lang w:val="fr-CA"/>
        </w:rPr>
        <w:t>. L</w:t>
      </w:r>
      <w:r w:rsidR="00564B0C" w:rsidRPr="00B63BD5">
        <w:rPr>
          <w:lang w:val="fr-CA"/>
        </w:rPr>
        <w:t>’</w:t>
      </w:r>
      <w:r w:rsidR="00E914C3" w:rsidRPr="00B63BD5">
        <w:rPr>
          <w:lang w:val="fr-CA"/>
        </w:rPr>
        <w:t>Emprunteur confirme qu</w:t>
      </w:r>
      <w:r w:rsidR="00564B0C" w:rsidRPr="00B63BD5">
        <w:rPr>
          <w:lang w:val="fr-CA"/>
        </w:rPr>
        <w:t>’</w:t>
      </w:r>
      <w:r w:rsidR="00E914C3" w:rsidRPr="00B63BD5">
        <w:rPr>
          <w:lang w:val="fr-CA"/>
        </w:rPr>
        <w:t>il comprend pleinement le taux d</w:t>
      </w:r>
      <w:r w:rsidR="00564B0C" w:rsidRPr="00B63BD5">
        <w:rPr>
          <w:lang w:val="fr-CA"/>
        </w:rPr>
        <w:t>’</w:t>
      </w:r>
      <w:r w:rsidR="00E914C3" w:rsidRPr="00B63BD5">
        <w:rPr>
          <w:lang w:val="fr-CA"/>
        </w:rPr>
        <w:t>intérêt applicable aux Facilités de crédit</w:t>
      </w:r>
      <w:r w:rsidR="00291008" w:rsidRPr="00B63BD5">
        <w:rPr>
          <w:lang w:val="fr-CA"/>
        </w:rPr>
        <w:t xml:space="preserve"> établi </w:t>
      </w:r>
      <w:r w:rsidR="001B3334" w:rsidRPr="00B63BD5">
        <w:rPr>
          <w:lang w:val="fr-CA"/>
        </w:rPr>
        <w:t>selon</w:t>
      </w:r>
      <w:r w:rsidR="00291008" w:rsidRPr="00B63BD5">
        <w:rPr>
          <w:lang w:val="fr-CA"/>
        </w:rPr>
        <w:t xml:space="preserve"> la méthode de calcul des taux annuels</w:t>
      </w:r>
      <w:r w:rsidR="009D6017" w:rsidRPr="00B63BD5">
        <w:rPr>
          <w:lang w:val="fr-CA"/>
        </w:rPr>
        <w:t xml:space="preserve"> qui</w:t>
      </w:r>
      <w:r w:rsidR="00615FEA" w:rsidRPr="00B63BD5">
        <w:rPr>
          <w:lang w:val="fr-CA"/>
        </w:rPr>
        <w:t> </w:t>
      </w:r>
      <w:r w:rsidR="009D6017" w:rsidRPr="00B63BD5">
        <w:rPr>
          <w:lang w:val="fr-CA"/>
        </w:rPr>
        <w:t>est prévue</w:t>
      </w:r>
      <w:r w:rsidR="00291008" w:rsidRPr="00B63BD5">
        <w:rPr>
          <w:lang w:val="fr-CA"/>
        </w:rPr>
        <w:t xml:space="preserve"> dans la présente Lettre relative aux facilités et qu</w:t>
      </w:r>
      <w:r w:rsidR="00564B0C" w:rsidRPr="00B63BD5">
        <w:rPr>
          <w:lang w:val="fr-CA"/>
        </w:rPr>
        <w:t>’</w:t>
      </w:r>
      <w:r w:rsidR="00291008" w:rsidRPr="00B63BD5">
        <w:rPr>
          <w:lang w:val="fr-CA"/>
        </w:rPr>
        <w:t>il est en mesure de le calculer. La</w:t>
      </w:r>
      <w:r w:rsidR="00615FEA" w:rsidRPr="00B63BD5">
        <w:rPr>
          <w:lang w:val="fr-CA"/>
        </w:rPr>
        <w:t> </w:t>
      </w:r>
      <w:r w:rsidR="00291008" w:rsidRPr="00B63BD5">
        <w:rPr>
          <w:lang w:val="fr-CA"/>
        </w:rPr>
        <w:t>Banque convient que, si l</w:t>
      </w:r>
      <w:r w:rsidR="00564B0C" w:rsidRPr="00B63BD5">
        <w:rPr>
          <w:lang w:val="fr-CA"/>
        </w:rPr>
        <w:t>’</w:t>
      </w:r>
      <w:r w:rsidR="00291008" w:rsidRPr="00B63BD5">
        <w:rPr>
          <w:lang w:val="fr-CA"/>
        </w:rPr>
        <w:t>Emprunteur lui en fait la demande par écrit, elle calculera le taux d</w:t>
      </w:r>
      <w:r w:rsidR="00564B0C" w:rsidRPr="00B63BD5">
        <w:rPr>
          <w:lang w:val="fr-CA"/>
        </w:rPr>
        <w:t>’</w:t>
      </w:r>
      <w:r w:rsidR="00291008" w:rsidRPr="00B63BD5">
        <w:rPr>
          <w:lang w:val="fr-CA"/>
        </w:rPr>
        <w:t xml:space="preserve">intérêt annuel nominal et effectif sur toute avance </w:t>
      </w:r>
      <w:r w:rsidR="001B3334" w:rsidRPr="00B63BD5">
        <w:rPr>
          <w:lang w:val="fr-CA"/>
        </w:rPr>
        <w:t>impayée</w:t>
      </w:r>
      <w:r w:rsidR="00291008" w:rsidRPr="00B63BD5">
        <w:rPr>
          <w:lang w:val="fr-CA"/>
        </w:rPr>
        <w:t xml:space="preserve"> à quelque moment que ce soit et fournira ces</w:t>
      </w:r>
      <w:r w:rsidR="00615FEA" w:rsidRPr="00B63BD5">
        <w:rPr>
          <w:lang w:val="fr-CA"/>
        </w:rPr>
        <w:t> </w:t>
      </w:r>
      <w:r w:rsidR="00291008" w:rsidRPr="00B63BD5">
        <w:rPr>
          <w:lang w:val="fr-CA"/>
        </w:rPr>
        <w:t>renseignements à l</w:t>
      </w:r>
      <w:r w:rsidR="00564B0C" w:rsidRPr="00B63BD5">
        <w:rPr>
          <w:lang w:val="fr-CA"/>
        </w:rPr>
        <w:t>’</w:t>
      </w:r>
      <w:r w:rsidR="00291008" w:rsidRPr="00B63BD5">
        <w:rPr>
          <w:lang w:val="fr-CA"/>
        </w:rPr>
        <w:t xml:space="preserve">Emprunteur sans délai après avoir reçu </w:t>
      </w:r>
      <w:r w:rsidR="009D6017" w:rsidRPr="00B63BD5">
        <w:rPr>
          <w:lang w:val="fr-CA"/>
        </w:rPr>
        <w:t>cette demande</w:t>
      </w:r>
      <w:r w:rsidR="001B3334" w:rsidRPr="00B63BD5">
        <w:rPr>
          <w:lang w:val="fr-CA"/>
        </w:rPr>
        <w:t>; toutefois, aucune</w:t>
      </w:r>
      <w:r w:rsidR="00291008" w:rsidRPr="00B63BD5">
        <w:rPr>
          <w:lang w:val="fr-CA"/>
        </w:rPr>
        <w:t xml:space="preserve"> erreur de calcul ou omission de fournir ces renseignements sur demande ne libère quelque Bénéficiaire du</w:t>
      </w:r>
      <w:r w:rsidR="00615FEA" w:rsidRPr="00B63BD5">
        <w:rPr>
          <w:lang w:val="fr-CA"/>
        </w:rPr>
        <w:t> </w:t>
      </w:r>
      <w:r w:rsidR="00291008" w:rsidRPr="00B63BD5">
        <w:rPr>
          <w:lang w:val="fr-CA"/>
        </w:rPr>
        <w:t>crédit que ce soit de l</w:t>
      </w:r>
      <w:r w:rsidR="00564B0C" w:rsidRPr="00B63BD5">
        <w:rPr>
          <w:lang w:val="fr-CA"/>
        </w:rPr>
        <w:t>’</w:t>
      </w:r>
      <w:r w:rsidR="00291008" w:rsidRPr="00B63BD5">
        <w:rPr>
          <w:lang w:val="fr-CA"/>
        </w:rPr>
        <w:t>une ou l</w:t>
      </w:r>
      <w:r w:rsidR="00564B0C" w:rsidRPr="00B63BD5">
        <w:rPr>
          <w:lang w:val="fr-CA"/>
        </w:rPr>
        <w:t>’</w:t>
      </w:r>
      <w:r w:rsidR="00291008" w:rsidRPr="00B63BD5">
        <w:rPr>
          <w:lang w:val="fr-CA"/>
        </w:rPr>
        <w:t>autre des obligations qui lui incombe aux termes de la présente Lettre</w:t>
      </w:r>
      <w:r w:rsidR="00952856" w:rsidRPr="00B63BD5">
        <w:rPr>
          <w:lang w:val="fr-CA"/>
        </w:rPr>
        <w:t> </w:t>
      </w:r>
      <w:r w:rsidR="00291008" w:rsidRPr="00B63BD5">
        <w:rPr>
          <w:lang w:val="fr-CA"/>
        </w:rPr>
        <w:t>relative aux facilités ou d</w:t>
      </w:r>
      <w:r w:rsidR="00564B0C" w:rsidRPr="00B63BD5">
        <w:rPr>
          <w:lang w:val="fr-CA"/>
        </w:rPr>
        <w:t>’</w:t>
      </w:r>
      <w:r w:rsidR="00291008" w:rsidRPr="00B63BD5">
        <w:rPr>
          <w:lang w:val="fr-CA"/>
        </w:rPr>
        <w:t>un autre Document de prêt, ni n</w:t>
      </w:r>
      <w:r w:rsidR="00564B0C" w:rsidRPr="00B63BD5">
        <w:rPr>
          <w:lang w:val="fr-CA"/>
        </w:rPr>
        <w:t>’</w:t>
      </w:r>
      <w:r w:rsidR="00291008" w:rsidRPr="00B63BD5">
        <w:rPr>
          <w:lang w:val="fr-CA"/>
        </w:rPr>
        <w:t xml:space="preserve">engage la responsabilité de la Banque. Chaque Bénéficiaire du crédit </w:t>
      </w:r>
      <w:r w:rsidR="001B3334" w:rsidRPr="00B63BD5">
        <w:rPr>
          <w:lang w:val="fr-CA"/>
        </w:rPr>
        <w:t>convient</w:t>
      </w:r>
      <w:r w:rsidR="00291008" w:rsidRPr="00B63BD5">
        <w:rPr>
          <w:lang w:val="fr-CA"/>
        </w:rPr>
        <w:t xml:space="preserve"> irrévocablement par les présentes de ne pas plaider ou faire valoir, que ce soit par un moyen de défense ou d</w:t>
      </w:r>
      <w:r w:rsidR="00564B0C" w:rsidRPr="00B63BD5">
        <w:rPr>
          <w:lang w:val="fr-CA"/>
        </w:rPr>
        <w:t>’</w:t>
      </w:r>
      <w:r w:rsidR="00291008" w:rsidRPr="00B63BD5">
        <w:rPr>
          <w:lang w:val="fr-CA"/>
        </w:rPr>
        <w:t>une autre manière, dans le cadre de toute poursuite relative aux Documents de prêt, que l</w:t>
      </w:r>
      <w:r w:rsidR="00564B0C" w:rsidRPr="00B63BD5">
        <w:rPr>
          <w:lang w:val="fr-CA"/>
        </w:rPr>
        <w:t>’</w:t>
      </w:r>
      <w:r w:rsidR="00291008" w:rsidRPr="00B63BD5">
        <w:rPr>
          <w:lang w:val="fr-CA"/>
        </w:rPr>
        <w:t>intérêt payable aux te</w:t>
      </w:r>
      <w:r w:rsidR="009D6017" w:rsidRPr="00B63BD5">
        <w:rPr>
          <w:lang w:val="fr-CA"/>
        </w:rPr>
        <w:t>rmes des Documents de prêt et la méthode de</w:t>
      </w:r>
      <w:r w:rsidR="00291008" w:rsidRPr="00B63BD5">
        <w:rPr>
          <w:lang w:val="fr-CA"/>
        </w:rPr>
        <w:t xml:space="preserve"> calcul de celui</w:t>
      </w:r>
      <w:r w:rsidR="00291008" w:rsidRPr="00B63BD5">
        <w:rPr>
          <w:lang w:val="fr-CA"/>
        </w:rPr>
        <w:noBreakHyphen/>
      </w:r>
      <w:r w:rsidR="009D6017" w:rsidRPr="00B63BD5">
        <w:rPr>
          <w:lang w:val="fr-CA"/>
        </w:rPr>
        <w:t>ci n</w:t>
      </w:r>
      <w:r w:rsidR="00564B0C" w:rsidRPr="00B63BD5">
        <w:rPr>
          <w:lang w:val="fr-CA"/>
        </w:rPr>
        <w:t>’</w:t>
      </w:r>
      <w:r w:rsidR="009D6017" w:rsidRPr="00B63BD5">
        <w:rPr>
          <w:lang w:val="fr-CA"/>
        </w:rPr>
        <w:t>ont</w:t>
      </w:r>
      <w:r w:rsidR="00291008" w:rsidRPr="00B63BD5">
        <w:rPr>
          <w:lang w:val="fr-CA"/>
        </w:rPr>
        <w:t xml:space="preserve"> pas été </w:t>
      </w:r>
      <w:r w:rsidR="009D6017" w:rsidRPr="00B63BD5">
        <w:rPr>
          <w:lang w:val="fr-CA"/>
        </w:rPr>
        <w:t xml:space="preserve">communiqués </w:t>
      </w:r>
      <w:r w:rsidR="00291008" w:rsidRPr="00B63BD5">
        <w:rPr>
          <w:lang w:val="fr-CA"/>
        </w:rPr>
        <w:t>adéquatement aux Bénéficiaires du crédit</w:t>
      </w:r>
      <w:r w:rsidR="009D6017" w:rsidRPr="00B63BD5">
        <w:rPr>
          <w:lang w:val="fr-CA"/>
        </w:rPr>
        <w:t>,</w:t>
      </w:r>
      <w:r w:rsidR="00291008" w:rsidRPr="00B63BD5">
        <w:rPr>
          <w:lang w:val="fr-CA"/>
        </w:rPr>
        <w:t xml:space="preserve"> que ce soit en vertu de l</w:t>
      </w:r>
      <w:r w:rsidR="00564B0C" w:rsidRPr="00B63BD5">
        <w:rPr>
          <w:lang w:val="fr-CA"/>
        </w:rPr>
        <w:t>’</w:t>
      </w:r>
      <w:r w:rsidR="00291008" w:rsidRPr="00B63BD5">
        <w:rPr>
          <w:lang w:val="fr-CA"/>
        </w:rPr>
        <w:t>article</w:t>
      </w:r>
      <w:r w:rsidR="00B056F9" w:rsidRPr="00B63BD5">
        <w:rPr>
          <w:lang w:val="fr-CA"/>
        </w:rPr>
        <w:t> </w:t>
      </w:r>
      <w:r w:rsidR="00291008" w:rsidRPr="00B63BD5">
        <w:rPr>
          <w:lang w:val="fr-CA"/>
        </w:rPr>
        <w:t xml:space="preserve">4 de la </w:t>
      </w:r>
      <w:r w:rsidR="00291008" w:rsidRPr="00B63BD5">
        <w:rPr>
          <w:i/>
          <w:lang w:val="fr-CA"/>
        </w:rPr>
        <w:t>Loi sur l</w:t>
      </w:r>
      <w:r w:rsidR="00564B0C" w:rsidRPr="00B63BD5">
        <w:rPr>
          <w:i/>
          <w:lang w:val="fr-CA"/>
        </w:rPr>
        <w:t>’</w:t>
      </w:r>
      <w:r w:rsidR="00291008" w:rsidRPr="00B63BD5">
        <w:rPr>
          <w:i/>
          <w:lang w:val="fr-CA"/>
        </w:rPr>
        <w:t>intérêt</w:t>
      </w:r>
      <w:r w:rsidR="00291008" w:rsidRPr="00B63BD5">
        <w:rPr>
          <w:lang w:val="fr-CA"/>
        </w:rPr>
        <w:t xml:space="preserve"> (Canada) ou de tout</w:t>
      </w:r>
      <w:r w:rsidR="009D6017" w:rsidRPr="00B63BD5">
        <w:rPr>
          <w:lang w:val="fr-CA"/>
        </w:rPr>
        <w:t>e</w:t>
      </w:r>
      <w:r w:rsidR="00291008" w:rsidRPr="00B63BD5">
        <w:rPr>
          <w:lang w:val="fr-CA"/>
        </w:rPr>
        <w:t xml:space="preserve"> autre loi ou </w:t>
      </w:r>
      <w:r w:rsidR="001B3334" w:rsidRPr="00B63BD5">
        <w:rPr>
          <w:lang w:val="fr-CA"/>
        </w:rPr>
        <w:t xml:space="preserve">de </w:t>
      </w:r>
      <w:r w:rsidR="00291008" w:rsidRPr="00B63BD5">
        <w:rPr>
          <w:lang w:val="fr-CA"/>
        </w:rPr>
        <w:t>tout autre principe juridique applicable.</w:t>
      </w:r>
    </w:p>
    <w:p w14:paraId="437E648B" w14:textId="6166C7B9" w:rsidR="00F063AB" w:rsidRPr="00B63BD5" w:rsidRDefault="00951120" w:rsidP="000B7739">
      <w:pPr>
        <w:pStyle w:val="04LOLglNew3"/>
        <w:rPr>
          <w:lang w:val="fr-CA"/>
        </w:rPr>
      </w:pPr>
      <w:r w:rsidRPr="00B63BD5">
        <w:rPr>
          <w:lang w:val="fr-CA"/>
        </w:rPr>
        <w:t>Au moment de l</w:t>
      </w:r>
      <w:r w:rsidR="00564B0C" w:rsidRPr="00B63BD5">
        <w:rPr>
          <w:lang w:val="fr-CA"/>
        </w:rPr>
        <w:t>’</w:t>
      </w:r>
      <w:r w:rsidRPr="00B63BD5">
        <w:rPr>
          <w:lang w:val="fr-CA"/>
        </w:rPr>
        <w:t>expiration</w:t>
      </w:r>
      <w:r w:rsidR="00B97375" w:rsidRPr="00B63BD5">
        <w:rPr>
          <w:lang w:val="fr-CA"/>
        </w:rPr>
        <w:t xml:space="preserve"> </w:t>
      </w:r>
      <w:r w:rsidR="00F063AB" w:rsidRPr="00B63BD5">
        <w:rPr>
          <w:lang w:val="fr-CA"/>
        </w:rPr>
        <w:t>de la Période d</w:t>
      </w:r>
      <w:r w:rsidR="00564B0C" w:rsidRPr="00B63BD5">
        <w:rPr>
          <w:lang w:val="fr-CA"/>
        </w:rPr>
        <w:t>’</w:t>
      </w:r>
      <w:r w:rsidR="00F063AB" w:rsidRPr="00B63BD5">
        <w:rPr>
          <w:lang w:val="fr-CA"/>
        </w:rPr>
        <w:t>intérêt</w:t>
      </w:r>
      <w:r w:rsidRPr="00B63BD5">
        <w:rPr>
          <w:lang w:val="fr-CA"/>
        </w:rPr>
        <w:t xml:space="preserve"> </w:t>
      </w:r>
      <w:r w:rsidR="00CF4950" w:rsidRPr="00B63BD5">
        <w:rPr>
          <w:lang w:val="fr-CA"/>
        </w:rPr>
        <w:t>d</w:t>
      </w:r>
      <w:r w:rsidR="00564B0C" w:rsidRPr="00B63BD5">
        <w:rPr>
          <w:lang w:val="fr-CA"/>
        </w:rPr>
        <w:t>’</w:t>
      </w:r>
      <w:r w:rsidR="00CF4950" w:rsidRPr="00B63BD5">
        <w:rPr>
          <w:lang w:val="fr-CA"/>
        </w:rPr>
        <w:t xml:space="preserve">un </w:t>
      </w:r>
      <w:r w:rsidRPr="00B63BD5">
        <w:rPr>
          <w:lang w:val="fr-CA"/>
        </w:rPr>
        <w:t xml:space="preserve">Prêt </w:t>
      </w:r>
      <w:r w:rsidR="00F063AB" w:rsidRPr="00B63BD5">
        <w:rPr>
          <w:lang w:val="fr-CA"/>
        </w:rPr>
        <w:t xml:space="preserve">à taux fixe en dollars canadiens </w:t>
      </w:r>
      <w:r w:rsidRPr="00B63BD5">
        <w:rPr>
          <w:lang w:val="fr-CA"/>
        </w:rPr>
        <w:t xml:space="preserve">ou </w:t>
      </w:r>
      <w:r w:rsidR="00F063AB" w:rsidRPr="00B63BD5">
        <w:rPr>
          <w:lang w:val="fr-CA"/>
        </w:rPr>
        <w:t>d</w:t>
      </w:r>
      <w:r w:rsidR="00564B0C" w:rsidRPr="00B63BD5">
        <w:rPr>
          <w:lang w:val="fr-CA"/>
        </w:rPr>
        <w:t>’</w:t>
      </w:r>
      <w:r w:rsidR="00F063AB" w:rsidRPr="00B63BD5">
        <w:rPr>
          <w:lang w:val="fr-CA"/>
        </w:rPr>
        <w:t>un Prêt</w:t>
      </w:r>
      <w:r w:rsidR="00952856" w:rsidRPr="00B63BD5">
        <w:rPr>
          <w:lang w:val="fr-CA"/>
        </w:rPr>
        <w:t> </w:t>
      </w:r>
      <w:r w:rsidR="00F063AB" w:rsidRPr="00B63BD5">
        <w:rPr>
          <w:lang w:val="fr-CA"/>
        </w:rPr>
        <w:t>à</w:t>
      </w:r>
      <w:r w:rsidRPr="00B63BD5">
        <w:rPr>
          <w:lang w:val="fr-CA"/>
        </w:rPr>
        <w:t xml:space="preserve"> </w:t>
      </w:r>
      <w:r w:rsidR="00F063AB" w:rsidRPr="00B63BD5">
        <w:rPr>
          <w:lang w:val="fr-CA"/>
        </w:rPr>
        <w:t>t</w:t>
      </w:r>
      <w:r w:rsidRPr="00B63BD5">
        <w:rPr>
          <w:lang w:val="fr-CA"/>
        </w:rPr>
        <w:t>aux fixe en dollars américains</w:t>
      </w:r>
      <w:r w:rsidR="0060620C" w:rsidRPr="00B63BD5">
        <w:rPr>
          <w:lang w:val="fr-CA"/>
        </w:rPr>
        <w:t xml:space="preserve"> ou de la Période SOFR de tout Prêt au taux SOFR à terme</w:t>
      </w:r>
      <w:r w:rsidRPr="00B63BD5">
        <w:rPr>
          <w:lang w:val="fr-CA"/>
        </w:rPr>
        <w:t xml:space="preserve"> </w:t>
      </w:r>
      <w:r w:rsidR="00986B92" w:rsidRPr="00B63BD5">
        <w:rPr>
          <w:lang w:val="fr-CA"/>
        </w:rPr>
        <w:t>ou</w:t>
      </w:r>
      <w:r w:rsidR="00615FEA" w:rsidRPr="00B63BD5">
        <w:rPr>
          <w:lang w:val="fr-CA"/>
        </w:rPr>
        <w:t> </w:t>
      </w:r>
      <w:r w:rsidRPr="00B63BD5">
        <w:rPr>
          <w:lang w:val="fr-CA"/>
        </w:rPr>
        <w:t>à</w:t>
      </w:r>
      <w:r w:rsidR="00615FEA" w:rsidRPr="00B63BD5">
        <w:rPr>
          <w:lang w:val="fr-CA"/>
        </w:rPr>
        <w:t> </w:t>
      </w:r>
      <w:r w:rsidRPr="00B63BD5">
        <w:rPr>
          <w:lang w:val="fr-CA"/>
        </w:rPr>
        <w:t>l</w:t>
      </w:r>
      <w:r w:rsidR="00564B0C" w:rsidRPr="00B63BD5">
        <w:rPr>
          <w:lang w:val="fr-CA"/>
        </w:rPr>
        <w:t>’</w:t>
      </w:r>
      <w:r w:rsidRPr="00B63BD5">
        <w:rPr>
          <w:lang w:val="fr-CA"/>
        </w:rPr>
        <w:t>échéance d</w:t>
      </w:r>
      <w:r w:rsidR="00564B0C" w:rsidRPr="00B63BD5">
        <w:rPr>
          <w:lang w:val="fr-CA"/>
        </w:rPr>
        <w:t>’</w:t>
      </w:r>
      <w:r w:rsidRPr="00B63BD5">
        <w:rPr>
          <w:lang w:val="fr-CA"/>
        </w:rPr>
        <w:t xml:space="preserve">une </w:t>
      </w:r>
      <w:r w:rsidR="00F063AB" w:rsidRPr="00B63BD5">
        <w:rPr>
          <w:lang w:val="fr-CA"/>
        </w:rPr>
        <w:t>Avance sur l</w:t>
      </w:r>
      <w:r w:rsidR="00564B0C" w:rsidRPr="00B63BD5">
        <w:rPr>
          <w:lang w:val="fr-CA"/>
        </w:rPr>
        <w:t>’</w:t>
      </w:r>
      <w:r w:rsidRPr="00B63BD5">
        <w:rPr>
          <w:lang w:val="fr-CA"/>
        </w:rPr>
        <w:t xml:space="preserve">Acceptation bancaire, </w:t>
      </w:r>
      <w:r w:rsidR="00DC31E2" w:rsidRPr="00B63BD5">
        <w:rPr>
          <w:lang w:val="fr-CA"/>
        </w:rPr>
        <w:t xml:space="preserve">à moins que </w:t>
      </w:r>
      <w:r w:rsidRPr="00B63BD5">
        <w:rPr>
          <w:lang w:val="fr-CA"/>
        </w:rPr>
        <w:t>l</w:t>
      </w:r>
      <w:r w:rsidR="00564B0C" w:rsidRPr="00B63BD5">
        <w:rPr>
          <w:lang w:val="fr-CA"/>
        </w:rPr>
        <w:t>’</w:t>
      </w:r>
      <w:r w:rsidRPr="00B63BD5">
        <w:rPr>
          <w:lang w:val="fr-CA"/>
        </w:rPr>
        <w:t xml:space="preserve">Emprunteur </w:t>
      </w:r>
      <w:r w:rsidR="00DC31E2" w:rsidRPr="00B63BD5">
        <w:rPr>
          <w:lang w:val="fr-CA"/>
        </w:rPr>
        <w:t>n</w:t>
      </w:r>
      <w:r w:rsidR="00564B0C" w:rsidRPr="00B63BD5">
        <w:rPr>
          <w:lang w:val="fr-CA"/>
        </w:rPr>
        <w:t>’</w:t>
      </w:r>
      <w:r w:rsidR="00DC31E2" w:rsidRPr="00B63BD5">
        <w:rPr>
          <w:lang w:val="fr-CA"/>
        </w:rPr>
        <w:t xml:space="preserve">ait </w:t>
      </w:r>
      <w:r w:rsidRPr="00B63BD5">
        <w:rPr>
          <w:lang w:val="fr-CA"/>
        </w:rPr>
        <w:t>choisi une</w:t>
      </w:r>
      <w:r w:rsidR="00615FEA" w:rsidRPr="00B63BD5">
        <w:rPr>
          <w:lang w:val="fr-CA"/>
        </w:rPr>
        <w:t> </w:t>
      </w:r>
      <w:r w:rsidRPr="00B63BD5">
        <w:rPr>
          <w:lang w:val="fr-CA"/>
        </w:rPr>
        <w:t>autre option relative aux taux d</w:t>
      </w:r>
      <w:r w:rsidR="00564B0C" w:rsidRPr="00B63BD5">
        <w:rPr>
          <w:lang w:val="fr-CA"/>
        </w:rPr>
        <w:t>’</w:t>
      </w:r>
      <w:r w:rsidRPr="00B63BD5">
        <w:rPr>
          <w:lang w:val="fr-CA"/>
        </w:rPr>
        <w:t xml:space="preserve">intérêt relativement </w:t>
      </w:r>
      <w:r w:rsidR="00CA074D" w:rsidRPr="00B63BD5">
        <w:rPr>
          <w:lang w:val="fr-CA"/>
        </w:rPr>
        <w:t xml:space="preserve">au </w:t>
      </w:r>
      <w:r w:rsidRPr="00B63BD5">
        <w:rPr>
          <w:lang w:val="fr-CA"/>
        </w:rPr>
        <w:t>refinance</w:t>
      </w:r>
      <w:r w:rsidR="00CA074D" w:rsidRPr="00B63BD5">
        <w:rPr>
          <w:lang w:val="fr-CA"/>
        </w:rPr>
        <w:t>ment du</w:t>
      </w:r>
      <w:r w:rsidRPr="00B63BD5">
        <w:rPr>
          <w:lang w:val="fr-CA"/>
        </w:rPr>
        <w:t xml:space="preserve"> Prêt</w:t>
      </w:r>
      <w:r w:rsidR="00CA074D" w:rsidRPr="00B63BD5">
        <w:rPr>
          <w:lang w:val="fr-CA"/>
        </w:rPr>
        <w:t xml:space="preserve"> </w:t>
      </w:r>
      <w:r w:rsidRPr="00B63BD5">
        <w:rPr>
          <w:lang w:val="fr-CA"/>
        </w:rPr>
        <w:t xml:space="preserve">ou </w:t>
      </w:r>
      <w:r w:rsidR="00DC31E2" w:rsidRPr="00B63BD5">
        <w:rPr>
          <w:lang w:val="fr-CA"/>
        </w:rPr>
        <w:t>de l</w:t>
      </w:r>
      <w:r w:rsidR="00564B0C" w:rsidRPr="00B63BD5">
        <w:rPr>
          <w:lang w:val="fr-CA"/>
        </w:rPr>
        <w:t>’</w:t>
      </w:r>
      <w:r w:rsidRPr="00B63BD5">
        <w:rPr>
          <w:lang w:val="fr-CA"/>
        </w:rPr>
        <w:t xml:space="preserve">Avance </w:t>
      </w:r>
      <w:r w:rsidR="00DC31E2" w:rsidRPr="00B63BD5">
        <w:rPr>
          <w:lang w:val="fr-CA"/>
        </w:rPr>
        <w:t>en</w:t>
      </w:r>
      <w:r w:rsidR="00615FEA" w:rsidRPr="00B63BD5">
        <w:rPr>
          <w:lang w:val="fr-CA"/>
        </w:rPr>
        <w:t> </w:t>
      </w:r>
      <w:r w:rsidR="00DC31E2" w:rsidRPr="00B63BD5">
        <w:rPr>
          <w:lang w:val="fr-CA"/>
        </w:rPr>
        <w:t>question</w:t>
      </w:r>
      <w:r w:rsidRPr="00B63BD5">
        <w:rPr>
          <w:lang w:val="fr-CA"/>
        </w:rPr>
        <w:t xml:space="preserve"> </w:t>
      </w:r>
      <w:r w:rsidR="00F063AB" w:rsidRPr="00B63BD5">
        <w:rPr>
          <w:lang w:val="fr-CA"/>
        </w:rPr>
        <w:t>moyennant la remise à la Banque d</w:t>
      </w:r>
      <w:r w:rsidR="00564B0C" w:rsidRPr="00B63BD5">
        <w:rPr>
          <w:lang w:val="fr-CA"/>
        </w:rPr>
        <w:t>’</w:t>
      </w:r>
      <w:r w:rsidR="00F063AB" w:rsidRPr="00B63BD5">
        <w:rPr>
          <w:lang w:val="fr-CA"/>
        </w:rPr>
        <w:t>un Avis requis</w:t>
      </w:r>
      <w:r w:rsidR="00AC4107" w:rsidRPr="00B63BD5">
        <w:rPr>
          <w:lang w:val="fr-CA"/>
        </w:rPr>
        <w:t xml:space="preserve"> </w:t>
      </w:r>
      <w:r w:rsidR="00F063AB" w:rsidRPr="00B63BD5">
        <w:rPr>
          <w:lang w:val="fr-CA"/>
        </w:rPr>
        <w:t>:</w:t>
      </w:r>
    </w:p>
    <w:p w14:paraId="3901AEFF" w14:textId="685DD8F4" w:rsidR="00C36F40" w:rsidRPr="00B63BD5" w:rsidRDefault="00C36F40" w:rsidP="00404E07">
      <w:pPr>
        <w:pStyle w:val="04LOLglNew4"/>
        <w:rPr>
          <w:lang w:val="fr-CA"/>
        </w:rPr>
      </w:pPr>
      <w:r w:rsidRPr="00B63BD5">
        <w:rPr>
          <w:lang w:val="fr-CA"/>
        </w:rPr>
        <w:t>si le montant est en Dollars canadiens, il porte intérêt au taux applicable aux Prêts pour</w:t>
      </w:r>
      <w:r w:rsidR="00615FEA" w:rsidRPr="00B63BD5">
        <w:rPr>
          <w:lang w:val="fr-CA"/>
        </w:rPr>
        <w:t> </w:t>
      </w:r>
      <w:r w:rsidRPr="00B63BD5">
        <w:rPr>
          <w:lang w:val="fr-CA"/>
        </w:rPr>
        <w:t>découvert en dollars canadiens et est exigible selon les modalités décrites pour ces Prêts;</w:t>
      </w:r>
    </w:p>
    <w:p w14:paraId="2B98854F" w14:textId="49E6ABD4" w:rsidR="000A389E" w:rsidRPr="00B63BD5" w:rsidRDefault="000A389E" w:rsidP="00404E07">
      <w:pPr>
        <w:pStyle w:val="04LOLglNew4"/>
        <w:rPr>
          <w:lang w:val="fr-CA"/>
        </w:rPr>
      </w:pPr>
      <w:r w:rsidRPr="00B63BD5">
        <w:rPr>
          <w:lang w:val="fr-CA"/>
        </w:rPr>
        <w:t>si le montant est en Dollars américains, il porte intérêt au taux applicable aux Prêts pour</w:t>
      </w:r>
      <w:r w:rsidR="00615FEA" w:rsidRPr="00B63BD5">
        <w:rPr>
          <w:lang w:val="fr-CA"/>
        </w:rPr>
        <w:t> </w:t>
      </w:r>
      <w:r w:rsidRPr="00B63BD5">
        <w:rPr>
          <w:lang w:val="fr-CA"/>
        </w:rPr>
        <w:t>découvert en dollars américains et est exigible selon les modalités décrites pour ces Prêts;</w:t>
      </w:r>
    </w:p>
    <w:p w14:paraId="3544CD67" w14:textId="2EEF2E94" w:rsidR="00414C16" w:rsidRPr="00B63BD5" w:rsidRDefault="00414C16" w:rsidP="00632863">
      <w:pPr>
        <w:spacing w:after="240"/>
        <w:ind w:left="700"/>
        <w:jc w:val="both"/>
        <w:rPr>
          <w:lang w:val="fr-CA"/>
        </w:rPr>
      </w:pPr>
      <w:r w:rsidRPr="00B63BD5">
        <w:rPr>
          <w:lang w:val="fr-CA"/>
        </w:rPr>
        <w:t>étant entendu que si la Lettre relative aux facilités ne prévoit pas les modalités d</w:t>
      </w:r>
      <w:r w:rsidR="00564B0C" w:rsidRPr="00B63BD5">
        <w:rPr>
          <w:lang w:val="fr-CA"/>
        </w:rPr>
        <w:t>’</w:t>
      </w:r>
      <w:r w:rsidRPr="00B63BD5">
        <w:rPr>
          <w:lang w:val="fr-CA"/>
        </w:rPr>
        <w:t>un tel Prêt pour</w:t>
      </w:r>
      <w:r w:rsidR="00615FEA" w:rsidRPr="00B63BD5">
        <w:rPr>
          <w:lang w:val="fr-CA"/>
        </w:rPr>
        <w:t> </w:t>
      </w:r>
      <w:r w:rsidRPr="00B63BD5">
        <w:rPr>
          <w:lang w:val="fr-CA"/>
        </w:rPr>
        <w:t>découvert</w:t>
      </w:r>
      <w:r w:rsidR="00AC4107" w:rsidRPr="00B63BD5">
        <w:rPr>
          <w:lang w:val="fr-CA"/>
        </w:rPr>
        <w:t xml:space="preserve"> </w:t>
      </w:r>
      <w:r w:rsidRPr="00B63BD5">
        <w:rPr>
          <w:lang w:val="fr-CA"/>
        </w:rPr>
        <w:t>:</w:t>
      </w:r>
    </w:p>
    <w:p w14:paraId="65585A97" w14:textId="4D4227BB" w:rsidR="004116AB" w:rsidRPr="00B63BD5" w:rsidRDefault="00414C16" w:rsidP="00404E07">
      <w:pPr>
        <w:pStyle w:val="04LOLglNew4"/>
        <w:rPr>
          <w:lang w:val="fr-CA"/>
        </w:rPr>
      </w:pPr>
      <w:r w:rsidRPr="00B63BD5">
        <w:rPr>
          <w:lang w:val="fr-CA"/>
        </w:rPr>
        <w:lastRenderedPageBreak/>
        <w:t>si le montant est en Dollars canadiens, il porte intérêt au Taux préférentiel de la Banque, majoré de 3</w:t>
      </w:r>
      <w:r w:rsidR="00B056F9" w:rsidRPr="00B63BD5">
        <w:rPr>
          <w:lang w:val="fr-CA"/>
        </w:rPr>
        <w:t> </w:t>
      </w:r>
      <w:r w:rsidRPr="00B63BD5">
        <w:rPr>
          <w:lang w:val="fr-CA"/>
        </w:rPr>
        <w:t xml:space="preserve">% par année, </w:t>
      </w:r>
      <w:r w:rsidR="004116AB" w:rsidRPr="00B63BD5">
        <w:rPr>
          <w:lang w:val="fr-CA"/>
        </w:rPr>
        <w:t>calculé quotidiennement et payable chaque mois; ou</w:t>
      </w:r>
    </w:p>
    <w:p w14:paraId="22290254" w14:textId="49D0655F" w:rsidR="00497D09" w:rsidRPr="00B63BD5" w:rsidRDefault="004116AB" w:rsidP="00404E07">
      <w:pPr>
        <w:pStyle w:val="04LOLglNew4"/>
        <w:rPr>
          <w:lang w:val="fr-CA"/>
        </w:rPr>
      </w:pPr>
      <w:r w:rsidRPr="00B63BD5">
        <w:rPr>
          <w:lang w:val="fr-CA"/>
        </w:rPr>
        <w:t>si le montant est en Dollars américains, il porte intérêt au Taux de bas</w:t>
      </w:r>
      <w:r w:rsidR="003B5277" w:rsidRPr="00B63BD5">
        <w:rPr>
          <w:lang w:val="fr-CA"/>
        </w:rPr>
        <w:t>e</w:t>
      </w:r>
      <w:r w:rsidRPr="00B63BD5">
        <w:rPr>
          <w:lang w:val="fr-CA"/>
        </w:rPr>
        <w:t xml:space="preserve"> américain de la Banque, majoré de 3</w:t>
      </w:r>
      <w:r w:rsidR="00B056F9" w:rsidRPr="00B63BD5">
        <w:rPr>
          <w:lang w:val="fr-CA"/>
        </w:rPr>
        <w:t> </w:t>
      </w:r>
      <w:r w:rsidRPr="00B63BD5">
        <w:rPr>
          <w:lang w:val="fr-CA"/>
        </w:rPr>
        <w:t>% par année, calculé quotidiennement et payable chaque mois</w:t>
      </w:r>
      <w:r w:rsidR="00622F9D" w:rsidRPr="00B63BD5">
        <w:rPr>
          <w:lang w:val="fr-CA"/>
        </w:rPr>
        <w:t xml:space="preserve">. </w:t>
      </w:r>
    </w:p>
    <w:p w14:paraId="48944469" w14:textId="17BAE127" w:rsidR="00622F9D" w:rsidRPr="00B63BD5" w:rsidRDefault="00622F9D" w:rsidP="000B7739">
      <w:pPr>
        <w:pStyle w:val="04LOLglNew3"/>
        <w:rPr>
          <w:lang w:val="fr-CA"/>
        </w:rPr>
      </w:pPr>
      <w:r w:rsidRPr="00B63BD5">
        <w:rPr>
          <w:lang w:val="fr-CA"/>
        </w:rPr>
        <w:t>Les frais pay</w:t>
      </w:r>
      <w:r w:rsidR="004F1438" w:rsidRPr="00B63BD5">
        <w:rPr>
          <w:lang w:val="fr-CA"/>
        </w:rPr>
        <w:t>és</w:t>
      </w:r>
      <w:r w:rsidRPr="00B63BD5">
        <w:rPr>
          <w:lang w:val="fr-CA"/>
        </w:rPr>
        <w:t xml:space="preserve"> à la Banque et reçus par celle</w:t>
      </w:r>
      <w:r w:rsidRPr="00B63BD5">
        <w:rPr>
          <w:lang w:val="fr-CA"/>
        </w:rPr>
        <w:noBreakHyphen/>
        <w:t xml:space="preserve">ci constituent la rémunération à laquelle </w:t>
      </w:r>
      <w:r w:rsidR="004F1438" w:rsidRPr="00B63BD5">
        <w:rPr>
          <w:lang w:val="fr-CA"/>
        </w:rPr>
        <w:t>celle</w:t>
      </w:r>
      <w:r w:rsidR="004F1438" w:rsidRPr="00B63BD5">
        <w:rPr>
          <w:lang w:val="fr-CA"/>
        </w:rPr>
        <w:noBreakHyphen/>
        <w:t xml:space="preserve">ci </w:t>
      </w:r>
      <w:r w:rsidRPr="00B63BD5">
        <w:rPr>
          <w:lang w:val="fr-CA"/>
        </w:rPr>
        <w:t>a droit en contrepartie du temps, de</w:t>
      </w:r>
      <w:r w:rsidR="00DC31E2" w:rsidRPr="00B63BD5">
        <w:rPr>
          <w:lang w:val="fr-CA"/>
        </w:rPr>
        <w:t>s</w:t>
      </w:r>
      <w:r w:rsidRPr="00B63BD5">
        <w:rPr>
          <w:lang w:val="fr-CA"/>
        </w:rPr>
        <w:t xml:space="preserve"> effort</w:t>
      </w:r>
      <w:r w:rsidR="00DC31E2" w:rsidRPr="00B63BD5">
        <w:rPr>
          <w:lang w:val="fr-CA"/>
        </w:rPr>
        <w:t>s</w:t>
      </w:r>
      <w:r w:rsidRPr="00B63BD5">
        <w:rPr>
          <w:lang w:val="fr-CA"/>
        </w:rPr>
        <w:t xml:space="preserve"> et des frais qu</w:t>
      </w:r>
      <w:r w:rsidR="00564B0C" w:rsidRPr="00B63BD5">
        <w:rPr>
          <w:lang w:val="fr-CA"/>
        </w:rPr>
        <w:t>’</w:t>
      </w:r>
      <w:r w:rsidRPr="00B63BD5">
        <w:rPr>
          <w:lang w:val="fr-CA"/>
        </w:rPr>
        <w:t xml:space="preserve">elle a engagés </w:t>
      </w:r>
      <w:r w:rsidR="004F1438" w:rsidRPr="00B63BD5">
        <w:rPr>
          <w:lang w:val="fr-CA"/>
        </w:rPr>
        <w:t>dans le cadre de l</w:t>
      </w:r>
      <w:r w:rsidR="00564B0C" w:rsidRPr="00B63BD5">
        <w:rPr>
          <w:lang w:val="fr-CA"/>
        </w:rPr>
        <w:t>’</w:t>
      </w:r>
      <w:r w:rsidR="004F1438" w:rsidRPr="00B63BD5">
        <w:rPr>
          <w:lang w:val="fr-CA"/>
        </w:rPr>
        <w:t>examen d</w:t>
      </w:r>
      <w:r w:rsidRPr="00B63BD5">
        <w:rPr>
          <w:lang w:val="fr-CA"/>
        </w:rPr>
        <w:t xml:space="preserve">es états financiers et </w:t>
      </w:r>
      <w:r w:rsidR="004F1438" w:rsidRPr="00B63BD5">
        <w:rPr>
          <w:lang w:val="fr-CA"/>
        </w:rPr>
        <w:t>de l</w:t>
      </w:r>
      <w:r w:rsidR="00564B0C" w:rsidRPr="00B63BD5">
        <w:rPr>
          <w:lang w:val="fr-CA"/>
        </w:rPr>
        <w:t>’</w:t>
      </w:r>
      <w:r w:rsidR="004F1438" w:rsidRPr="00B63BD5">
        <w:rPr>
          <w:lang w:val="fr-CA"/>
        </w:rPr>
        <w:t>examen et de l</w:t>
      </w:r>
      <w:r w:rsidR="00564B0C" w:rsidRPr="00B63BD5">
        <w:rPr>
          <w:lang w:val="fr-CA"/>
        </w:rPr>
        <w:t>’</w:t>
      </w:r>
      <w:r w:rsidRPr="00B63BD5">
        <w:rPr>
          <w:lang w:val="fr-CA"/>
        </w:rPr>
        <w:t>administr</w:t>
      </w:r>
      <w:r w:rsidR="004F1438" w:rsidRPr="00B63BD5">
        <w:rPr>
          <w:lang w:val="fr-CA"/>
        </w:rPr>
        <w:t xml:space="preserve">ation </w:t>
      </w:r>
      <w:r w:rsidRPr="00B63BD5">
        <w:rPr>
          <w:lang w:val="fr-CA"/>
        </w:rPr>
        <w:t>de documents</w:t>
      </w:r>
      <w:r w:rsidR="004F1438" w:rsidRPr="00B63BD5">
        <w:rPr>
          <w:lang w:val="fr-CA"/>
        </w:rPr>
        <w:t>,</w:t>
      </w:r>
      <w:r w:rsidRPr="00B63BD5">
        <w:rPr>
          <w:lang w:val="fr-CA"/>
        </w:rPr>
        <w:t xml:space="preserve"> et l</w:t>
      </w:r>
      <w:r w:rsidR="00564B0C" w:rsidRPr="00B63BD5">
        <w:rPr>
          <w:lang w:val="fr-CA"/>
        </w:rPr>
        <w:t>’</w:t>
      </w:r>
      <w:r w:rsidRPr="00B63BD5">
        <w:rPr>
          <w:lang w:val="fr-CA"/>
        </w:rPr>
        <w:t xml:space="preserve">Emprunteur reconnaît et convient </w:t>
      </w:r>
      <w:r w:rsidR="00DC31E2" w:rsidRPr="00B63BD5">
        <w:rPr>
          <w:lang w:val="fr-CA"/>
        </w:rPr>
        <w:t>qu</w:t>
      </w:r>
      <w:r w:rsidR="00564B0C" w:rsidRPr="00B63BD5">
        <w:rPr>
          <w:lang w:val="fr-CA"/>
        </w:rPr>
        <w:t>’</w:t>
      </w:r>
      <w:r w:rsidR="00DC31E2" w:rsidRPr="00B63BD5">
        <w:rPr>
          <w:lang w:val="fr-CA"/>
        </w:rPr>
        <w:t>il n</w:t>
      </w:r>
      <w:r w:rsidR="00564B0C" w:rsidRPr="00B63BD5">
        <w:rPr>
          <w:lang w:val="fr-CA"/>
        </w:rPr>
        <w:t>’</w:t>
      </w:r>
      <w:r w:rsidR="00DC31E2" w:rsidRPr="00B63BD5">
        <w:rPr>
          <w:lang w:val="fr-CA"/>
        </w:rPr>
        <w:t>est pas possible d</w:t>
      </w:r>
      <w:r w:rsidR="00564B0C" w:rsidRPr="00B63BD5">
        <w:rPr>
          <w:lang w:val="fr-CA"/>
        </w:rPr>
        <w:t>’</w:t>
      </w:r>
      <w:r w:rsidR="00DC31E2" w:rsidRPr="00B63BD5">
        <w:rPr>
          <w:lang w:val="fr-CA"/>
        </w:rPr>
        <w:t xml:space="preserve">établir ces coûts </w:t>
      </w:r>
      <w:r w:rsidRPr="00B63BD5">
        <w:rPr>
          <w:lang w:val="fr-CA"/>
        </w:rPr>
        <w:t>et que les frais indiqués dans la présente Lettre relative aux</w:t>
      </w:r>
      <w:r w:rsidR="00615FEA" w:rsidRPr="00B63BD5">
        <w:rPr>
          <w:lang w:val="fr-CA"/>
        </w:rPr>
        <w:t> </w:t>
      </w:r>
      <w:r w:rsidRPr="00B63BD5">
        <w:rPr>
          <w:lang w:val="fr-CA"/>
        </w:rPr>
        <w:t xml:space="preserve">facilités </w:t>
      </w:r>
      <w:r w:rsidR="00DC31E2" w:rsidRPr="00B63BD5">
        <w:rPr>
          <w:lang w:val="fr-CA"/>
        </w:rPr>
        <w:t xml:space="preserve">en </w:t>
      </w:r>
      <w:r w:rsidRPr="00B63BD5">
        <w:rPr>
          <w:lang w:val="fr-CA"/>
        </w:rPr>
        <w:t xml:space="preserve">constituent une estimation raisonnable. </w:t>
      </w:r>
    </w:p>
    <w:p w14:paraId="3689300B" w14:textId="55A3BBCA" w:rsidR="00921949" w:rsidRPr="00B63BD5" w:rsidRDefault="00921949" w:rsidP="000B7739">
      <w:pPr>
        <w:pStyle w:val="04LOLglNew3"/>
        <w:rPr>
          <w:lang w:val="fr-CA"/>
        </w:rPr>
      </w:pPr>
      <w:r w:rsidRPr="00B63BD5">
        <w:rPr>
          <w:lang w:val="fr-CA"/>
        </w:rPr>
        <w:t>Lorsqu</w:t>
      </w:r>
      <w:r w:rsidR="00564B0C" w:rsidRPr="00B63BD5">
        <w:rPr>
          <w:lang w:val="fr-CA"/>
        </w:rPr>
        <w:t>’</w:t>
      </w:r>
      <w:r w:rsidRPr="00B63BD5">
        <w:rPr>
          <w:lang w:val="fr-CA"/>
        </w:rPr>
        <w:t>un paiement est exigible un jour qui n</w:t>
      </w:r>
      <w:r w:rsidR="00564B0C" w:rsidRPr="00B63BD5">
        <w:rPr>
          <w:lang w:val="fr-CA"/>
        </w:rPr>
        <w:t>’</w:t>
      </w:r>
      <w:r w:rsidRPr="00B63BD5">
        <w:rPr>
          <w:lang w:val="fr-CA"/>
        </w:rPr>
        <w:t>est pas un Jour ouvrable, y compris, pour plus</w:t>
      </w:r>
      <w:r w:rsidR="007B0F5E" w:rsidRPr="00B63BD5">
        <w:rPr>
          <w:lang w:val="fr-CA"/>
        </w:rPr>
        <w:t xml:space="preserve"> </w:t>
      </w:r>
      <w:r w:rsidRPr="00B63BD5">
        <w:rPr>
          <w:lang w:val="fr-CA"/>
        </w:rPr>
        <w:t>de</w:t>
      </w:r>
      <w:r w:rsidR="00615FEA" w:rsidRPr="00B63BD5">
        <w:rPr>
          <w:lang w:val="fr-CA"/>
        </w:rPr>
        <w:t> </w:t>
      </w:r>
      <w:r w:rsidRPr="00B63BD5">
        <w:rPr>
          <w:lang w:val="fr-CA"/>
        </w:rPr>
        <w:t>précision, si cette date constitue la fin d</w:t>
      </w:r>
      <w:r w:rsidR="00564B0C" w:rsidRPr="00B63BD5">
        <w:rPr>
          <w:lang w:val="fr-CA"/>
        </w:rPr>
        <w:t>’</w:t>
      </w:r>
      <w:r w:rsidRPr="00B63BD5">
        <w:rPr>
          <w:lang w:val="fr-CA"/>
        </w:rPr>
        <w:t>une Période d</w:t>
      </w:r>
      <w:r w:rsidR="00564B0C" w:rsidRPr="00B63BD5">
        <w:rPr>
          <w:lang w:val="fr-CA"/>
        </w:rPr>
        <w:t>’</w:t>
      </w:r>
      <w:r w:rsidRPr="00B63BD5">
        <w:rPr>
          <w:lang w:val="fr-CA"/>
        </w:rPr>
        <w:t>intérêt</w:t>
      </w:r>
      <w:r w:rsidR="00E73AD8">
        <w:rPr>
          <w:lang w:val="fr-CA"/>
        </w:rPr>
        <w:t xml:space="preserve"> ou</w:t>
      </w:r>
      <w:r w:rsidRPr="00B63BD5">
        <w:rPr>
          <w:lang w:val="fr-CA"/>
        </w:rPr>
        <w:t xml:space="preserve"> d</w:t>
      </w:r>
      <w:r w:rsidR="00564B0C" w:rsidRPr="00B63BD5">
        <w:rPr>
          <w:lang w:val="fr-CA"/>
        </w:rPr>
        <w:t>’</w:t>
      </w:r>
      <w:r w:rsidRPr="00B63BD5">
        <w:rPr>
          <w:lang w:val="fr-CA"/>
        </w:rPr>
        <w:t xml:space="preserve">une Période </w:t>
      </w:r>
      <w:r w:rsidR="008902C5" w:rsidRPr="00B63BD5">
        <w:rPr>
          <w:lang w:val="fr-CA"/>
        </w:rPr>
        <w:t>SOFR</w:t>
      </w:r>
      <w:r w:rsidRPr="00B63BD5">
        <w:rPr>
          <w:lang w:val="fr-CA"/>
        </w:rPr>
        <w:t>, la date de paiement en</w:t>
      </w:r>
      <w:r w:rsidR="00564B0C" w:rsidRPr="00B63BD5">
        <w:rPr>
          <w:lang w:val="fr-CA"/>
        </w:rPr>
        <w:t xml:space="preserve"> </w:t>
      </w:r>
      <w:r w:rsidRPr="00B63BD5">
        <w:rPr>
          <w:lang w:val="fr-CA"/>
        </w:rPr>
        <w:t>question est reportée au Jour ouvrable suivant. L</w:t>
      </w:r>
      <w:r w:rsidR="00564B0C" w:rsidRPr="00B63BD5">
        <w:rPr>
          <w:lang w:val="fr-CA"/>
        </w:rPr>
        <w:t>’</w:t>
      </w:r>
      <w:r w:rsidRPr="00B63BD5">
        <w:rPr>
          <w:lang w:val="fr-CA"/>
        </w:rPr>
        <w:t>intérêt continuera de s</w:t>
      </w:r>
      <w:r w:rsidR="00564B0C" w:rsidRPr="00B63BD5">
        <w:rPr>
          <w:lang w:val="fr-CA"/>
        </w:rPr>
        <w:t>’</w:t>
      </w:r>
      <w:r w:rsidRPr="00B63BD5">
        <w:rPr>
          <w:lang w:val="fr-CA"/>
        </w:rPr>
        <w:t>accumuler sur ce paiement et sera payable conformément aux dispositions des présentes, jusqu</w:t>
      </w:r>
      <w:r w:rsidR="00564B0C" w:rsidRPr="00B63BD5">
        <w:rPr>
          <w:lang w:val="fr-CA"/>
        </w:rPr>
        <w:t>’</w:t>
      </w:r>
      <w:r w:rsidRPr="00B63BD5">
        <w:rPr>
          <w:lang w:val="fr-CA"/>
        </w:rPr>
        <w:t>à la date à laquelle la Banque reçoit ce paiement.</w:t>
      </w:r>
    </w:p>
    <w:p w14:paraId="7B11408A" w14:textId="4D093EAA" w:rsidR="00622F9D" w:rsidRPr="00B63BD5" w:rsidRDefault="00622F9D" w:rsidP="000B7739">
      <w:pPr>
        <w:pStyle w:val="04LOLglNew3"/>
        <w:rPr>
          <w:lang w:val="fr-CA"/>
        </w:rPr>
      </w:pPr>
      <w:r w:rsidRPr="00B63BD5">
        <w:rPr>
          <w:lang w:val="fr-CA"/>
        </w:rPr>
        <w:t>Si la Banque ne reçoit pas l</w:t>
      </w:r>
      <w:r w:rsidR="00564B0C" w:rsidRPr="00B63BD5">
        <w:rPr>
          <w:lang w:val="fr-CA"/>
        </w:rPr>
        <w:t>’</w:t>
      </w:r>
      <w:r w:rsidRPr="00B63BD5">
        <w:rPr>
          <w:lang w:val="fr-CA"/>
        </w:rPr>
        <w:t>intérêt à</w:t>
      </w:r>
      <w:r w:rsidR="004F1438" w:rsidRPr="00B63BD5">
        <w:rPr>
          <w:lang w:val="fr-CA"/>
        </w:rPr>
        <w:t xml:space="preserve"> une</w:t>
      </w:r>
      <w:r w:rsidRPr="00B63BD5">
        <w:rPr>
          <w:lang w:val="fr-CA"/>
        </w:rPr>
        <w:t xml:space="preserve"> date</w:t>
      </w:r>
      <w:r w:rsidR="004F1438" w:rsidRPr="00B63BD5">
        <w:rPr>
          <w:lang w:val="fr-CA"/>
        </w:rPr>
        <w:t xml:space="preserve"> de paiement</w:t>
      </w:r>
      <w:r w:rsidRPr="00B63BD5">
        <w:rPr>
          <w:lang w:val="fr-CA"/>
        </w:rPr>
        <w:t xml:space="preserve"> prévue </w:t>
      </w:r>
      <w:r w:rsidR="004F1438" w:rsidRPr="00B63BD5">
        <w:rPr>
          <w:lang w:val="fr-CA"/>
        </w:rPr>
        <w:t xml:space="preserve">dans </w:t>
      </w:r>
      <w:r w:rsidRPr="00B63BD5">
        <w:rPr>
          <w:lang w:val="fr-CA"/>
        </w:rPr>
        <w:t>la présente Lettre relative aux</w:t>
      </w:r>
      <w:r w:rsidR="00615FEA" w:rsidRPr="00B63BD5">
        <w:rPr>
          <w:lang w:val="fr-CA"/>
        </w:rPr>
        <w:t> </w:t>
      </w:r>
      <w:r w:rsidRPr="00B63BD5">
        <w:rPr>
          <w:lang w:val="fr-CA"/>
        </w:rPr>
        <w:t>facilités ou</w:t>
      </w:r>
      <w:r w:rsidR="004F1438" w:rsidRPr="00B63BD5">
        <w:rPr>
          <w:lang w:val="fr-CA"/>
        </w:rPr>
        <w:t xml:space="preserve"> dans</w:t>
      </w:r>
      <w:r w:rsidRPr="00B63BD5">
        <w:rPr>
          <w:lang w:val="fr-CA"/>
        </w:rPr>
        <w:t xml:space="preserve"> un autre document pertinent, </w:t>
      </w:r>
      <w:r w:rsidR="004F1438" w:rsidRPr="00B63BD5">
        <w:rPr>
          <w:lang w:val="fr-CA"/>
        </w:rPr>
        <w:t>l</w:t>
      </w:r>
      <w:r w:rsidR="00564B0C" w:rsidRPr="00B63BD5">
        <w:rPr>
          <w:lang w:val="fr-CA"/>
        </w:rPr>
        <w:t>’</w:t>
      </w:r>
      <w:r w:rsidR="004F1438" w:rsidRPr="00B63BD5">
        <w:rPr>
          <w:lang w:val="fr-CA"/>
        </w:rPr>
        <w:t xml:space="preserve">intérêt sur </w:t>
      </w:r>
      <w:r w:rsidRPr="00B63BD5">
        <w:rPr>
          <w:lang w:val="fr-CA"/>
        </w:rPr>
        <w:t>l</w:t>
      </w:r>
      <w:r w:rsidR="00564B0C" w:rsidRPr="00B63BD5">
        <w:rPr>
          <w:lang w:val="fr-CA"/>
        </w:rPr>
        <w:t>’</w:t>
      </w:r>
      <w:r w:rsidRPr="00B63BD5">
        <w:rPr>
          <w:lang w:val="fr-CA"/>
        </w:rPr>
        <w:t xml:space="preserve">intérêt </w:t>
      </w:r>
      <w:r w:rsidR="00DC31E2" w:rsidRPr="00B63BD5">
        <w:rPr>
          <w:lang w:val="fr-CA"/>
        </w:rPr>
        <w:t xml:space="preserve">en souffrance </w:t>
      </w:r>
      <w:r w:rsidR="004F1438" w:rsidRPr="00B63BD5">
        <w:rPr>
          <w:lang w:val="fr-CA"/>
        </w:rPr>
        <w:t>sera</w:t>
      </w:r>
      <w:r w:rsidRPr="00B63BD5">
        <w:rPr>
          <w:lang w:val="fr-CA"/>
        </w:rPr>
        <w:t xml:space="preserve"> composé </w:t>
      </w:r>
      <w:r w:rsidR="004F1438" w:rsidRPr="00B63BD5">
        <w:rPr>
          <w:lang w:val="fr-CA"/>
        </w:rPr>
        <w:t>à</w:t>
      </w:r>
      <w:r w:rsidR="00615FEA" w:rsidRPr="00B63BD5">
        <w:rPr>
          <w:lang w:val="fr-CA"/>
        </w:rPr>
        <w:t> </w:t>
      </w:r>
      <w:r w:rsidR="004F1438" w:rsidRPr="00B63BD5">
        <w:rPr>
          <w:lang w:val="fr-CA"/>
        </w:rPr>
        <w:t>titre d</w:t>
      </w:r>
      <w:r w:rsidR="00564B0C" w:rsidRPr="00B63BD5">
        <w:rPr>
          <w:lang w:val="fr-CA"/>
        </w:rPr>
        <w:t>’</w:t>
      </w:r>
      <w:r w:rsidRPr="00B63BD5">
        <w:rPr>
          <w:lang w:val="fr-CA"/>
        </w:rPr>
        <w:t>intérêt calculé et payable sur l</w:t>
      </w:r>
      <w:r w:rsidR="00564B0C" w:rsidRPr="00B63BD5">
        <w:rPr>
          <w:lang w:val="fr-CA"/>
        </w:rPr>
        <w:t>’</w:t>
      </w:r>
      <w:r w:rsidRPr="00B63BD5">
        <w:rPr>
          <w:lang w:val="fr-CA"/>
        </w:rPr>
        <w:t xml:space="preserve">intérêt </w:t>
      </w:r>
      <w:r w:rsidR="00DC31E2" w:rsidRPr="00B63BD5">
        <w:rPr>
          <w:lang w:val="fr-CA"/>
        </w:rPr>
        <w:t xml:space="preserve">en souffrance </w:t>
      </w:r>
      <w:r w:rsidRPr="00B63BD5">
        <w:rPr>
          <w:lang w:val="fr-CA"/>
        </w:rPr>
        <w:t>de la même manière et au même taux</w:t>
      </w:r>
      <w:r w:rsidR="00615FEA" w:rsidRPr="00B63BD5">
        <w:rPr>
          <w:lang w:val="fr-CA"/>
        </w:rPr>
        <w:t> </w:t>
      </w:r>
      <w:r w:rsidRPr="00B63BD5">
        <w:rPr>
          <w:lang w:val="fr-CA"/>
        </w:rPr>
        <w:t>ann</w:t>
      </w:r>
      <w:r w:rsidR="004F1438" w:rsidRPr="00B63BD5">
        <w:rPr>
          <w:lang w:val="fr-CA"/>
        </w:rPr>
        <w:t xml:space="preserve">uel </w:t>
      </w:r>
      <w:r w:rsidRPr="00B63BD5">
        <w:rPr>
          <w:lang w:val="fr-CA"/>
        </w:rPr>
        <w:t>qu</w:t>
      </w:r>
      <w:r w:rsidR="004F1438" w:rsidRPr="00B63BD5">
        <w:rPr>
          <w:lang w:val="fr-CA"/>
        </w:rPr>
        <w:t>i s</w:t>
      </w:r>
      <w:r w:rsidR="00564B0C" w:rsidRPr="00B63BD5">
        <w:rPr>
          <w:lang w:val="fr-CA"/>
        </w:rPr>
        <w:t>’</w:t>
      </w:r>
      <w:r w:rsidR="004F1438" w:rsidRPr="00B63BD5">
        <w:rPr>
          <w:lang w:val="fr-CA"/>
        </w:rPr>
        <w:t xml:space="preserve">appliquent </w:t>
      </w:r>
      <w:r w:rsidRPr="00B63BD5">
        <w:rPr>
          <w:lang w:val="fr-CA"/>
        </w:rPr>
        <w:t xml:space="preserve">à </w:t>
      </w:r>
      <w:r w:rsidR="00DC31E2" w:rsidRPr="00B63BD5">
        <w:rPr>
          <w:lang w:val="fr-CA"/>
        </w:rPr>
        <w:t xml:space="preserve">cet </w:t>
      </w:r>
      <w:r w:rsidRPr="00B63BD5">
        <w:rPr>
          <w:lang w:val="fr-CA"/>
        </w:rPr>
        <w:t xml:space="preserve">intérêt </w:t>
      </w:r>
      <w:r w:rsidR="00DC31E2" w:rsidRPr="00B63BD5">
        <w:rPr>
          <w:lang w:val="fr-CA"/>
        </w:rPr>
        <w:t xml:space="preserve">en souffrance </w:t>
      </w:r>
      <w:r w:rsidRPr="00B63BD5">
        <w:rPr>
          <w:lang w:val="fr-CA"/>
        </w:rPr>
        <w:t>jusqu</w:t>
      </w:r>
      <w:r w:rsidR="00564B0C" w:rsidRPr="00B63BD5">
        <w:rPr>
          <w:lang w:val="fr-CA"/>
        </w:rPr>
        <w:t>’</w:t>
      </w:r>
      <w:r w:rsidRPr="00B63BD5">
        <w:rPr>
          <w:lang w:val="fr-CA"/>
        </w:rPr>
        <w:t xml:space="preserve">au </w:t>
      </w:r>
      <w:r w:rsidR="004F1438" w:rsidRPr="00B63BD5">
        <w:rPr>
          <w:lang w:val="fr-CA"/>
        </w:rPr>
        <w:t xml:space="preserve">paiement </w:t>
      </w:r>
      <w:r w:rsidRPr="00B63BD5">
        <w:rPr>
          <w:lang w:val="fr-CA"/>
        </w:rPr>
        <w:t xml:space="preserve">intégral irrévocable. </w:t>
      </w:r>
      <w:r w:rsidR="00F130BC" w:rsidRPr="00B63BD5">
        <w:rPr>
          <w:lang w:val="fr-CA"/>
        </w:rPr>
        <w:t>Toute</w:t>
      </w:r>
      <w:r w:rsidR="00615FEA" w:rsidRPr="00B63BD5">
        <w:rPr>
          <w:lang w:val="fr-CA"/>
        </w:rPr>
        <w:t> </w:t>
      </w:r>
      <w:r w:rsidRPr="00B63BD5">
        <w:rPr>
          <w:lang w:val="fr-CA"/>
        </w:rPr>
        <w:t xml:space="preserve">autre somme qui </w:t>
      </w:r>
      <w:r w:rsidR="00F130BC" w:rsidRPr="00B63BD5">
        <w:rPr>
          <w:lang w:val="fr-CA"/>
        </w:rPr>
        <w:t>e</w:t>
      </w:r>
      <w:r w:rsidRPr="00B63BD5">
        <w:rPr>
          <w:lang w:val="fr-CA"/>
        </w:rPr>
        <w:t xml:space="preserve">st payable à la Banque aux termes de la présente Lettre relative aux facilités ou des </w:t>
      </w:r>
      <w:r w:rsidR="008522F4" w:rsidRPr="00B63BD5">
        <w:rPr>
          <w:lang w:val="fr-CA"/>
        </w:rPr>
        <w:t xml:space="preserve">autres </w:t>
      </w:r>
      <w:r w:rsidRPr="00B63BD5">
        <w:rPr>
          <w:lang w:val="fr-CA"/>
        </w:rPr>
        <w:t xml:space="preserve">Documents de prêt et </w:t>
      </w:r>
      <w:r w:rsidR="00CF4950" w:rsidRPr="00B63BD5">
        <w:rPr>
          <w:lang w:val="fr-CA"/>
        </w:rPr>
        <w:t xml:space="preserve">qui </w:t>
      </w:r>
      <w:r w:rsidRPr="00B63BD5">
        <w:rPr>
          <w:lang w:val="fr-CA"/>
        </w:rPr>
        <w:t>n</w:t>
      </w:r>
      <w:r w:rsidR="00564B0C" w:rsidRPr="00B63BD5">
        <w:rPr>
          <w:lang w:val="fr-CA"/>
        </w:rPr>
        <w:t>’</w:t>
      </w:r>
      <w:r w:rsidRPr="00B63BD5">
        <w:rPr>
          <w:lang w:val="fr-CA"/>
        </w:rPr>
        <w:t>est pas remboursée à la date d</w:t>
      </w:r>
      <w:r w:rsidR="00564B0C" w:rsidRPr="00B63BD5">
        <w:rPr>
          <w:lang w:val="fr-CA"/>
        </w:rPr>
        <w:t>’</w:t>
      </w:r>
      <w:r w:rsidRPr="00B63BD5">
        <w:rPr>
          <w:lang w:val="fr-CA"/>
        </w:rPr>
        <w:t>exigibilité porte</w:t>
      </w:r>
      <w:r w:rsidR="00F130BC" w:rsidRPr="00B63BD5">
        <w:rPr>
          <w:lang w:val="fr-CA"/>
        </w:rPr>
        <w:t>ra</w:t>
      </w:r>
      <w:r w:rsidRPr="00B63BD5">
        <w:rPr>
          <w:lang w:val="fr-CA"/>
        </w:rPr>
        <w:t xml:space="preserve"> intérêt à</w:t>
      </w:r>
      <w:r w:rsidR="00615FEA" w:rsidRPr="00B63BD5">
        <w:rPr>
          <w:lang w:val="fr-CA"/>
        </w:rPr>
        <w:t> </w:t>
      </w:r>
      <w:r w:rsidRPr="00B63BD5">
        <w:rPr>
          <w:lang w:val="fr-CA"/>
        </w:rPr>
        <w:t>partir de la date d</w:t>
      </w:r>
      <w:r w:rsidR="00564B0C" w:rsidRPr="00B63BD5">
        <w:rPr>
          <w:lang w:val="fr-CA"/>
        </w:rPr>
        <w:t>’</w:t>
      </w:r>
      <w:r w:rsidRPr="00B63BD5">
        <w:rPr>
          <w:lang w:val="fr-CA"/>
        </w:rPr>
        <w:t>exigibilité au Taux préférentiel de la Banque, majoré de 3</w:t>
      </w:r>
      <w:r w:rsidR="00B056F9" w:rsidRPr="00B63BD5">
        <w:rPr>
          <w:lang w:val="fr-CA"/>
        </w:rPr>
        <w:t> </w:t>
      </w:r>
      <w:r w:rsidRPr="00B63BD5">
        <w:rPr>
          <w:lang w:val="fr-CA"/>
        </w:rPr>
        <w:t>% par année,</w:t>
      </w:r>
      <w:r w:rsidR="00F130BC" w:rsidRPr="00B63BD5">
        <w:rPr>
          <w:lang w:val="fr-CA"/>
        </w:rPr>
        <w:t xml:space="preserve"> cet intérêt étant</w:t>
      </w:r>
      <w:r w:rsidRPr="00B63BD5">
        <w:rPr>
          <w:lang w:val="fr-CA"/>
        </w:rPr>
        <w:t xml:space="preserve"> calculé et payable mensuellement le dernier jour de chaque mois, tant avant qu</w:t>
      </w:r>
      <w:r w:rsidR="00564B0C" w:rsidRPr="00B63BD5">
        <w:rPr>
          <w:lang w:val="fr-CA"/>
        </w:rPr>
        <w:t>’</w:t>
      </w:r>
      <w:r w:rsidRPr="00B63BD5">
        <w:rPr>
          <w:lang w:val="fr-CA"/>
        </w:rPr>
        <w:t xml:space="preserve">après </w:t>
      </w:r>
      <w:r w:rsidR="00F130BC" w:rsidRPr="00B63BD5">
        <w:rPr>
          <w:lang w:val="fr-CA"/>
        </w:rPr>
        <w:t>une</w:t>
      </w:r>
      <w:r w:rsidR="00615FEA" w:rsidRPr="00B63BD5">
        <w:rPr>
          <w:lang w:val="fr-CA"/>
        </w:rPr>
        <w:t> </w:t>
      </w:r>
      <w:r w:rsidRPr="00B63BD5">
        <w:rPr>
          <w:lang w:val="fr-CA"/>
        </w:rPr>
        <w:t xml:space="preserve">demande de </w:t>
      </w:r>
      <w:r w:rsidR="00F130BC" w:rsidRPr="00B63BD5">
        <w:rPr>
          <w:lang w:val="fr-CA"/>
        </w:rPr>
        <w:t>paiement</w:t>
      </w:r>
      <w:r w:rsidRPr="00B63BD5">
        <w:rPr>
          <w:lang w:val="fr-CA"/>
        </w:rPr>
        <w:t>, un défaut, une échéance ou un jugement et jusqu</w:t>
      </w:r>
      <w:r w:rsidR="00564B0C" w:rsidRPr="00B63BD5">
        <w:rPr>
          <w:lang w:val="fr-CA"/>
        </w:rPr>
        <w:t>’</w:t>
      </w:r>
      <w:r w:rsidRPr="00B63BD5">
        <w:rPr>
          <w:lang w:val="fr-CA"/>
        </w:rPr>
        <w:t xml:space="preserve">au </w:t>
      </w:r>
      <w:r w:rsidR="00F130BC" w:rsidRPr="00B63BD5">
        <w:rPr>
          <w:lang w:val="fr-CA"/>
        </w:rPr>
        <w:t xml:space="preserve">paiement </w:t>
      </w:r>
      <w:r w:rsidRPr="00B63BD5">
        <w:rPr>
          <w:lang w:val="fr-CA"/>
        </w:rPr>
        <w:t>intégral irrévocable (sauf dans le cas des découverts</w:t>
      </w:r>
      <w:r w:rsidR="00F130BC" w:rsidRPr="00B63BD5">
        <w:rPr>
          <w:lang w:val="fr-CA"/>
        </w:rPr>
        <w:t xml:space="preserve"> qui</w:t>
      </w:r>
      <w:r w:rsidRPr="00B63BD5">
        <w:rPr>
          <w:lang w:val="fr-CA"/>
        </w:rPr>
        <w:t xml:space="preserve"> dépass</w:t>
      </w:r>
      <w:r w:rsidR="00F130BC" w:rsidRPr="00B63BD5">
        <w:rPr>
          <w:lang w:val="fr-CA"/>
        </w:rPr>
        <w:t>e</w:t>
      </w:r>
      <w:r w:rsidRPr="00B63BD5">
        <w:rPr>
          <w:lang w:val="fr-CA"/>
        </w:rPr>
        <w:t xml:space="preserve">nt la limite </w:t>
      </w:r>
      <w:r w:rsidR="00CF4950" w:rsidRPr="00B63BD5">
        <w:rPr>
          <w:lang w:val="fr-CA"/>
        </w:rPr>
        <w:t>autorisée</w:t>
      </w:r>
      <w:r w:rsidRPr="00B63BD5">
        <w:rPr>
          <w:lang w:val="fr-CA"/>
        </w:rPr>
        <w:t>, qui porte</w:t>
      </w:r>
      <w:r w:rsidR="00F130BC" w:rsidRPr="00B63BD5">
        <w:rPr>
          <w:lang w:val="fr-CA"/>
        </w:rPr>
        <w:t>ro</w:t>
      </w:r>
      <w:r w:rsidRPr="00B63BD5">
        <w:rPr>
          <w:lang w:val="fr-CA"/>
        </w:rPr>
        <w:t>nt intérêt au</w:t>
      </w:r>
      <w:r w:rsidR="00615FEA" w:rsidRPr="00B63BD5">
        <w:rPr>
          <w:lang w:val="fr-CA"/>
        </w:rPr>
        <w:t> </w:t>
      </w:r>
      <w:r w:rsidRPr="00B63BD5">
        <w:rPr>
          <w:lang w:val="fr-CA"/>
        </w:rPr>
        <w:t>taux de 21</w:t>
      </w:r>
      <w:r w:rsidR="00B056F9" w:rsidRPr="00B63BD5">
        <w:rPr>
          <w:lang w:val="fr-CA"/>
        </w:rPr>
        <w:t> </w:t>
      </w:r>
      <w:r w:rsidRPr="00B63BD5">
        <w:rPr>
          <w:lang w:val="fr-CA"/>
        </w:rPr>
        <w:t xml:space="preserve">% par année, </w:t>
      </w:r>
      <w:r w:rsidR="00DC31E2" w:rsidRPr="00B63BD5">
        <w:rPr>
          <w:lang w:val="fr-CA"/>
        </w:rPr>
        <w:t xml:space="preserve">tant </w:t>
      </w:r>
      <w:r w:rsidRPr="00B63BD5">
        <w:rPr>
          <w:lang w:val="fr-CA"/>
        </w:rPr>
        <w:t xml:space="preserve">avant </w:t>
      </w:r>
      <w:r w:rsidR="00DC31E2" w:rsidRPr="00B63BD5">
        <w:rPr>
          <w:lang w:val="fr-CA"/>
        </w:rPr>
        <w:t>qu</w:t>
      </w:r>
      <w:r w:rsidR="00564B0C" w:rsidRPr="00B63BD5">
        <w:rPr>
          <w:lang w:val="fr-CA"/>
        </w:rPr>
        <w:t>’</w:t>
      </w:r>
      <w:r w:rsidR="00DC31E2" w:rsidRPr="00B63BD5">
        <w:rPr>
          <w:lang w:val="fr-CA"/>
        </w:rPr>
        <w:t xml:space="preserve">après </w:t>
      </w:r>
      <w:r w:rsidR="00F130BC" w:rsidRPr="00B63BD5">
        <w:rPr>
          <w:lang w:val="fr-CA"/>
        </w:rPr>
        <w:t>une</w:t>
      </w:r>
      <w:r w:rsidRPr="00B63BD5">
        <w:rPr>
          <w:lang w:val="fr-CA"/>
        </w:rPr>
        <w:t xml:space="preserve"> demande de</w:t>
      </w:r>
      <w:r w:rsidR="00F130BC" w:rsidRPr="00B63BD5">
        <w:rPr>
          <w:lang w:val="fr-CA"/>
        </w:rPr>
        <w:t xml:space="preserve"> paiement</w:t>
      </w:r>
      <w:r w:rsidRPr="00B63BD5">
        <w:rPr>
          <w:lang w:val="fr-CA"/>
        </w:rPr>
        <w:t>, un défaut et un jugement jusqu</w:t>
      </w:r>
      <w:r w:rsidR="00564B0C" w:rsidRPr="00B63BD5">
        <w:rPr>
          <w:lang w:val="fr-CA"/>
        </w:rPr>
        <w:t>’</w:t>
      </w:r>
      <w:r w:rsidRPr="00B63BD5">
        <w:rPr>
          <w:lang w:val="fr-CA"/>
        </w:rPr>
        <w:t xml:space="preserve">au </w:t>
      </w:r>
      <w:r w:rsidR="00F130BC" w:rsidRPr="00B63BD5">
        <w:rPr>
          <w:lang w:val="fr-CA"/>
        </w:rPr>
        <w:t xml:space="preserve">paiement </w:t>
      </w:r>
      <w:r w:rsidRPr="00B63BD5">
        <w:rPr>
          <w:lang w:val="fr-CA"/>
        </w:rPr>
        <w:t xml:space="preserve">intégral irrévocable). </w:t>
      </w:r>
    </w:p>
    <w:p w14:paraId="5FE5EA83" w14:textId="0E377659" w:rsidR="00622F9D" w:rsidRPr="00B63BD5" w:rsidRDefault="00622F9D" w:rsidP="000B7739">
      <w:pPr>
        <w:pStyle w:val="04LOLglNew3"/>
        <w:rPr>
          <w:lang w:val="fr-CA"/>
        </w:rPr>
      </w:pPr>
      <w:r w:rsidRPr="00B63BD5">
        <w:rPr>
          <w:lang w:val="fr-CA"/>
        </w:rPr>
        <w:t>Tous les paiements</w:t>
      </w:r>
      <w:r w:rsidR="00C95C56" w:rsidRPr="00B63BD5">
        <w:rPr>
          <w:lang w:val="fr-CA"/>
        </w:rPr>
        <w:t xml:space="preserve"> destinés</w:t>
      </w:r>
      <w:r w:rsidRPr="00B63BD5">
        <w:rPr>
          <w:lang w:val="fr-CA"/>
        </w:rPr>
        <w:t xml:space="preserve"> à la Banque doivent être </w:t>
      </w:r>
      <w:r w:rsidR="00CF4950" w:rsidRPr="00B63BD5">
        <w:rPr>
          <w:lang w:val="fr-CA"/>
        </w:rPr>
        <w:t>faits à l</w:t>
      </w:r>
      <w:r w:rsidR="00564B0C" w:rsidRPr="00B63BD5">
        <w:rPr>
          <w:lang w:val="fr-CA"/>
        </w:rPr>
        <w:t>’</w:t>
      </w:r>
      <w:r w:rsidR="00CF4950" w:rsidRPr="00B63BD5">
        <w:rPr>
          <w:lang w:val="fr-CA"/>
        </w:rPr>
        <w:t xml:space="preserve">adresse de </w:t>
      </w:r>
      <w:r w:rsidRPr="00B63BD5">
        <w:rPr>
          <w:lang w:val="fr-CA"/>
        </w:rPr>
        <w:t>la Succursale</w:t>
      </w:r>
      <w:r w:rsidR="003A5B33" w:rsidRPr="00B63BD5">
        <w:rPr>
          <w:lang w:val="fr-CA"/>
        </w:rPr>
        <w:t xml:space="preserve"> </w:t>
      </w:r>
      <w:r w:rsidRPr="00B63BD5">
        <w:rPr>
          <w:lang w:val="fr-CA"/>
        </w:rPr>
        <w:t xml:space="preserve">ou à </w:t>
      </w:r>
      <w:r w:rsidR="00CF4950" w:rsidRPr="00B63BD5">
        <w:rPr>
          <w:lang w:val="fr-CA"/>
        </w:rPr>
        <w:t xml:space="preserve">toute </w:t>
      </w:r>
      <w:r w:rsidRPr="00B63BD5">
        <w:rPr>
          <w:lang w:val="fr-CA"/>
        </w:rPr>
        <w:t>autre</w:t>
      </w:r>
      <w:r w:rsidR="00257912" w:rsidRPr="00B63BD5">
        <w:rPr>
          <w:lang w:val="fr-CA"/>
        </w:rPr>
        <w:t xml:space="preserve"> </w:t>
      </w:r>
      <w:r w:rsidR="00CF4950" w:rsidRPr="00B63BD5">
        <w:rPr>
          <w:lang w:val="fr-CA"/>
        </w:rPr>
        <w:t xml:space="preserve">adresse </w:t>
      </w:r>
      <w:r w:rsidRPr="00B63BD5">
        <w:rPr>
          <w:lang w:val="fr-CA"/>
        </w:rPr>
        <w:t xml:space="preserve">que la Banque indique par écrit. </w:t>
      </w:r>
      <w:r w:rsidR="003A5B33" w:rsidRPr="00B63BD5">
        <w:rPr>
          <w:lang w:val="fr-CA"/>
        </w:rPr>
        <w:t xml:space="preserve">Ces paiements </w:t>
      </w:r>
      <w:r w:rsidRPr="00B63BD5">
        <w:rPr>
          <w:lang w:val="fr-CA"/>
        </w:rPr>
        <w:t>doi</w:t>
      </w:r>
      <w:r w:rsidR="003A5B33" w:rsidRPr="00B63BD5">
        <w:rPr>
          <w:lang w:val="fr-CA"/>
        </w:rPr>
        <w:t xml:space="preserve">vent être </w:t>
      </w:r>
      <w:r w:rsidR="00CF4950" w:rsidRPr="00B63BD5">
        <w:rPr>
          <w:lang w:val="fr-CA"/>
        </w:rPr>
        <w:t xml:space="preserve">faits </w:t>
      </w:r>
      <w:r w:rsidR="00DC31E2" w:rsidRPr="00B63BD5">
        <w:rPr>
          <w:lang w:val="fr-CA"/>
        </w:rPr>
        <w:t xml:space="preserve">en </w:t>
      </w:r>
      <w:r w:rsidRPr="00B63BD5">
        <w:rPr>
          <w:lang w:val="fr-CA"/>
        </w:rPr>
        <w:t>fonds immédiatement</w:t>
      </w:r>
      <w:r w:rsidR="00615FEA" w:rsidRPr="00B63BD5">
        <w:rPr>
          <w:lang w:val="fr-CA"/>
        </w:rPr>
        <w:t> </w:t>
      </w:r>
      <w:r w:rsidRPr="00B63BD5">
        <w:rPr>
          <w:lang w:val="fr-CA"/>
        </w:rPr>
        <w:t>disponibles</w:t>
      </w:r>
      <w:r w:rsidR="003A5B33" w:rsidRPr="00B63BD5">
        <w:rPr>
          <w:lang w:val="fr-CA"/>
        </w:rPr>
        <w:t xml:space="preserve"> libellés </w:t>
      </w:r>
      <w:r w:rsidRPr="00B63BD5">
        <w:rPr>
          <w:lang w:val="fr-CA"/>
        </w:rPr>
        <w:t>dans la ou les mêmes monnaies que celles dans lesq</w:t>
      </w:r>
      <w:r w:rsidR="00587AD3" w:rsidRPr="00B63BD5">
        <w:rPr>
          <w:lang w:val="fr-CA"/>
        </w:rPr>
        <w:t>uelles le</w:t>
      </w:r>
      <w:r w:rsidR="00615FEA" w:rsidRPr="00B63BD5">
        <w:rPr>
          <w:lang w:val="fr-CA"/>
        </w:rPr>
        <w:t> </w:t>
      </w:r>
      <w:r w:rsidR="00587AD3" w:rsidRPr="00B63BD5">
        <w:rPr>
          <w:lang w:val="fr-CA"/>
        </w:rPr>
        <w:t>Prêt,</w:t>
      </w:r>
      <w:r w:rsidR="00615FEA" w:rsidRPr="00B63BD5">
        <w:rPr>
          <w:lang w:val="fr-CA"/>
        </w:rPr>
        <w:t> </w:t>
      </w:r>
      <w:r w:rsidR="00587AD3" w:rsidRPr="00B63BD5">
        <w:rPr>
          <w:lang w:val="fr-CA"/>
        </w:rPr>
        <w:t>l</w:t>
      </w:r>
      <w:r w:rsidR="00564B0C" w:rsidRPr="00B63BD5">
        <w:rPr>
          <w:lang w:val="fr-CA"/>
        </w:rPr>
        <w:t>’</w:t>
      </w:r>
      <w:r w:rsidR="00587AD3" w:rsidRPr="00B63BD5">
        <w:rPr>
          <w:lang w:val="fr-CA"/>
        </w:rPr>
        <w:t>Avance sur</w:t>
      </w:r>
      <w:r w:rsidR="00615FEA" w:rsidRPr="00B63BD5">
        <w:rPr>
          <w:lang w:val="fr-CA"/>
        </w:rPr>
        <w:t> </w:t>
      </w:r>
      <w:r w:rsidR="00587AD3" w:rsidRPr="00B63BD5">
        <w:rPr>
          <w:lang w:val="fr-CA"/>
        </w:rPr>
        <w:t>l</w:t>
      </w:r>
      <w:r w:rsidR="00564B0C" w:rsidRPr="00B63BD5">
        <w:rPr>
          <w:lang w:val="fr-CA"/>
        </w:rPr>
        <w:t>’</w:t>
      </w:r>
      <w:r w:rsidR="00587AD3" w:rsidRPr="00B63BD5">
        <w:rPr>
          <w:lang w:val="fr-CA"/>
        </w:rPr>
        <w:t>A</w:t>
      </w:r>
      <w:r w:rsidRPr="00B63BD5">
        <w:rPr>
          <w:lang w:val="fr-CA"/>
        </w:rPr>
        <w:t>cceptation bancaire ou l</w:t>
      </w:r>
      <w:r w:rsidR="00564B0C" w:rsidRPr="00B63BD5">
        <w:rPr>
          <w:lang w:val="fr-CA"/>
        </w:rPr>
        <w:t>’</w:t>
      </w:r>
      <w:r w:rsidRPr="00B63BD5">
        <w:rPr>
          <w:lang w:val="fr-CA"/>
        </w:rPr>
        <w:t xml:space="preserve">autre crédit a </w:t>
      </w:r>
      <w:r w:rsidR="00257912" w:rsidRPr="00B63BD5">
        <w:rPr>
          <w:lang w:val="fr-CA"/>
        </w:rPr>
        <w:t xml:space="preserve">initialement </w:t>
      </w:r>
      <w:r w:rsidRPr="00B63BD5">
        <w:rPr>
          <w:lang w:val="fr-CA"/>
        </w:rPr>
        <w:t xml:space="preserve">été avancé ou </w:t>
      </w:r>
      <w:r w:rsidR="00257912" w:rsidRPr="00B63BD5">
        <w:rPr>
          <w:lang w:val="fr-CA"/>
        </w:rPr>
        <w:t xml:space="preserve">offert </w:t>
      </w:r>
      <w:r w:rsidRPr="00B63BD5">
        <w:rPr>
          <w:lang w:val="fr-CA"/>
        </w:rPr>
        <w:t>par</w:t>
      </w:r>
      <w:r w:rsidR="00615FEA" w:rsidRPr="00B63BD5">
        <w:rPr>
          <w:lang w:val="fr-CA"/>
        </w:rPr>
        <w:t> </w:t>
      </w:r>
      <w:r w:rsidRPr="00B63BD5">
        <w:rPr>
          <w:lang w:val="fr-CA"/>
        </w:rPr>
        <w:t>la</w:t>
      </w:r>
      <w:r w:rsidR="00615FEA" w:rsidRPr="00B63BD5">
        <w:rPr>
          <w:lang w:val="fr-CA"/>
        </w:rPr>
        <w:t> </w:t>
      </w:r>
      <w:r w:rsidRPr="00B63BD5">
        <w:rPr>
          <w:lang w:val="fr-CA"/>
        </w:rPr>
        <w:t>Banque. Un</w:t>
      </w:r>
      <w:r w:rsidR="00615FEA" w:rsidRPr="00B63BD5">
        <w:rPr>
          <w:lang w:val="fr-CA"/>
        </w:rPr>
        <w:t> </w:t>
      </w:r>
      <w:r w:rsidRPr="00B63BD5">
        <w:rPr>
          <w:lang w:val="fr-CA"/>
        </w:rPr>
        <w:t xml:space="preserve">paiement </w:t>
      </w:r>
      <w:r w:rsidR="00CF4950" w:rsidRPr="00B63BD5">
        <w:rPr>
          <w:lang w:val="fr-CA"/>
        </w:rPr>
        <w:t xml:space="preserve">fait </w:t>
      </w:r>
      <w:r w:rsidR="00257912" w:rsidRPr="00B63BD5">
        <w:rPr>
          <w:lang w:val="fr-CA"/>
        </w:rPr>
        <w:t>et remis</w:t>
      </w:r>
      <w:r w:rsidRPr="00B63BD5">
        <w:rPr>
          <w:lang w:val="fr-CA"/>
        </w:rPr>
        <w:t xml:space="preserve"> à la Banque avant 13</w:t>
      </w:r>
      <w:r w:rsidR="00AC4107" w:rsidRPr="00B63BD5">
        <w:rPr>
          <w:lang w:val="fr-CA"/>
        </w:rPr>
        <w:t xml:space="preserve"> </w:t>
      </w:r>
      <w:r w:rsidRPr="00B63BD5">
        <w:rPr>
          <w:lang w:val="fr-CA"/>
        </w:rPr>
        <w:t>h</w:t>
      </w:r>
      <w:r w:rsidR="00AC4107" w:rsidRPr="00B63BD5">
        <w:rPr>
          <w:lang w:val="fr-CA"/>
        </w:rPr>
        <w:t xml:space="preserve"> </w:t>
      </w:r>
      <w:r w:rsidR="00257912" w:rsidRPr="00B63BD5">
        <w:rPr>
          <w:lang w:val="fr-CA"/>
        </w:rPr>
        <w:t>(</w:t>
      </w:r>
      <w:r w:rsidRPr="00B63BD5">
        <w:rPr>
          <w:lang w:val="fr-CA"/>
        </w:rPr>
        <w:t>heure locale</w:t>
      </w:r>
      <w:r w:rsidR="00257912" w:rsidRPr="00B63BD5">
        <w:rPr>
          <w:lang w:val="fr-CA"/>
        </w:rPr>
        <w:t>)</w:t>
      </w:r>
      <w:r w:rsidRPr="00B63BD5">
        <w:rPr>
          <w:lang w:val="fr-CA"/>
        </w:rPr>
        <w:t xml:space="preserve"> à l</w:t>
      </w:r>
      <w:r w:rsidR="00564B0C" w:rsidRPr="00B63BD5">
        <w:rPr>
          <w:lang w:val="fr-CA"/>
        </w:rPr>
        <w:t>’</w:t>
      </w:r>
      <w:r w:rsidRPr="00B63BD5">
        <w:rPr>
          <w:lang w:val="fr-CA"/>
        </w:rPr>
        <w:t xml:space="preserve">endroit où il </w:t>
      </w:r>
      <w:r w:rsidR="00257912" w:rsidRPr="00B63BD5">
        <w:rPr>
          <w:lang w:val="fr-CA"/>
        </w:rPr>
        <w:t>doit être</w:t>
      </w:r>
      <w:r w:rsidR="00615FEA" w:rsidRPr="00B63BD5">
        <w:rPr>
          <w:lang w:val="fr-CA"/>
        </w:rPr>
        <w:t> </w:t>
      </w:r>
      <w:r w:rsidR="00CF4950" w:rsidRPr="00B63BD5">
        <w:rPr>
          <w:lang w:val="fr-CA"/>
        </w:rPr>
        <w:t xml:space="preserve">fait </w:t>
      </w:r>
      <w:r w:rsidRPr="00B63BD5">
        <w:rPr>
          <w:lang w:val="fr-CA"/>
        </w:rPr>
        <w:t>s</w:t>
      </w:r>
      <w:r w:rsidR="00257912" w:rsidRPr="00B63BD5">
        <w:rPr>
          <w:lang w:val="fr-CA"/>
        </w:rPr>
        <w:t>era</w:t>
      </w:r>
      <w:r w:rsidRPr="00B63BD5">
        <w:rPr>
          <w:lang w:val="fr-CA"/>
        </w:rPr>
        <w:t xml:space="preserve"> crédité</w:t>
      </w:r>
      <w:r w:rsidR="00615FEA" w:rsidRPr="00B63BD5">
        <w:rPr>
          <w:lang w:val="fr-CA"/>
        </w:rPr>
        <w:t> </w:t>
      </w:r>
      <w:r w:rsidRPr="00B63BD5">
        <w:rPr>
          <w:lang w:val="fr-CA"/>
        </w:rPr>
        <w:t xml:space="preserve">en date du jour où il est </w:t>
      </w:r>
      <w:r w:rsidR="00CF4950" w:rsidRPr="00B63BD5">
        <w:rPr>
          <w:lang w:val="fr-CA"/>
        </w:rPr>
        <w:t xml:space="preserve">fait </w:t>
      </w:r>
      <w:r w:rsidR="00257912" w:rsidRPr="00B63BD5">
        <w:rPr>
          <w:lang w:val="fr-CA"/>
        </w:rPr>
        <w:t>et, s</w:t>
      </w:r>
      <w:r w:rsidR="00564B0C" w:rsidRPr="00B63BD5">
        <w:rPr>
          <w:lang w:val="fr-CA"/>
        </w:rPr>
        <w:t>’</w:t>
      </w:r>
      <w:r w:rsidR="00257912" w:rsidRPr="00B63BD5">
        <w:rPr>
          <w:lang w:val="fr-CA"/>
        </w:rPr>
        <w:t xml:space="preserve">il est </w:t>
      </w:r>
      <w:r w:rsidR="00CF4950" w:rsidRPr="00B63BD5">
        <w:rPr>
          <w:lang w:val="fr-CA"/>
        </w:rPr>
        <w:t xml:space="preserve">fait </w:t>
      </w:r>
      <w:r w:rsidRPr="00B63BD5">
        <w:rPr>
          <w:lang w:val="fr-CA"/>
        </w:rPr>
        <w:t>après cette heure, il sera crédité en</w:t>
      </w:r>
      <w:r w:rsidR="00615FEA" w:rsidRPr="00B63BD5">
        <w:rPr>
          <w:lang w:val="fr-CA"/>
        </w:rPr>
        <w:t> </w:t>
      </w:r>
      <w:r w:rsidRPr="00B63BD5">
        <w:rPr>
          <w:lang w:val="fr-CA"/>
        </w:rPr>
        <w:t>date</w:t>
      </w:r>
      <w:r w:rsidR="00615FEA" w:rsidRPr="00B63BD5">
        <w:rPr>
          <w:lang w:val="fr-CA"/>
        </w:rPr>
        <w:t> </w:t>
      </w:r>
      <w:r w:rsidRPr="00B63BD5">
        <w:rPr>
          <w:lang w:val="fr-CA"/>
        </w:rPr>
        <w:t>du</w:t>
      </w:r>
      <w:r w:rsidR="00615FEA" w:rsidRPr="00B63BD5">
        <w:rPr>
          <w:lang w:val="fr-CA"/>
        </w:rPr>
        <w:t> </w:t>
      </w:r>
      <w:r w:rsidRPr="00B63BD5">
        <w:rPr>
          <w:lang w:val="fr-CA"/>
        </w:rPr>
        <w:t>Jour</w:t>
      </w:r>
      <w:r w:rsidR="00615FEA" w:rsidRPr="00B63BD5">
        <w:rPr>
          <w:lang w:val="fr-CA"/>
        </w:rPr>
        <w:t> </w:t>
      </w:r>
      <w:r w:rsidRPr="00B63BD5">
        <w:rPr>
          <w:lang w:val="fr-CA"/>
        </w:rPr>
        <w:t xml:space="preserve">ouvrable suivant. </w:t>
      </w:r>
    </w:p>
    <w:p w14:paraId="12629183" w14:textId="18D27880" w:rsidR="00622F9D" w:rsidRPr="00B63BD5" w:rsidRDefault="008902C5" w:rsidP="000B7739">
      <w:pPr>
        <w:pStyle w:val="04LOLglNew3"/>
        <w:rPr>
          <w:lang w:val="fr-CA"/>
        </w:rPr>
      </w:pPr>
      <w:r w:rsidRPr="00B63BD5">
        <w:rPr>
          <w:lang w:val="fr-CA"/>
        </w:rPr>
        <w:t>Les</w:t>
      </w:r>
      <w:r w:rsidR="00C66734" w:rsidRPr="00B63BD5">
        <w:rPr>
          <w:lang w:val="fr-CA"/>
        </w:rPr>
        <w:t xml:space="preserve"> parties </w:t>
      </w:r>
      <w:r w:rsidR="00622F9D" w:rsidRPr="00B63BD5">
        <w:rPr>
          <w:lang w:val="fr-CA"/>
        </w:rPr>
        <w:t>reconna</w:t>
      </w:r>
      <w:r w:rsidR="00C66734" w:rsidRPr="00B63BD5">
        <w:rPr>
          <w:lang w:val="fr-CA"/>
        </w:rPr>
        <w:t xml:space="preserve">issent </w:t>
      </w:r>
      <w:r w:rsidR="00FA1CBA" w:rsidRPr="00B63BD5">
        <w:rPr>
          <w:lang w:val="fr-CA"/>
        </w:rPr>
        <w:t>ce qui suit</w:t>
      </w:r>
      <w:r w:rsidR="00AC4107" w:rsidRPr="00B63BD5">
        <w:rPr>
          <w:lang w:val="fr-CA"/>
        </w:rPr>
        <w:t xml:space="preserve"> </w:t>
      </w:r>
      <w:r w:rsidR="00FA1CBA" w:rsidRPr="00B63BD5">
        <w:rPr>
          <w:lang w:val="fr-CA"/>
        </w:rPr>
        <w:t>:</w:t>
      </w:r>
      <w:r w:rsidR="00622F9D" w:rsidRPr="00B63BD5">
        <w:rPr>
          <w:lang w:val="fr-CA"/>
        </w:rPr>
        <w:t xml:space="preserve"> (i)</w:t>
      </w:r>
      <w:r w:rsidR="00AC4107" w:rsidRPr="00B63BD5">
        <w:rPr>
          <w:lang w:val="fr-CA"/>
        </w:rPr>
        <w:t xml:space="preserve"> </w:t>
      </w:r>
      <w:r w:rsidR="00622F9D" w:rsidRPr="00B63BD5">
        <w:rPr>
          <w:lang w:val="fr-CA"/>
        </w:rPr>
        <w:t>le</w:t>
      </w:r>
      <w:r w:rsidR="00AC4107" w:rsidRPr="00B63BD5">
        <w:rPr>
          <w:lang w:val="fr-CA"/>
        </w:rPr>
        <w:t xml:space="preserve"> </w:t>
      </w:r>
      <w:r w:rsidR="00622F9D" w:rsidRPr="00B63BD5">
        <w:rPr>
          <w:lang w:val="fr-CA"/>
        </w:rPr>
        <w:t>taux d</w:t>
      </w:r>
      <w:r w:rsidR="00564B0C" w:rsidRPr="00B63BD5">
        <w:rPr>
          <w:lang w:val="fr-CA"/>
        </w:rPr>
        <w:t>’</w:t>
      </w:r>
      <w:r w:rsidR="00622F9D" w:rsidRPr="00B63BD5">
        <w:rPr>
          <w:lang w:val="fr-CA"/>
        </w:rPr>
        <w:t xml:space="preserve">intérêt applicable </w:t>
      </w:r>
      <w:r w:rsidR="00CD3AB4" w:rsidRPr="00B63BD5">
        <w:rPr>
          <w:lang w:val="fr-CA"/>
        </w:rPr>
        <w:t>qu</w:t>
      </w:r>
      <w:r w:rsidR="00564B0C" w:rsidRPr="00B63BD5">
        <w:rPr>
          <w:lang w:val="fr-CA"/>
        </w:rPr>
        <w:t>’</w:t>
      </w:r>
      <w:r w:rsidR="00C66734" w:rsidRPr="00B63BD5">
        <w:rPr>
          <w:lang w:val="fr-CA"/>
        </w:rPr>
        <w:t xml:space="preserve">un Emprunteur </w:t>
      </w:r>
      <w:r w:rsidR="00CD3AB4" w:rsidRPr="00B63BD5">
        <w:rPr>
          <w:lang w:val="fr-CA"/>
        </w:rPr>
        <w:t xml:space="preserve">doit payer </w:t>
      </w:r>
      <w:r w:rsidR="00CF4950" w:rsidRPr="00B63BD5">
        <w:rPr>
          <w:lang w:val="fr-CA"/>
        </w:rPr>
        <w:t xml:space="preserve">relativement </w:t>
      </w:r>
      <w:r w:rsidR="00622F9D" w:rsidRPr="00B63BD5">
        <w:rPr>
          <w:lang w:val="fr-CA"/>
        </w:rPr>
        <w:t>à la présente Lettre relative aux facilités ne doit pas être inférieur à zéro</w:t>
      </w:r>
      <w:r w:rsidR="00E15137" w:rsidRPr="00B63BD5">
        <w:rPr>
          <w:lang w:val="fr-CA"/>
        </w:rPr>
        <w:t xml:space="preserve">, et </w:t>
      </w:r>
      <w:r w:rsidR="002E642F" w:rsidRPr="00B63BD5">
        <w:rPr>
          <w:lang w:val="fr-CA"/>
        </w:rPr>
        <w:t>tout</w:t>
      </w:r>
      <w:r w:rsidR="00CF4950" w:rsidRPr="00B63BD5">
        <w:rPr>
          <w:lang w:val="fr-CA"/>
        </w:rPr>
        <w:t xml:space="preserve"> </w:t>
      </w:r>
      <w:r w:rsidR="00622F9D" w:rsidRPr="00B63BD5">
        <w:rPr>
          <w:lang w:val="fr-CA"/>
        </w:rPr>
        <w:t>taux de</w:t>
      </w:r>
      <w:r w:rsidR="008C7DD2" w:rsidRPr="00B63BD5">
        <w:rPr>
          <w:lang w:val="fr-CA"/>
        </w:rPr>
        <w:t> </w:t>
      </w:r>
      <w:r w:rsidR="00622F9D" w:rsidRPr="00B63BD5">
        <w:rPr>
          <w:lang w:val="fr-CA"/>
        </w:rPr>
        <w:t xml:space="preserve">référence </w:t>
      </w:r>
      <w:r w:rsidR="002E642F" w:rsidRPr="00B63BD5">
        <w:rPr>
          <w:lang w:val="fr-CA"/>
        </w:rPr>
        <w:t>négatif</w:t>
      </w:r>
      <w:r w:rsidR="003F219F" w:rsidRPr="00B63BD5">
        <w:rPr>
          <w:lang w:val="fr-CA"/>
        </w:rPr>
        <w:t xml:space="preserve"> </w:t>
      </w:r>
      <w:r w:rsidR="004043C0" w:rsidRPr="00B63BD5">
        <w:rPr>
          <w:lang w:val="fr-CA"/>
        </w:rPr>
        <w:t xml:space="preserve">sera réputé être égal </w:t>
      </w:r>
      <w:r w:rsidR="003F219F" w:rsidRPr="00B63BD5">
        <w:rPr>
          <w:lang w:val="fr-CA"/>
        </w:rPr>
        <w:t>à zéro</w:t>
      </w:r>
      <w:r w:rsidRPr="00B63BD5">
        <w:rPr>
          <w:lang w:val="fr-CA"/>
        </w:rPr>
        <w:t>, à moins d</w:t>
      </w:r>
      <w:r w:rsidR="00564B0C" w:rsidRPr="00B63BD5">
        <w:rPr>
          <w:lang w:val="fr-CA"/>
        </w:rPr>
        <w:t>’</w:t>
      </w:r>
      <w:r w:rsidRPr="00B63BD5">
        <w:rPr>
          <w:lang w:val="fr-CA"/>
        </w:rPr>
        <w:t>indication contraire expresse</w:t>
      </w:r>
      <w:r w:rsidR="00FA1CBA" w:rsidRPr="00B63BD5">
        <w:rPr>
          <w:lang w:val="fr-CA"/>
        </w:rPr>
        <w:t>;</w:t>
      </w:r>
      <w:r w:rsidR="00662752" w:rsidRPr="00B63BD5">
        <w:rPr>
          <w:lang w:val="fr-CA"/>
        </w:rPr>
        <w:t xml:space="preserve"> (ii)</w:t>
      </w:r>
      <w:r w:rsidR="00AC4107" w:rsidRPr="00B63BD5">
        <w:rPr>
          <w:lang w:val="fr-CA"/>
        </w:rPr>
        <w:t xml:space="preserve"> </w:t>
      </w:r>
      <w:r w:rsidR="00662752" w:rsidRPr="00B63BD5">
        <w:rPr>
          <w:lang w:val="fr-CA"/>
        </w:rPr>
        <w:t>la</w:t>
      </w:r>
      <w:r w:rsidR="00AC4107" w:rsidRPr="00B63BD5">
        <w:rPr>
          <w:lang w:val="fr-CA"/>
        </w:rPr>
        <w:t xml:space="preserve"> </w:t>
      </w:r>
      <w:r w:rsidR="00662752" w:rsidRPr="00B63BD5">
        <w:rPr>
          <w:lang w:val="fr-CA"/>
        </w:rPr>
        <w:t xml:space="preserve">Banque peut, à sa discrétion, consentir une avance </w:t>
      </w:r>
      <w:r w:rsidR="00DC31E2" w:rsidRPr="00B63BD5">
        <w:rPr>
          <w:lang w:val="fr-CA"/>
        </w:rPr>
        <w:t xml:space="preserve">sur les </w:t>
      </w:r>
      <w:r w:rsidR="00662752" w:rsidRPr="00B63BD5">
        <w:rPr>
          <w:lang w:val="fr-CA"/>
        </w:rPr>
        <w:t xml:space="preserve">Facilités de crédit (ou débiter </w:t>
      </w:r>
      <w:r w:rsidR="00DC31E2" w:rsidRPr="00B63BD5">
        <w:rPr>
          <w:lang w:val="fr-CA"/>
        </w:rPr>
        <w:t xml:space="preserve">ou compenser </w:t>
      </w:r>
      <w:r w:rsidR="00662752" w:rsidRPr="00B63BD5">
        <w:rPr>
          <w:lang w:val="fr-CA"/>
        </w:rPr>
        <w:t>un</w:t>
      </w:r>
      <w:r w:rsidR="008C7DD2" w:rsidRPr="00B63BD5">
        <w:rPr>
          <w:lang w:val="fr-CA"/>
        </w:rPr>
        <w:t> </w:t>
      </w:r>
      <w:r w:rsidR="00662752" w:rsidRPr="00B63BD5">
        <w:rPr>
          <w:lang w:val="fr-CA"/>
        </w:rPr>
        <w:t>compte que l</w:t>
      </w:r>
      <w:r w:rsidR="00564B0C" w:rsidRPr="00B63BD5">
        <w:rPr>
          <w:lang w:val="fr-CA"/>
        </w:rPr>
        <w:t>’</w:t>
      </w:r>
      <w:r w:rsidR="00662752" w:rsidRPr="00B63BD5">
        <w:rPr>
          <w:lang w:val="fr-CA"/>
        </w:rPr>
        <w:t xml:space="preserve">Emprunteur </w:t>
      </w:r>
      <w:r w:rsidR="00F32BD1" w:rsidRPr="00B63BD5">
        <w:rPr>
          <w:lang w:val="fr-CA"/>
        </w:rPr>
        <w:t>a ouvert à la Banque</w:t>
      </w:r>
      <w:r w:rsidR="009D6017" w:rsidRPr="00B63BD5">
        <w:rPr>
          <w:lang w:val="fr-CA"/>
        </w:rPr>
        <w:t xml:space="preserve"> dans quelque monnaie que ce soit</w:t>
      </w:r>
      <w:r w:rsidR="00662752" w:rsidRPr="00B63BD5">
        <w:rPr>
          <w:lang w:val="fr-CA"/>
        </w:rPr>
        <w:t xml:space="preserve">) en vue de </w:t>
      </w:r>
      <w:r w:rsidR="00DC31E2" w:rsidRPr="00B63BD5">
        <w:rPr>
          <w:lang w:val="fr-CA"/>
        </w:rPr>
        <w:t>payer l</w:t>
      </w:r>
      <w:r w:rsidR="00564B0C" w:rsidRPr="00B63BD5">
        <w:rPr>
          <w:lang w:val="fr-CA"/>
        </w:rPr>
        <w:t>’</w:t>
      </w:r>
      <w:r w:rsidR="00662752" w:rsidRPr="00B63BD5">
        <w:rPr>
          <w:lang w:val="fr-CA"/>
        </w:rPr>
        <w:t xml:space="preserve">intérêt, </w:t>
      </w:r>
      <w:r w:rsidR="00DC31E2" w:rsidRPr="00B63BD5">
        <w:rPr>
          <w:lang w:val="fr-CA"/>
        </w:rPr>
        <w:t>l</w:t>
      </w:r>
      <w:r w:rsidR="00662752" w:rsidRPr="00B63BD5">
        <w:rPr>
          <w:lang w:val="fr-CA"/>
        </w:rPr>
        <w:t xml:space="preserve">es frais ou </w:t>
      </w:r>
      <w:r w:rsidR="00DC31E2" w:rsidRPr="00B63BD5">
        <w:rPr>
          <w:lang w:val="fr-CA"/>
        </w:rPr>
        <w:t xml:space="preserve">les </w:t>
      </w:r>
      <w:r w:rsidR="00662752" w:rsidRPr="00B63BD5">
        <w:rPr>
          <w:lang w:val="fr-CA"/>
        </w:rPr>
        <w:t xml:space="preserve">autres sommes </w:t>
      </w:r>
      <w:r w:rsidR="00DC31E2" w:rsidRPr="00B63BD5">
        <w:rPr>
          <w:lang w:val="fr-CA"/>
        </w:rPr>
        <w:t xml:space="preserve">qui sont devenus </w:t>
      </w:r>
      <w:r w:rsidR="00662752" w:rsidRPr="00B63BD5">
        <w:rPr>
          <w:lang w:val="fr-CA"/>
        </w:rPr>
        <w:t xml:space="preserve">exigibles aux termes de la présente Lettre relative aux facilités, et </w:t>
      </w:r>
      <w:r w:rsidR="0017140E" w:rsidRPr="00B63BD5">
        <w:rPr>
          <w:lang w:val="fr-CA"/>
        </w:rPr>
        <w:t>l</w:t>
      </w:r>
      <w:r w:rsidR="00564B0C" w:rsidRPr="00B63BD5">
        <w:rPr>
          <w:lang w:val="fr-CA"/>
        </w:rPr>
        <w:t>’</w:t>
      </w:r>
      <w:r w:rsidR="0017140E" w:rsidRPr="00B63BD5">
        <w:rPr>
          <w:lang w:val="fr-CA"/>
        </w:rPr>
        <w:t xml:space="preserve">Emprunteur autorise irrévocablement </w:t>
      </w:r>
      <w:r w:rsidR="00CF4950" w:rsidRPr="00B63BD5">
        <w:rPr>
          <w:lang w:val="fr-CA"/>
        </w:rPr>
        <w:t xml:space="preserve">la Banque </w:t>
      </w:r>
      <w:r w:rsidR="00662752" w:rsidRPr="00B63BD5">
        <w:rPr>
          <w:lang w:val="fr-CA"/>
        </w:rPr>
        <w:t>par les présentes à faire ce</w:t>
      </w:r>
      <w:r w:rsidR="008C7DD2" w:rsidRPr="00B63BD5">
        <w:rPr>
          <w:lang w:val="fr-CA"/>
        </w:rPr>
        <w:t> </w:t>
      </w:r>
      <w:r w:rsidR="00662752" w:rsidRPr="00B63BD5">
        <w:rPr>
          <w:lang w:val="fr-CA"/>
        </w:rPr>
        <w:t xml:space="preserve">qui </w:t>
      </w:r>
      <w:r w:rsidR="004C3780" w:rsidRPr="00B63BD5">
        <w:rPr>
          <w:lang w:val="fr-CA"/>
        </w:rPr>
        <w:t>p</w:t>
      </w:r>
      <w:r w:rsidR="00662752" w:rsidRPr="00B63BD5">
        <w:rPr>
          <w:lang w:val="fr-CA"/>
        </w:rPr>
        <w:t xml:space="preserve">récède. </w:t>
      </w:r>
      <w:r w:rsidR="00703EE4" w:rsidRPr="00B63BD5">
        <w:rPr>
          <w:lang w:val="fr-CA"/>
        </w:rPr>
        <w:t>Si l</w:t>
      </w:r>
      <w:r w:rsidR="00564B0C" w:rsidRPr="00B63BD5">
        <w:rPr>
          <w:lang w:val="fr-CA"/>
        </w:rPr>
        <w:t>’</w:t>
      </w:r>
      <w:r w:rsidR="00703EE4" w:rsidRPr="00B63BD5">
        <w:rPr>
          <w:lang w:val="fr-CA"/>
        </w:rPr>
        <w:t>une ou l</w:t>
      </w:r>
      <w:r w:rsidR="00564B0C" w:rsidRPr="00B63BD5">
        <w:rPr>
          <w:lang w:val="fr-CA"/>
        </w:rPr>
        <w:t>’</w:t>
      </w:r>
      <w:r w:rsidR="00703EE4" w:rsidRPr="00B63BD5">
        <w:rPr>
          <w:lang w:val="fr-CA"/>
        </w:rPr>
        <w:t>autre des dispositions de la présente Lettre relative aux facilités ou</w:t>
      </w:r>
      <w:r w:rsidR="008C7DD2" w:rsidRPr="00B63BD5">
        <w:rPr>
          <w:lang w:val="fr-CA"/>
        </w:rPr>
        <w:t> </w:t>
      </w:r>
      <w:r w:rsidR="00703EE4" w:rsidRPr="00B63BD5">
        <w:rPr>
          <w:lang w:val="fr-CA"/>
        </w:rPr>
        <w:t>d</w:t>
      </w:r>
      <w:r w:rsidR="00564B0C" w:rsidRPr="00B63BD5">
        <w:rPr>
          <w:lang w:val="fr-CA"/>
        </w:rPr>
        <w:t>’</w:t>
      </w:r>
      <w:r w:rsidR="00703EE4" w:rsidRPr="00B63BD5">
        <w:rPr>
          <w:lang w:val="fr-CA"/>
        </w:rPr>
        <w:t>un</w:t>
      </w:r>
      <w:r w:rsidR="008C7DD2" w:rsidRPr="00B63BD5">
        <w:rPr>
          <w:lang w:val="fr-CA"/>
        </w:rPr>
        <w:t> </w:t>
      </w:r>
      <w:r w:rsidR="002E642F" w:rsidRPr="00B63BD5">
        <w:rPr>
          <w:lang w:val="fr-CA"/>
        </w:rPr>
        <w:t xml:space="preserve">autre </w:t>
      </w:r>
      <w:r w:rsidR="00703EE4" w:rsidRPr="00B63BD5">
        <w:rPr>
          <w:lang w:val="fr-CA"/>
        </w:rPr>
        <w:t>Document de prêt devait obliger un Bénéficiaire du crédit à verser à la Banque un intérêt calculé à un taux ou une autre somme d</w:t>
      </w:r>
      <w:r w:rsidR="00564B0C" w:rsidRPr="00B63BD5">
        <w:rPr>
          <w:lang w:val="fr-CA"/>
        </w:rPr>
        <w:t>’</w:t>
      </w:r>
      <w:r w:rsidR="00703EE4" w:rsidRPr="00B63BD5">
        <w:rPr>
          <w:lang w:val="fr-CA"/>
        </w:rPr>
        <w:t>un montant qui serait interdit par la loi ou qui ferait en sorte que la Banque perçoive des intérêts à un taux criminel (</w:t>
      </w:r>
      <w:r w:rsidR="00B97375" w:rsidRPr="00B63BD5">
        <w:rPr>
          <w:lang w:val="fr-CA"/>
        </w:rPr>
        <w:t xml:space="preserve">tel que défini dans le </w:t>
      </w:r>
      <w:r w:rsidR="00703EE4" w:rsidRPr="00B63BD5">
        <w:rPr>
          <w:i/>
          <w:iCs/>
          <w:lang w:val="fr-CA"/>
        </w:rPr>
        <w:t>Code criminel</w:t>
      </w:r>
      <w:r w:rsidR="00703EE4" w:rsidRPr="00B63BD5">
        <w:rPr>
          <w:lang w:val="fr-CA"/>
        </w:rPr>
        <w:t xml:space="preserve"> (Canada)), nonobstant la disposition en question, ce taux ou cette somm</w:t>
      </w:r>
      <w:r w:rsidR="001E1971" w:rsidRPr="00B63BD5">
        <w:rPr>
          <w:lang w:val="fr-CA"/>
        </w:rPr>
        <w:t>e</w:t>
      </w:r>
      <w:r w:rsidR="00703EE4" w:rsidRPr="00B63BD5">
        <w:rPr>
          <w:lang w:val="fr-CA"/>
        </w:rPr>
        <w:t xml:space="preserve"> sera réputé avoir été rajusté, avec effet rétroactif, au taux d</w:t>
      </w:r>
      <w:r w:rsidR="00564B0C" w:rsidRPr="00B63BD5">
        <w:rPr>
          <w:lang w:val="fr-CA"/>
        </w:rPr>
        <w:t>’</w:t>
      </w:r>
      <w:r w:rsidR="00703EE4" w:rsidRPr="00B63BD5">
        <w:rPr>
          <w:lang w:val="fr-CA"/>
        </w:rPr>
        <w:t>intérêt ou à la somme maximal, selon le cas, qui ne serait pas interdit par la loi ou</w:t>
      </w:r>
      <w:r w:rsidR="008C7DD2" w:rsidRPr="00B63BD5">
        <w:rPr>
          <w:lang w:val="fr-CA"/>
        </w:rPr>
        <w:t> </w:t>
      </w:r>
      <w:r w:rsidR="00703EE4" w:rsidRPr="00B63BD5">
        <w:rPr>
          <w:lang w:val="fr-CA"/>
        </w:rPr>
        <w:t>qui ne ferait pas en sorte que la Banque perçoive des intérêts à un taux criminel</w:t>
      </w:r>
      <w:r w:rsidR="00570C1B" w:rsidRPr="00B63BD5">
        <w:rPr>
          <w:lang w:val="fr-CA"/>
        </w:rPr>
        <w:t>.</w:t>
      </w:r>
    </w:p>
    <w:p w14:paraId="6A7513F9" w14:textId="75ECE64B" w:rsidR="00662752" w:rsidRPr="00B63BD5" w:rsidRDefault="00662752" w:rsidP="000B7739">
      <w:pPr>
        <w:pStyle w:val="04LOLglNew3"/>
        <w:rPr>
          <w:lang w:val="fr-CA"/>
        </w:rPr>
      </w:pPr>
      <w:r w:rsidRPr="00B63BD5">
        <w:rPr>
          <w:lang w:val="fr-CA"/>
        </w:rPr>
        <w:t>L</w:t>
      </w:r>
      <w:r w:rsidR="00564B0C" w:rsidRPr="00B63BD5">
        <w:rPr>
          <w:lang w:val="fr-CA"/>
        </w:rPr>
        <w:t>’</w:t>
      </w:r>
      <w:r w:rsidRPr="00B63BD5">
        <w:rPr>
          <w:lang w:val="fr-CA"/>
        </w:rPr>
        <w:t xml:space="preserve">Emprunteur reconnaît que </w:t>
      </w:r>
      <w:r w:rsidR="00ED496C" w:rsidRPr="00B63BD5">
        <w:rPr>
          <w:lang w:val="fr-CA"/>
        </w:rPr>
        <w:t>l</w:t>
      </w:r>
      <w:r w:rsidR="00564B0C" w:rsidRPr="00B63BD5">
        <w:rPr>
          <w:lang w:val="fr-CA"/>
        </w:rPr>
        <w:t>’</w:t>
      </w:r>
      <w:r w:rsidR="009173C3" w:rsidRPr="00B63BD5">
        <w:rPr>
          <w:lang w:val="fr-CA"/>
        </w:rPr>
        <w:t xml:space="preserve">inscription effective </w:t>
      </w:r>
      <w:r w:rsidRPr="00B63BD5">
        <w:rPr>
          <w:lang w:val="fr-CA"/>
        </w:rPr>
        <w:t>d</w:t>
      </w:r>
      <w:r w:rsidR="00564B0C" w:rsidRPr="00B63BD5">
        <w:rPr>
          <w:lang w:val="fr-CA"/>
        </w:rPr>
        <w:t>’</w:t>
      </w:r>
      <w:r w:rsidRPr="00B63BD5">
        <w:rPr>
          <w:lang w:val="fr-CA"/>
        </w:rPr>
        <w:t xml:space="preserve">une avance consentie </w:t>
      </w:r>
      <w:r w:rsidR="00B040EC" w:rsidRPr="00B63BD5">
        <w:rPr>
          <w:lang w:val="fr-CA"/>
        </w:rPr>
        <w:t xml:space="preserve">sur les </w:t>
      </w:r>
      <w:r w:rsidRPr="00B63BD5">
        <w:rPr>
          <w:lang w:val="fr-CA"/>
        </w:rPr>
        <w:t>Facilités de crédit</w:t>
      </w:r>
      <w:r w:rsidR="00CF4950" w:rsidRPr="00B63BD5">
        <w:rPr>
          <w:lang w:val="fr-CA"/>
        </w:rPr>
        <w:t>,</w:t>
      </w:r>
      <w:r w:rsidR="00ED496C" w:rsidRPr="00B63BD5">
        <w:rPr>
          <w:lang w:val="fr-CA"/>
        </w:rPr>
        <w:t xml:space="preserve"> ou</w:t>
      </w:r>
      <w:r w:rsidR="008C7DD2" w:rsidRPr="00B63BD5">
        <w:rPr>
          <w:lang w:val="fr-CA"/>
        </w:rPr>
        <w:t> </w:t>
      </w:r>
      <w:r w:rsidR="009173C3" w:rsidRPr="00B63BD5">
        <w:rPr>
          <w:lang w:val="fr-CA"/>
        </w:rPr>
        <w:t>du</w:t>
      </w:r>
      <w:r w:rsidR="00ED496C" w:rsidRPr="00B63BD5">
        <w:rPr>
          <w:lang w:val="fr-CA"/>
        </w:rPr>
        <w:t xml:space="preserve"> remboursement de celle</w:t>
      </w:r>
      <w:r w:rsidR="00ED496C" w:rsidRPr="00B63BD5">
        <w:rPr>
          <w:lang w:val="fr-CA"/>
        </w:rPr>
        <w:noBreakHyphen/>
        <w:t>ci</w:t>
      </w:r>
      <w:r w:rsidR="00CF4950" w:rsidRPr="00B63BD5">
        <w:rPr>
          <w:lang w:val="fr-CA"/>
        </w:rPr>
        <w:t>,</w:t>
      </w:r>
      <w:r w:rsidRPr="00B63BD5">
        <w:rPr>
          <w:lang w:val="fr-CA"/>
        </w:rPr>
        <w:t xml:space="preserve"> </w:t>
      </w:r>
      <w:r w:rsidR="00CF4950" w:rsidRPr="00B63BD5">
        <w:rPr>
          <w:lang w:val="fr-CA"/>
        </w:rPr>
        <w:t xml:space="preserve">et </w:t>
      </w:r>
      <w:r w:rsidR="009173C3" w:rsidRPr="00B63BD5">
        <w:rPr>
          <w:lang w:val="fr-CA"/>
        </w:rPr>
        <w:t>de</w:t>
      </w:r>
      <w:r w:rsidRPr="00B63BD5">
        <w:rPr>
          <w:lang w:val="fr-CA"/>
        </w:rPr>
        <w:t xml:space="preserve"> l</w:t>
      </w:r>
      <w:r w:rsidR="00564B0C" w:rsidRPr="00B63BD5">
        <w:rPr>
          <w:lang w:val="fr-CA"/>
        </w:rPr>
        <w:t>’</w:t>
      </w:r>
      <w:r w:rsidRPr="00B63BD5">
        <w:rPr>
          <w:lang w:val="fr-CA"/>
        </w:rPr>
        <w:t xml:space="preserve">intérêt, </w:t>
      </w:r>
      <w:r w:rsidR="009173C3" w:rsidRPr="00B63BD5">
        <w:rPr>
          <w:lang w:val="fr-CA"/>
        </w:rPr>
        <w:t>d</w:t>
      </w:r>
      <w:r w:rsidRPr="00B63BD5">
        <w:rPr>
          <w:lang w:val="fr-CA"/>
        </w:rPr>
        <w:t>es frais et d</w:t>
      </w:r>
      <w:r w:rsidR="00564B0C" w:rsidRPr="00B63BD5">
        <w:rPr>
          <w:lang w:val="fr-CA"/>
        </w:rPr>
        <w:t>’</w:t>
      </w:r>
      <w:r w:rsidRPr="00B63BD5">
        <w:rPr>
          <w:lang w:val="fr-CA"/>
        </w:rPr>
        <w:t>autres sommes dues relativement aux</w:t>
      </w:r>
      <w:r w:rsidR="008C7DD2" w:rsidRPr="00B63BD5">
        <w:rPr>
          <w:lang w:val="fr-CA"/>
        </w:rPr>
        <w:t> </w:t>
      </w:r>
      <w:r w:rsidRPr="00B63BD5">
        <w:rPr>
          <w:lang w:val="fr-CA"/>
        </w:rPr>
        <w:t xml:space="preserve">Facilités de crédit </w:t>
      </w:r>
      <w:r w:rsidR="00B040EC" w:rsidRPr="00B63BD5">
        <w:rPr>
          <w:lang w:val="fr-CA"/>
        </w:rPr>
        <w:t xml:space="preserve">à un </w:t>
      </w:r>
      <w:r w:rsidRPr="00B63BD5">
        <w:rPr>
          <w:lang w:val="fr-CA"/>
        </w:rPr>
        <w:t>compte qu</w:t>
      </w:r>
      <w:r w:rsidR="00564B0C" w:rsidRPr="00B63BD5">
        <w:rPr>
          <w:lang w:val="fr-CA"/>
        </w:rPr>
        <w:t>’</w:t>
      </w:r>
      <w:r w:rsidRPr="00B63BD5">
        <w:rPr>
          <w:lang w:val="fr-CA"/>
        </w:rPr>
        <w:t xml:space="preserve">il </w:t>
      </w:r>
      <w:r w:rsidR="00F31396" w:rsidRPr="00B63BD5">
        <w:rPr>
          <w:lang w:val="fr-CA"/>
        </w:rPr>
        <w:t xml:space="preserve">a ouvert à </w:t>
      </w:r>
      <w:r w:rsidRPr="00B63BD5">
        <w:rPr>
          <w:lang w:val="fr-CA"/>
        </w:rPr>
        <w:t xml:space="preserve">la Banque </w:t>
      </w:r>
      <w:r w:rsidR="00B040EC" w:rsidRPr="00B63BD5">
        <w:rPr>
          <w:lang w:val="fr-CA"/>
        </w:rPr>
        <w:t xml:space="preserve">constitue </w:t>
      </w:r>
      <w:r w:rsidRPr="00B63BD5">
        <w:rPr>
          <w:lang w:val="fr-CA"/>
        </w:rPr>
        <w:t xml:space="preserve">une preuve </w:t>
      </w:r>
      <w:r w:rsidRPr="00B63BD5">
        <w:rPr>
          <w:i/>
          <w:lang w:val="fr-CA"/>
        </w:rPr>
        <w:t>prima</w:t>
      </w:r>
      <w:r w:rsidR="00AC4107" w:rsidRPr="00B63BD5">
        <w:rPr>
          <w:i/>
          <w:lang w:val="fr-CA"/>
        </w:rPr>
        <w:t xml:space="preserve"> </w:t>
      </w:r>
      <w:r w:rsidRPr="00B63BD5">
        <w:rPr>
          <w:i/>
          <w:lang w:val="fr-CA"/>
        </w:rPr>
        <w:t>facie</w:t>
      </w:r>
      <w:r w:rsidRPr="00B63BD5">
        <w:rPr>
          <w:lang w:val="fr-CA"/>
        </w:rPr>
        <w:t xml:space="preserve"> des</w:t>
      </w:r>
      <w:r w:rsidR="008C7DD2" w:rsidRPr="00B63BD5">
        <w:rPr>
          <w:lang w:val="fr-CA"/>
        </w:rPr>
        <w:t> </w:t>
      </w:r>
      <w:r w:rsidRPr="00B63BD5">
        <w:rPr>
          <w:lang w:val="fr-CA"/>
        </w:rPr>
        <w:t>dettes qu</w:t>
      </w:r>
      <w:r w:rsidR="00564B0C" w:rsidRPr="00B63BD5">
        <w:rPr>
          <w:lang w:val="fr-CA"/>
        </w:rPr>
        <w:t>’</w:t>
      </w:r>
      <w:r w:rsidRPr="00B63BD5">
        <w:rPr>
          <w:lang w:val="fr-CA"/>
        </w:rPr>
        <w:t>il a contractées aux termes des Facilités de crédit; toutefois,</w:t>
      </w:r>
      <w:r w:rsidR="009173C3" w:rsidRPr="00B63BD5">
        <w:rPr>
          <w:lang w:val="fr-CA"/>
        </w:rPr>
        <w:t xml:space="preserve"> </w:t>
      </w:r>
      <w:r w:rsidR="00B040EC" w:rsidRPr="00B63BD5">
        <w:rPr>
          <w:lang w:val="fr-CA"/>
        </w:rPr>
        <w:t xml:space="preserve">si </w:t>
      </w:r>
      <w:r w:rsidR="009173C3" w:rsidRPr="00B63BD5">
        <w:rPr>
          <w:lang w:val="fr-CA"/>
        </w:rPr>
        <w:t>la Banque ne fait pas</w:t>
      </w:r>
      <w:r w:rsidR="008C7DD2" w:rsidRPr="00B63BD5">
        <w:rPr>
          <w:lang w:val="fr-CA"/>
        </w:rPr>
        <w:t> </w:t>
      </w:r>
      <w:r w:rsidR="009173C3" w:rsidRPr="00B63BD5">
        <w:rPr>
          <w:lang w:val="fr-CA"/>
        </w:rPr>
        <w:t>une</w:t>
      </w:r>
      <w:r w:rsidR="008C7DD2" w:rsidRPr="00B63BD5">
        <w:rPr>
          <w:lang w:val="fr-CA"/>
        </w:rPr>
        <w:t> </w:t>
      </w:r>
      <w:r w:rsidR="009173C3" w:rsidRPr="00B63BD5">
        <w:rPr>
          <w:lang w:val="fr-CA"/>
        </w:rPr>
        <w:t>telle inscription</w:t>
      </w:r>
      <w:r w:rsidR="00B040EC" w:rsidRPr="00B63BD5">
        <w:rPr>
          <w:lang w:val="fr-CA"/>
        </w:rPr>
        <w:t>, cela</w:t>
      </w:r>
      <w:r w:rsidR="00B97375" w:rsidRPr="00B63BD5">
        <w:rPr>
          <w:lang w:val="fr-CA"/>
        </w:rPr>
        <w:t xml:space="preserve"> n</w:t>
      </w:r>
      <w:r w:rsidR="00564B0C" w:rsidRPr="00B63BD5">
        <w:rPr>
          <w:lang w:val="fr-CA"/>
        </w:rPr>
        <w:t>’</w:t>
      </w:r>
      <w:r w:rsidR="00B97375" w:rsidRPr="00B63BD5">
        <w:rPr>
          <w:lang w:val="fr-CA"/>
        </w:rPr>
        <w:t>aura aucun effet</w:t>
      </w:r>
      <w:r w:rsidR="00B040EC" w:rsidRPr="00B63BD5">
        <w:rPr>
          <w:lang w:val="fr-CA"/>
        </w:rPr>
        <w:t xml:space="preserve"> </w:t>
      </w:r>
      <w:r w:rsidR="001E1971" w:rsidRPr="00B63BD5">
        <w:rPr>
          <w:lang w:val="fr-CA"/>
        </w:rPr>
        <w:t>s</w:t>
      </w:r>
      <w:r w:rsidR="00B040EC" w:rsidRPr="00B63BD5">
        <w:rPr>
          <w:lang w:val="fr-CA"/>
        </w:rPr>
        <w:t xml:space="preserve">ur </w:t>
      </w:r>
      <w:r w:rsidRPr="00B63BD5">
        <w:rPr>
          <w:lang w:val="fr-CA"/>
        </w:rPr>
        <w:t>l</w:t>
      </w:r>
      <w:r w:rsidR="00564B0C" w:rsidRPr="00B63BD5">
        <w:rPr>
          <w:lang w:val="fr-CA"/>
        </w:rPr>
        <w:t>’</w:t>
      </w:r>
      <w:r w:rsidRPr="00B63BD5">
        <w:rPr>
          <w:lang w:val="fr-CA"/>
        </w:rPr>
        <w:t>obligation qui</w:t>
      </w:r>
      <w:r w:rsidR="009173C3" w:rsidRPr="00B63BD5">
        <w:rPr>
          <w:lang w:val="fr-CA"/>
        </w:rPr>
        <w:t xml:space="preserve"> </w:t>
      </w:r>
      <w:r w:rsidRPr="00B63BD5">
        <w:rPr>
          <w:lang w:val="fr-CA"/>
        </w:rPr>
        <w:t xml:space="preserve">incombe </w:t>
      </w:r>
      <w:r w:rsidR="009173C3" w:rsidRPr="00B63BD5">
        <w:rPr>
          <w:lang w:val="fr-CA"/>
        </w:rPr>
        <w:t>à l</w:t>
      </w:r>
      <w:r w:rsidR="00564B0C" w:rsidRPr="00B63BD5">
        <w:rPr>
          <w:lang w:val="fr-CA"/>
        </w:rPr>
        <w:t>’</w:t>
      </w:r>
      <w:r w:rsidR="009173C3" w:rsidRPr="00B63BD5">
        <w:rPr>
          <w:lang w:val="fr-CA"/>
        </w:rPr>
        <w:t xml:space="preserve">Emprunteur </w:t>
      </w:r>
      <w:r w:rsidRPr="00B63BD5">
        <w:rPr>
          <w:lang w:val="fr-CA"/>
        </w:rPr>
        <w:lastRenderedPageBreak/>
        <w:t>de</w:t>
      </w:r>
      <w:r w:rsidR="008C7DD2" w:rsidRPr="00B63BD5">
        <w:rPr>
          <w:lang w:val="fr-CA"/>
        </w:rPr>
        <w:t> </w:t>
      </w:r>
      <w:r w:rsidRPr="00B63BD5">
        <w:rPr>
          <w:lang w:val="fr-CA"/>
        </w:rPr>
        <w:t>rembourser ses</w:t>
      </w:r>
      <w:r w:rsidR="008C7DD2" w:rsidRPr="00B63BD5">
        <w:rPr>
          <w:lang w:val="fr-CA"/>
        </w:rPr>
        <w:t> </w:t>
      </w:r>
      <w:r w:rsidRPr="00B63BD5">
        <w:rPr>
          <w:lang w:val="fr-CA"/>
        </w:rPr>
        <w:t>dettes ou de remplir ses obligations conformément aux modalités des Facilités de</w:t>
      </w:r>
      <w:r w:rsidR="008C7DD2" w:rsidRPr="00B63BD5">
        <w:rPr>
          <w:lang w:val="fr-CA"/>
        </w:rPr>
        <w:t> </w:t>
      </w:r>
      <w:r w:rsidRPr="00B63BD5">
        <w:rPr>
          <w:lang w:val="fr-CA"/>
        </w:rPr>
        <w:t>crédit. L</w:t>
      </w:r>
      <w:r w:rsidR="00564B0C" w:rsidRPr="00B63BD5">
        <w:rPr>
          <w:lang w:val="fr-CA"/>
        </w:rPr>
        <w:t>’</w:t>
      </w:r>
      <w:r w:rsidRPr="00B63BD5">
        <w:rPr>
          <w:lang w:val="fr-CA"/>
        </w:rPr>
        <w:t xml:space="preserve">Emprunteur reconnaît également </w:t>
      </w:r>
      <w:r w:rsidR="00B040EC" w:rsidRPr="00B63BD5">
        <w:rPr>
          <w:lang w:val="fr-CA"/>
        </w:rPr>
        <w:t>qu</w:t>
      </w:r>
      <w:r w:rsidR="00564B0C" w:rsidRPr="00B63BD5">
        <w:rPr>
          <w:lang w:val="fr-CA"/>
        </w:rPr>
        <w:t>’</w:t>
      </w:r>
      <w:r w:rsidR="00B040EC" w:rsidRPr="00B63BD5">
        <w:rPr>
          <w:lang w:val="fr-CA"/>
        </w:rPr>
        <w:t xml:space="preserve">il doit à </w:t>
      </w:r>
      <w:r w:rsidRPr="00B63BD5">
        <w:rPr>
          <w:lang w:val="fr-CA"/>
        </w:rPr>
        <w:t xml:space="preserve">la Banque </w:t>
      </w:r>
      <w:r w:rsidR="00B040EC" w:rsidRPr="00B63BD5">
        <w:rPr>
          <w:lang w:val="fr-CA"/>
        </w:rPr>
        <w:t xml:space="preserve">le capital </w:t>
      </w:r>
      <w:r w:rsidRPr="00B63BD5">
        <w:rPr>
          <w:lang w:val="fr-CA"/>
        </w:rPr>
        <w:t>indiqué comme étant impayé dans les relevés de compte de la Banque</w:t>
      </w:r>
      <w:r w:rsidR="00CF4950" w:rsidRPr="00B63BD5">
        <w:rPr>
          <w:lang w:val="fr-CA"/>
        </w:rPr>
        <w:t xml:space="preserve">, </w:t>
      </w:r>
      <w:r w:rsidR="00C66734" w:rsidRPr="00B63BD5">
        <w:rPr>
          <w:lang w:val="fr-CA"/>
        </w:rPr>
        <w:t>y</w:t>
      </w:r>
      <w:r w:rsidR="00AC4107" w:rsidRPr="00B63BD5">
        <w:rPr>
          <w:lang w:val="fr-CA"/>
        </w:rPr>
        <w:t xml:space="preserve"> </w:t>
      </w:r>
      <w:r w:rsidR="00C66734" w:rsidRPr="00B63BD5">
        <w:rPr>
          <w:lang w:val="fr-CA"/>
        </w:rPr>
        <w:t xml:space="preserve">compris les sommes dont il est solidairement responsable, le cas échéant, </w:t>
      </w:r>
      <w:r w:rsidR="00CF4950" w:rsidRPr="00B63BD5">
        <w:rPr>
          <w:lang w:val="fr-CA"/>
        </w:rPr>
        <w:t xml:space="preserve">majoré de </w:t>
      </w:r>
      <w:r w:rsidRPr="00B63BD5">
        <w:rPr>
          <w:lang w:val="fr-CA"/>
        </w:rPr>
        <w:t>l</w:t>
      </w:r>
      <w:r w:rsidR="00564B0C" w:rsidRPr="00B63BD5">
        <w:rPr>
          <w:lang w:val="fr-CA"/>
        </w:rPr>
        <w:t>’</w:t>
      </w:r>
      <w:r w:rsidRPr="00B63BD5">
        <w:rPr>
          <w:lang w:val="fr-CA"/>
        </w:rPr>
        <w:t>i</w:t>
      </w:r>
      <w:r w:rsidR="009173C3" w:rsidRPr="00B63BD5">
        <w:rPr>
          <w:lang w:val="fr-CA"/>
        </w:rPr>
        <w:t xml:space="preserve">ntérêt </w:t>
      </w:r>
      <w:r w:rsidRPr="00B63BD5">
        <w:rPr>
          <w:lang w:val="fr-CA"/>
        </w:rPr>
        <w:t>couru et impayé</w:t>
      </w:r>
      <w:r w:rsidR="00B040EC" w:rsidRPr="00B63BD5">
        <w:rPr>
          <w:lang w:val="fr-CA"/>
        </w:rPr>
        <w:t>,</w:t>
      </w:r>
      <w:r w:rsidRPr="00B63BD5">
        <w:rPr>
          <w:lang w:val="fr-CA"/>
        </w:rPr>
        <w:t xml:space="preserve"> conformément aux modalités de</w:t>
      </w:r>
      <w:r w:rsidR="008C7DD2" w:rsidRPr="00B63BD5">
        <w:rPr>
          <w:lang w:val="fr-CA"/>
        </w:rPr>
        <w:t> </w:t>
      </w:r>
      <w:r w:rsidRPr="00B63BD5">
        <w:rPr>
          <w:lang w:val="fr-CA"/>
        </w:rPr>
        <w:t>la</w:t>
      </w:r>
      <w:r w:rsidR="008C7DD2" w:rsidRPr="00B63BD5">
        <w:rPr>
          <w:lang w:val="fr-CA"/>
        </w:rPr>
        <w:t> </w:t>
      </w:r>
      <w:r w:rsidRPr="00B63BD5">
        <w:rPr>
          <w:lang w:val="fr-CA"/>
        </w:rPr>
        <w:t xml:space="preserve">présente Lettre relative aux facilités. </w:t>
      </w:r>
    </w:p>
    <w:p w14:paraId="288C18F1" w14:textId="2A2AEFA9" w:rsidR="00662752" w:rsidRPr="00B63BD5" w:rsidRDefault="00662752" w:rsidP="000B7739">
      <w:pPr>
        <w:pStyle w:val="04LOLglNew3"/>
        <w:rPr>
          <w:lang w:val="fr-CA"/>
        </w:rPr>
      </w:pPr>
      <w:r w:rsidRPr="00B63BD5">
        <w:rPr>
          <w:lang w:val="fr-CA"/>
        </w:rPr>
        <w:t>L</w:t>
      </w:r>
      <w:r w:rsidR="00564B0C" w:rsidRPr="00B63BD5">
        <w:rPr>
          <w:lang w:val="fr-CA"/>
        </w:rPr>
        <w:t>’</w:t>
      </w:r>
      <w:r w:rsidRPr="00B63BD5">
        <w:rPr>
          <w:lang w:val="fr-CA"/>
        </w:rPr>
        <w:t>obligation qui incombe à l</w:t>
      </w:r>
      <w:r w:rsidR="00564B0C" w:rsidRPr="00B63BD5">
        <w:rPr>
          <w:lang w:val="fr-CA"/>
        </w:rPr>
        <w:t>’</w:t>
      </w:r>
      <w:r w:rsidRPr="00B63BD5">
        <w:rPr>
          <w:lang w:val="fr-CA"/>
        </w:rPr>
        <w:t xml:space="preserve">Emprunteur de </w:t>
      </w:r>
      <w:r w:rsidR="00CF4950" w:rsidRPr="00B63BD5">
        <w:rPr>
          <w:lang w:val="fr-CA"/>
        </w:rPr>
        <w:t xml:space="preserve">faire </w:t>
      </w:r>
      <w:r w:rsidRPr="00B63BD5">
        <w:rPr>
          <w:lang w:val="fr-CA"/>
        </w:rPr>
        <w:t>tous les paiements</w:t>
      </w:r>
      <w:r w:rsidR="007E4C61" w:rsidRPr="00B63BD5">
        <w:rPr>
          <w:lang w:val="fr-CA"/>
        </w:rPr>
        <w:t xml:space="preserve"> prévus dans </w:t>
      </w:r>
      <w:r w:rsidRPr="00B63BD5">
        <w:rPr>
          <w:lang w:val="fr-CA"/>
        </w:rPr>
        <w:t>la présente Lettre</w:t>
      </w:r>
      <w:r w:rsidR="008C7DD2" w:rsidRPr="00B63BD5">
        <w:rPr>
          <w:lang w:val="fr-CA"/>
        </w:rPr>
        <w:t> </w:t>
      </w:r>
      <w:r w:rsidRPr="00B63BD5">
        <w:rPr>
          <w:lang w:val="fr-CA"/>
        </w:rPr>
        <w:t>relative aux facilités</w:t>
      </w:r>
      <w:r w:rsidR="007E4C61" w:rsidRPr="00B63BD5">
        <w:rPr>
          <w:lang w:val="fr-CA"/>
        </w:rPr>
        <w:t xml:space="preserve"> et </w:t>
      </w:r>
      <w:r w:rsidR="00CF4950" w:rsidRPr="00B63BD5">
        <w:rPr>
          <w:lang w:val="fr-CA"/>
        </w:rPr>
        <w:t xml:space="preserve">dans </w:t>
      </w:r>
      <w:r w:rsidR="007E4C61" w:rsidRPr="00B63BD5">
        <w:rPr>
          <w:lang w:val="fr-CA"/>
        </w:rPr>
        <w:t>l</w:t>
      </w:r>
      <w:r w:rsidRPr="00B63BD5">
        <w:rPr>
          <w:lang w:val="fr-CA"/>
        </w:rPr>
        <w:t xml:space="preserve">es </w:t>
      </w:r>
      <w:r w:rsidR="0046352F" w:rsidRPr="00B63BD5">
        <w:rPr>
          <w:lang w:val="fr-CA"/>
        </w:rPr>
        <w:t xml:space="preserve">autres </w:t>
      </w:r>
      <w:r w:rsidRPr="00B63BD5">
        <w:rPr>
          <w:lang w:val="fr-CA"/>
        </w:rPr>
        <w:t>Documents de prêt est absolue et inconditionnelle</w:t>
      </w:r>
      <w:r w:rsidR="00342BB3" w:rsidRPr="00B63BD5">
        <w:rPr>
          <w:lang w:val="fr-CA"/>
        </w:rPr>
        <w:t xml:space="preserve"> et</w:t>
      </w:r>
      <w:r w:rsidR="008C7DD2" w:rsidRPr="00B63BD5">
        <w:rPr>
          <w:lang w:val="fr-CA"/>
        </w:rPr>
        <w:t> </w:t>
      </w:r>
      <w:r w:rsidR="007E4C61" w:rsidRPr="00B63BD5">
        <w:rPr>
          <w:lang w:val="fr-CA"/>
        </w:rPr>
        <w:t>aucune somme, quelle qu</w:t>
      </w:r>
      <w:r w:rsidR="00564B0C" w:rsidRPr="00B63BD5">
        <w:rPr>
          <w:lang w:val="fr-CA"/>
        </w:rPr>
        <w:t>’</w:t>
      </w:r>
      <w:r w:rsidR="007E4C61" w:rsidRPr="00B63BD5">
        <w:rPr>
          <w:lang w:val="fr-CA"/>
        </w:rPr>
        <w:t xml:space="preserve">elle soit, ne doit être déduite de ces </w:t>
      </w:r>
      <w:r w:rsidRPr="00B63BD5">
        <w:rPr>
          <w:lang w:val="fr-CA"/>
        </w:rPr>
        <w:t xml:space="preserve">paiements </w:t>
      </w:r>
      <w:r w:rsidR="007E4C61" w:rsidRPr="00B63BD5">
        <w:rPr>
          <w:lang w:val="fr-CA"/>
        </w:rPr>
        <w:t>ni retenue sur ceux</w:t>
      </w:r>
      <w:r w:rsidR="00342BB3" w:rsidRPr="00B63BD5">
        <w:rPr>
          <w:lang w:val="fr-CA"/>
        </w:rPr>
        <w:noBreakHyphen/>
      </w:r>
      <w:r w:rsidR="007E4C61" w:rsidRPr="00B63BD5">
        <w:rPr>
          <w:lang w:val="fr-CA"/>
        </w:rPr>
        <w:t>ci et</w:t>
      </w:r>
      <w:r w:rsidR="008C7DD2" w:rsidRPr="00B63BD5">
        <w:rPr>
          <w:lang w:val="fr-CA"/>
        </w:rPr>
        <w:t> </w:t>
      </w:r>
      <w:r w:rsidR="007E4C61" w:rsidRPr="00B63BD5">
        <w:rPr>
          <w:lang w:val="fr-CA"/>
        </w:rPr>
        <w:t>aucune circonstance, y</w:t>
      </w:r>
      <w:r w:rsidR="00AC4107" w:rsidRPr="00B63BD5">
        <w:rPr>
          <w:lang w:val="fr-CA"/>
        </w:rPr>
        <w:t xml:space="preserve"> </w:t>
      </w:r>
      <w:r w:rsidR="007E4C61" w:rsidRPr="00B63BD5">
        <w:rPr>
          <w:lang w:val="fr-CA"/>
        </w:rPr>
        <w:t xml:space="preserve">compris </w:t>
      </w:r>
      <w:r w:rsidR="00342BB3" w:rsidRPr="00B63BD5">
        <w:rPr>
          <w:lang w:val="fr-CA"/>
        </w:rPr>
        <w:t>l</w:t>
      </w:r>
      <w:r w:rsidR="00564B0C" w:rsidRPr="00B63BD5">
        <w:rPr>
          <w:lang w:val="fr-CA"/>
        </w:rPr>
        <w:t>’</w:t>
      </w:r>
      <w:r w:rsidR="00342BB3" w:rsidRPr="00B63BD5">
        <w:rPr>
          <w:lang w:val="fr-CA"/>
        </w:rPr>
        <w:t>une ou l</w:t>
      </w:r>
      <w:r w:rsidR="00564B0C" w:rsidRPr="00B63BD5">
        <w:rPr>
          <w:lang w:val="fr-CA"/>
        </w:rPr>
        <w:t>’</w:t>
      </w:r>
      <w:r w:rsidR="00342BB3" w:rsidRPr="00B63BD5">
        <w:rPr>
          <w:lang w:val="fr-CA"/>
        </w:rPr>
        <w:t xml:space="preserve">autre des circonstances suivantes, ne doit </w:t>
      </w:r>
      <w:r w:rsidR="00B040EC" w:rsidRPr="00B63BD5">
        <w:rPr>
          <w:lang w:val="fr-CA"/>
        </w:rPr>
        <w:t>limiter cette obligation ou</w:t>
      </w:r>
      <w:r w:rsidR="008C7DD2" w:rsidRPr="00B63BD5">
        <w:rPr>
          <w:lang w:val="fr-CA"/>
        </w:rPr>
        <w:t> </w:t>
      </w:r>
      <w:r w:rsidR="00B040EC" w:rsidRPr="00B63BD5">
        <w:rPr>
          <w:lang w:val="fr-CA"/>
        </w:rPr>
        <w:t>influer sur celle</w:t>
      </w:r>
      <w:r w:rsidR="00B040EC" w:rsidRPr="00B63BD5">
        <w:rPr>
          <w:lang w:val="fr-CA"/>
        </w:rPr>
        <w:noBreakHyphen/>
        <w:t>ci</w:t>
      </w:r>
      <w:r w:rsidR="00AC4107" w:rsidRPr="00B63BD5">
        <w:rPr>
          <w:lang w:val="fr-CA"/>
        </w:rPr>
        <w:t xml:space="preserve"> </w:t>
      </w:r>
      <w:r w:rsidR="00B040EC" w:rsidRPr="00B63BD5">
        <w:rPr>
          <w:lang w:val="fr-CA"/>
        </w:rPr>
        <w:t>:</w:t>
      </w:r>
      <w:r w:rsidR="00342BB3" w:rsidRPr="00B63BD5">
        <w:rPr>
          <w:lang w:val="fr-CA"/>
        </w:rPr>
        <w:t xml:space="preserve"> </w:t>
      </w:r>
    </w:p>
    <w:p w14:paraId="21A59518" w14:textId="76050090" w:rsidR="00662752" w:rsidRPr="00B63BD5" w:rsidRDefault="00342BB3" w:rsidP="00404E07">
      <w:pPr>
        <w:pStyle w:val="04LOLglNew4"/>
        <w:rPr>
          <w:lang w:val="fr-CA"/>
        </w:rPr>
      </w:pPr>
      <w:r w:rsidRPr="00B63BD5">
        <w:rPr>
          <w:lang w:val="fr-CA"/>
        </w:rPr>
        <w:t>l</w:t>
      </w:r>
      <w:r w:rsidR="00564B0C" w:rsidRPr="00B63BD5">
        <w:rPr>
          <w:lang w:val="fr-CA"/>
        </w:rPr>
        <w:t>’</w:t>
      </w:r>
      <w:r w:rsidRPr="00B63BD5">
        <w:rPr>
          <w:lang w:val="fr-CA"/>
        </w:rPr>
        <w:t>Emprunteur exerce un droit de</w:t>
      </w:r>
      <w:r w:rsidR="00662752" w:rsidRPr="00B63BD5">
        <w:rPr>
          <w:lang w:val="fr-CA"/>
        </w:rPr>
        <w:t xml:space="preserve"> compensation, </w:t>
      </w:r>
      <w:r w:rsidRPr="00B63BD5">
        <w:rPr>
          <w:lang w:val="fr-CA"/>
        </w:rPr>
        <w:t>de</w:t>
      </w:r>
      <w:r w:rsidR="00662752" w:rsidRPr="00B63BD5">
        <w:rPr>
          <w:lang w:val="fr-CA"/>
        </w:rPr>
        <w:t xml:space="preserve"> </w:t>
      </w:r>
      <w:r w:rsidR="00B040EC" w:rsidRPr="00B63BD5">
        <w:rPr>
          <w:lang w:val="fr-CA"/>
        </w:rPr>
        <w:t>demande recon</w:t>
      </w:r>
      <w:r w:rsidR="00814AAC" w:rsidRPr="00B63BD5">
        <w:rPr>
          <w:lang w:val="fr-CA"/>
        </w:rPr>
        <w:t>ven</w:t>
      </w:r>
      <w:r w:rsidR="00B040EC" w:rsidRPr="00B63BD5">
        <w:rPr>
          <w:lang w:val="fr-CA"/>
        </w:rPr>
        <w:t>tionnelle</w:t>
      </w:r>
      <w:r w:rsidR="00662752" w:rsidRPr="00B63BD5">
        <w:rPr>
          <w:lang w:val="fr-CA"/>
        </w:rPr>
        <w:t xml:space="preserve">, </w:t>
      </w:r>
      <w:r w:rsidRPr="00B63BD5">
        <w:rPr>
          <w:lang w:val="fr-CA"/>
        </w:rPr>
        <w:t>de</w:t>
      </w:r>
      <w:r w:rsidR="00662752" w:rsidRPr="00B63BD5">
        <w:rPr>
          <w:lang w:val="fr-CA"/>
        </w:rPr>
        <w:t xml:space="preserve"> recouvrement</w:t>
      </w:r>
      <w:r w:rsidRPr="00B63BD5">
        <w:rPr>
          <w:lang w:val="fr-CA"/>
        </w:rPr>
        <w:t xml:space="preserve"> ou</w:t>
      </w:r>
      <w:r w:rsidR="00662752" w:rsidRPr="00B63BD5">
        <w:rPr>
          <w:lang w:val="fr-CA"/>
        </w:rPr>
        <w:t xml:space="preserve"> </w:t>
      </w:r>
      <w:r w:rsidRPr="00B63BD5">
        <w:rPr>
          <w:lang w:val="fr-CA"/>
        </w:rPr>
        <w:t>de</w:t>
      </w:r>
      <w:r w:rsidR="00662752" w:rsidRPr="00B63BD5">
        <w:rPr>
          <w:lang w:val="fr-CA"/>
        </w:rPr>
        <w:t xml:space="preserve"> défense ou un autre droit à l</w:t>
      </w:r>
      <w:r w:rsidR="00564B0C" w:rsidRPr="00B63BD5">
        <w:rPr>
          <w:lang w:val="fr-CA"/>
        </w:rPr>
        <w:t>’</w:t>
      </w:r>
      <w:r w:rsidRPr="00B63BD5">
        <w:rPr>
          <w:lang w:val="fr-CA"/>
        </w:rPr>
        <w:t>encontre de l</w:t>
      </w:r>
      <w:r w:rsidR="00662752" w:rsidRPr="00B63BD5">
        <w:rPr>
          <w:lang w:val="fr-CA"/>
        </w:rPr>
        <w:t>a Banque ou</w:t>
      </w:r>
      <w:r w:rsidRPr="00B63BD5">
        <w:rPr>
          <w:lang w:val="fr-CA"/>
        </w:rPr>
        <w:t xml:space="preserve"> d</w:t>
      </w:r>
      <w:r w:rsidR="00564B0C" w:rsidRPr="00B63BD5">
        <w:rPr>
          <w:lang w:val="fr-CA"/>
        </w:rPr>
        <w:t>’</w:t>
      </w:r>
      <w:r w:rsidRPr="00B63BD5">
        <w:rPr>
          <w:lang w:val="fr-CA"/>
        </w:rPr>
        <w:t xml:space="preserve">une autre personne </w:t>
      </w:r>
      <w:r w:rsidR="00662752" w:rsidRPr="00B63BD5">
        <w:rPr>
          <w:lang w:val="fr-CA"/>
        </w:rPr>
        <w:t xml:space="preserve">pour quelque raison que ce soit; </w:t>
      </w:r>
    </w:p>
    <w:p w14:paraId="68556E64" w14:textId="608ACFD6" w:rsidR="00662752" w:rsidRPr="00B63BD5" w:rsidRDefault="00B040EC" w:rsidP="00404E07">
      <w:pPr>
        <w:pStyle w:val="04LOLglNew4"/>
        <w:rPr>
          <w:lang w:val="fr-CA"/>
        </w:rPr>
      </w:pPr>
      <w:r w:rsidRPr="00B63BD5">
        <w:rPr>
          <w:lang w:val="fr-CA"/>
        </w:rPr>
        <w:t>une procédure d</w:t>
      </w:r>
      <w:r w:rsidR="00564B0C" w:rsidRPr="00B63BD5">
        <w:rPr>
          <w:lang w:val="fr-CA"/>
        </w:rPr>
        <w:t>’</w:t>
      </w:r>
      <w:r w:rsidRPr="00B63BD5">
        <w:rPr>
          <w:lang w:val="fr-CA"/>
        </w:rPr>
        <w:t>insolvabilité, de faillite, de restructuration ou une procédure similaire est amorcée par l</w:t>
      </w:r>
      <w:r w:rsidR="00564B0C" w:rsidRPr="00B63BD5">
        <w:rPr>
          <w:lang w:val="fr-CA"/>
        </w:rPr>
        <w:t>’</w:t>
      </w:r>
      <w:r w:rsidRPr="00B63BD5">
        <w:rPr>
          <w:lang w:val="fr-CA"/>
        </w:rPr>
        <w:t>Emprunteur ou à son encontre.</w:t>
      </w:r>
      <w:r w:rsidR="00662752" w:rsidRPr="00B63BD5">
        <w:rPr>
          <w:lang w:val="fr-CA"/>
        </w:rPr>
        <w:t xml:space="preserve"> </w:t>
      </w:r>
    </w:p>
    <w:p w14:paraId="3078E6C5" w14:textId="1B49C563" w:rsidR="009B0878" w:rsidRPr="00B63BD5" w:rsidRDefault="00662752" w:rsidP="000B7739">
      <w:pPr>
        <w:pStyle w:val="04LOLglNew3"/>
        <w:rPr>
          <w:lang w:val="fr-CA"/>
        </w:rPr>
      </w:pPr>
      <w:r w:rsidRPr="00B63BD5">
        <w:rPr>
          <w:lang w:val="fr-CA"/>
        </w:rPr>
        <w:t xml:space="preserve">Outre les droits </w:t>
      </w:r>
      <w:r w:rsidR="00260A32" w:rsidRPr="00B63BD5">
        <w:rPr>
          <w:lang w:val="fr-CA"/>
        </w:rPr>
        <w:t xml:space="preserve">dont elle dispose actuellement ou disposera </w:t>
      </w:r>
      <w:r w:rsidR="00B040EC" w:rsidRPr="00B63BD5">
        <w:rPr>
          <w:lang w:val="fr-CA"/>
        </w:rPr>
        <w:t xml:space="preserve">par la </w:t>
      </w:r>
      <w:r w:rsidR="00260A32" w:rsidRPr="00B63BD5">
        <w:rPr>
          <w:lang w:val="fr-CA"/>
        </w:rPr>
        <w:t xml:space="preserve">suite </w:t>
      </w:r>
      <w:r w:rsidRPr="00B63BD5">
        <w:rPr>
          <w:lang w:val="fr-CA"/>
        </w:rPr>
        <w:t>en vertu des lois applicables ou</w:t>
      </w:r>
      <w:r w:rsidR="00AD64A2" w:rsidRPr="00B63BD5">
        <w:rPr>
          <w:lang w:val="fr-CA"/>
        </w:rPr>
        <w:t xml:space="preserve"> des</w:t>
      </w:r>
      <w:r w:rsidR="00260A32" w:rsidRPr="00B63BD5">
        <w:rPr>
          <w:lang w:val="fr-CA"/>
        </w:rPr>
        <w:t xml:space="preserve"> </w:t>
      </w:r>
      <w:r w:rsidRPr="00B63BD5">
        <w:rPr>
          <w:lang w:val="fr-CA"/>
        </w:rPr>
        <w:t xml:space="preserve">Documents de prêt, </w:t>
      </w:r>
      <w:r w:rsidR="00260A32" w:rsidRPr="00B63BD5">
        <w:rPr>
          <w:lang w:val="fr-CA"/>
        </w:rPr>
        <w:t>la Banque</w:t>
      </w:r>
      <w:r w:rsidRPr="00B63BD5">
        <w:rPr>
          <w:lang w:val="fr-CA"/>
        </w:rPr>
        <w:t xml:space="preserve"> est </w:t>
      </w:r>
      <w:r w:rsidR="00260A32" w:rsidRPr="00B63BD5">
        <w:rPr>
          <w:lang w:val="fr-CA"/>
        </w:rPr>
        <w:t xml:space="preserve">irrévocablement </w:t>
      </w:r>
      <w:r w:rsidRPr="00B63BD5">
        <w:rPr>
          <w:lang w:val="fr-CA"/>
        </w:rPr>
        <w:t>autorisée</w:t>
      </w:r>
      <w:r w:rsidR="00AD64A2" w:rsidRPr="00B63BD5">
        <w:rPr>
          <w:lang w:val="fr-CA"/>
        </w:rPr>
        <w:t xml:space="preserve"> </w:t>
      </w:r>
      <w:r w:rsidRPr="00B63BD5">
        <w:rPr>
          <w:lang w:val="fr-CA"/>
        </w:rPr>
        <w:t>par les présentes</w:t>
      </w:r>
      <w:r w:rsidR="00260A32" w:rsidRPr="00B63BD5">
        <w:rPr>
          <w:lang w:val="fr-CA"/>
        </w:rPr>
        <w:t xml:space="preserve"> à</w:t>
      </w:r>
      <w:r w:rsidR="00952856" w:rsidRPr="00B63BD5">
        <w:rPr>
          <w:lang w:val="fr-CA"/>
        </w:rPr>
        <w:t> </w:t>
      </w:r>
      <w:r w:rsidR="00CF4950" w:rsidRPr="00B63BD5">
        <w:rPr>
          <w:lang w:val="fr-CA"/>
        </w:rPr>
        <w:t>déduire</w:t>
      </w:r>
      <w:r w:rsidR="00AD64A2" w:rsidRPr="00B63BD5">
        <w:rPr>
          <w:lang w:val="fr-CA"/>
        </w:rPr>
        <w:t xml:space="preserve"> </w:t>
      </w:r>
      <w:r w:rsidR="00CF4950" w:rsidRPr="00B63BD5">
        <w:rPr>
          <w:lang w:val="fr-CA"/>
        </w:rPr>
        <w:t>des</w:t>
      </w:r>
      <w:r w:rsidR="008C7DD2" w:rsidRPr="00B63BD5">
        <w:rPr>
          <w:lang w:val="fr-CA"/>
        </w:rPr>
        <w:t> </w:t>
      </w:r>
      <w:r w:rsidR="00B040EC" w:rsidRPr="00B63BD5">
        <w:rPr>
          <w:lang w:val="fr-CA"/>
        </w:rPr>
        <w:t>obligations</w:t>
      </w:r>
      <w:r w:rsidR="00AD64A2" w:rsidRPr="00B63BD5">
        <w:rPr>
          <w:lang w:val="fr-CA"/>
        </w:rPr>
        <w:t xml:space="preserve"> de</w:t>
      </w:r>
      <w:r w:rsidR="00B040EC" w:rsidRPr="00B63BD5">
        <w:rPr>
          <w:lang w:val="fr-CA"/>
        </w:rPr>
        <w:t xml:space="preserve"> l</w:t>
      </w:r>
      <w:r w:rsidR="00564B0C" w:rsidRPr="00B63BD5">
        <w:rPr>
          <w:lang w:val="fr-CA"/>
        </w:rPr>
        <w:t>’</w:t>
      </w:r>
      <w:r w:rsidR="00B040EC" w:rsidRPr="00B63BD5">
        <w:rPr>
          <w:lang w:val="fr-CA"/>
        </w:rPr>
        <w:t>Emprunteur envers</w:t>
      </w:r>
      <w:r w:rsidR="00AD64A2" w:rsidRPr="00B63BD5">
        <w:rPr>
          <w:lang w:val="fr-CA"/>
        </w:rPr>
        <w:t xml:space="preserve"> la Banque</w:t>
      </w:r>
      <w:r w:rsidR="00B040EC" w:rsidRPr="00B63BD5">
        <w:rPr>
          <w:lang w:val="fr-CA"/>
        </w:rPr>
        <w:t xml:space="preserve"> </w:t>
      </w:r>
      <w:r w:rsidR="0095274A" w:rsidRPr="00B63BD5">
        <w:rPr>
          <w:lang w:val="fr-CA"/>
        </w:rPr>
        <w:t>aux termes de la présente Lettre relative aux facilités</w:t>
      </w:r>
      <w:r w:rsidR="00260A32" w:rsidRPr="00B63BD5">
        <w:rPr>
          <w:lang w:val="fr-CA"/>
        </w:rPr>
        <w:t xml:space="preserve">, </w:t>
      </w:r>
      <w:r w:rsidRPr="00B63BD5">
        <w:rPr>
          <w:lang w:val="fr-CA"/>
        </w:rPr>
        <w:t>à quelque moment que ce soit,</w:t>
      </w:r>
      <w:r w:rsidR="0095274A" w:rsidRPr="00B63BD5">
        <w:rPr>
          <w:lang w:val="fr-CA"/>
        </w:rPr>
        <w:t xml:space="preserve"> </w:t>
      </w:r>
      <w:r w:rsidRPr="00B63BD5">
        <w:rPr>
          <w:lang w:val="fr-CA"/>
        </w:rPr>
        <w:t>tous les dépôts (d</w:t>
      </w:r>
      <w:r w:rsidR="00260A32" w:rsidRPr="00B63BD5">
        <w:rPr>
          <w:lang w:val="fr-CA"/>
        </w:rPr>
        <w:t xml:space="preserve">e nature </w:t>
      </w:r>
      <w:r w:rsidRPr="00B63BD5">
        <w:rPr>
          <w:lang w:val="fr-CA"/>
        </w:rPr>
        <w:t>général</w:t>
      </w:r>
      <w:r w:rsidR="00260A32" w:rsidRPr="00B63BD5">
        <w:rPr>
          <w:lang w:val="fr-CA"/>
        </w:rPr>
        <w:t>e</w:t>
      </w:r>
      <w:r w:rsidRPr="00B63BD5">
        <w:rPr>
          <w:lang w:val="fr-CA"/>
        </w:rPr>
        <w:t xml:space="preserve"> et </w:t>
      </w:r>
      <w:r w:rsidR="00260A32" w:rsidRPr="00B63BD5">
        <w:rPr>
          <w:lang w:val="fr-CA"/>
        </w:rPr>
        <w:t>particulière</w:t>
      </w:r>
      <w:r w:rsidRPr="00B63BD5">
        <w:rPr>
          <w:lang w:val="fr-CA"/>
        </w:rPr>
        <w:t>)</w:t>
      </w:r>
      <w:r w:rsidR="00260A32" w:rsidRPr="00B63BD5">
        <w:rPr>
          <w:lang w:val="fr-CA"/>
        </w:rPr>
        <w:t xml:space="preserve"> </w:t>
      </w:r>
      <w:r w:rsidRPr="00B63BD5">
        <w:rPr>
          <w:lang w:val="fr-CA"/>
        </w:rPr>
        <w:t>et</w:t>
      </w:r>
      <w:r w:rsidR="0095274A" w:rsidRPr="00B63BD5">
        <w:rPr>
          <w:lang w:val="fr-CA"/>
        </w:rPr>
        <w:t xml:space="preserve"> </w:t>
      </w:r>
      <w:r w:rsidRPr="00B63BD5">
        <w:rPr>
          <w:lang w:val="fr-CA"/>
        </w:rPr>
        <w:t>toutes les autres dettes qu</w:t>
      </w:r>
      <w:r w:rsidR="00564B0C" w:rsidRPr="00B63BD5">
        <w:rPr>
          <w:lang w:val="fr-CA"/>
        </w:rPr>
        <w:t>’</w:t>
      </w:r>
      <w:r w:rsidRPr="00B63BD5">
        <w:rPr>
          <w:lang w:val="fr-CA"/>
        </w:rPr>
        <w:t>elle détient ou qu</w:t>
      </w:r>
      <w:r w:rsidR="00564B0C" w:rsidRPr="00B63BD5">
        <w:rPr>
          <w:lang w:val="fr-CA"/>
        </w:rPr>
        <w:t>’</w:t>
      </w:r>
      <w:r w:rsidR="0095274A" w:rsidRPr="00B63BD5">
        <w:rPr>
          <w:lang w:val="fr-CA"/>
        </w:rPr>
        <w:t>elle doit à l</w:t>
      </w:r>
      <w:r w:rsidR="00564B0C" w:rsidRPr="00B63BD5">
        <w:rPr>
          <w:lang w:val="fr-CA"/>
        </w:rPr>
        <w:t>’</w:t>
      </w:r>
      <w:r w:rsidR="0095274A" w:rsidRPr="00B63BD5">
        <w:rPr>
          <w:lang w:val="fr-CA"/>
        </w:rPr>
        <w:t xml:space="preserve">Emprunteur </w:t>
      </w:r>
      <w:r w:rsidRPr="00B63BD5">
        <w:rPr>
          <w:lang w:val="fr-CA"/>
        </w:rPr>
        <w:t>à quelque moment que ce soit</w:t>
      </w:r>
      <w:r w:rsidR="0095274A" w:rsidRPr="00B63BD5">
        <w:rPr>
          <w:lang w:val="fr-CA"/>
        </w:rPr>
        <w:t xml:space="preserve">, </w:t>
      </w:r>
      <w:r w:rsidR="00CF4950" w:rsidRPr="00B63BD5">
        <w:rPr>
          <w:lang w:val="fr-CA"/>
        </w:rPr>
        <w:t>sans égard à</w:t>
      </w:r>
      <w:r w:rsidR="008C7DD2" w:rsidRPr="00B63BD5">
        <w:rPr>
          <w:lang w:val="fr-CA"/>
        </w:rPr>
        <w:t> </w:t>
      </w:r>
      <w:r w:rsidR="0095274A" w:rsidRPr="00B63BD5">
        <w:rPr>
          <w:lang w:val="fr-CA"/>
        </w:rPr>
        <w:t>la</w:t>
      </w:r>
      <w:r w:rsidR="008C7DD2" w:rsidRPr="00B63BD5">
        <w:rPr>
          <w:lang w:val="fr-CA"/>
        </w:rPr>
        <w:t> </w:t>
      </w:r>
      <w:r w:rsidR="0095274A" w:rsidRPr="00B63BD5">
        <w:rPr>
          <w:lang w:val="fr-CA"/>
        </w:rPr>
        <w:t xml:space="preserve">monnaie dans laquelle </w:t>
      </w:r>
      <w:r w:rsidR="00CF4950" w:rsidRPr="00B63BD5">
        <w:rPr>
          <w:lang w:val="fr-CA"/>
        </w:rPr>
        <w:t>ces dépôts et ces dette</w:t>
      </w:r>
      <w:r w:rsidR="007F466F" w:rsidRPr="00B63BD5">
        <w:rPr>
          <w:lang w:val="fr-CA"/>
        </w:rPr>
        <w:t>s</w:t>
      </w:r>
      <w:r w:rsidR="00CF4950" w:rsidRPr="00B63BD5">
        <w:rPr>
          <w:lang w:val="fr-CA"/>
        </w:rPr>
        <w:t xml:space="preserve"> </w:t>
      </w:r>
      <w:r w:rsidR="0095274A" w:rsidRPr="00B63BD5">
        <w:rPr>
          <w:lang w:val="fr-CA"/>
        </w:rPr>
        <w:t>sont libellé</w:t>
      </w:r>
      <w:r w:rsidRPr="00B63BD5">
        <w:rPr>
          <w:lang w:val="fr-CA"/>
        </w:rPr>
        <w:t>s</w:t>
      </w:r>
      <w:r w:rsidR="00C66734" w:rsidRPr="00B63BD5">
        <w:rPr>
          <w:lang w:val="fr-CA"/>
        </w:rPr>
        <w:t xml:space="preserve"> et</w:t>
      </w:r>
      <w:r w:rsidR="00444401" w:rsidRPr="00B63BD5">
        <w:rPr>
          <w:lang w:val="fr-CA"/>
        </w:rPr>
        <w:t xml:space="preserve"> au fait</w:t>
      </w:r>
      <w:r w:rsidR="00C66734" w:rsidRPr="00B63BD5">
        <w:rPr>
          <w:lang w:val="fr-CA"/>
        </w:rPr>
        <w:t xml:space="preserve"> que les obligations de</w:t>
      </w:r>
      <w:r w:rsidR="008C7DD2" w:rsidRPr="00B63BD5">
        <w:rPr>
          <w:lang w:val="fr-CA"/>
        </w:rPr>
        <w:t> </w:t>
      </w:r>
      <w:r w:rsidR="00C66734" w:rsidRPr="00B63BD5">
        <w:rPr>
          <w:lang w:val="fr-CA"/>
        </w:rPr>
        <w:t>l</w:t>
      </w:r>
      <w:r w:rsidR="00564B0C" w:rsidRPr="00B63BD5">
        <w:rPr>
          <w:lang w:val="fr-CA"/>
        </w:rPr>
        <w:t>’</w:t>
      </w:r>
      <w:r w:rsidR="00C66734" w:rsidRPr="00B63BD5">
        <w:rPr>
          <w:lang w:val="fr-CA"/>
        </w:rPr>
        <w:t xml:space="preserve">Emprunteur soient </w:t>
      </w:r>
      <w:r w:rsidR="00AD64A2" w:rsidRPr="00B63BD5">
        <w:rPr>
          <w:lang w:val="fr-CA"/>
        </w:rPr>
        <w:t xml:space="preserve">conjointes ou </w:t>
      </w:r>
      <w:r w:rsidR="00C66734" w:rsidRPr="00B63BD5">
        <w:rPr>
          <w:lang w:val="fr-CA"/>
        </w:rPr>
        <w:t>solidaires</w:t>
      </w:r>
      <w:r w:rsidRPr="00B63BD5">
        <w:rPr>
          <w:lang w:val="fr-CA"/>
        </w:rPr>
        <w:t>. La Banque convient d</w:t>
      </w:r>
      <w:r w:rsidR="00564B0C" w:rsidRPr="00B63BD5">
        <w:rPr>
          <w:lang w:val="fr-CA"/>
        </w:rPr>
        <w:t>’</w:t>
      </w:r>
      <w:r w:rsidR="0095274A" w:rsidRPr="00B63BD5">
        <w:rPr>
          <w:lang w:val="fr-CA"/>
        </w:rPr>
        <w:t xml:space="preserve">aviser </w:t>
      </w:r>
      <w:r w:rsidRPr="00B63BD5">
        <w:rPr>
          <w:lang w:val="fr-CA"/>
        </w:rPr>
        <w:t>l</w:t>
      </w:r>
      <w:r w:rsidR="00564B0C" w:rsidRPr="00B63BD5">
        <w:rPr>
          <w:lang w:val="fr-CA"/>
        </w:rPr>
        <w:t>’</w:t>
      </w:r>
      <w:r w:rsidRPr="00B63BD5">
        <w:rPr>
          <w:lang w:val="fr-CA"/>
        </w:rPr>
        <w:t>Emprunteur</w:t>
      </w:r>
      <w:r w:rsidR="0095274A" w:rsidRPr="00B63BD5">
        <w:rPr>
          <w:lang w:val="fr-CA"/>
        </w:rPr>
        <w:t xml:space="preserve"> par écrit </w:t>
      </w:r>
      <w:r w:rsidR="00B040EC" w:rsidRPr="00B63BD5">
        <w:rPr>
          <w:lang w:val="fr-CA"/>
        </w:rPr>
        <w:t>si</w:t>
      </w:r>
      <w:r w:rsidR="008C7DD2" w:rsidRPr="00B63BD5">
        <w:rPr>
          <w:lang w:val="fr-CA"/>
        </w:rPr>
        <w:t> </w:t>
      </w:r>
      <w:r w:rsidR="00B040EC" w:rsidRPr="00B63BD5">
        <w:rPr>
          <w:lang w:val="fr-CA"/>
        </w:rPr>
        <w:t xml:space="preserve">elle </w:t>
      </w:r>
      <w:r w:rsidRPr="00B63BD5">
        <w:rPr>
          <w:lang w:val="fr-CA"/>
        </w:rPr>
        <w:t>exerc</w:t>
      </w:r>
      <w:r w:rsidR="0095274A" w:rsidRPr="00B63BD5">
        <w:rPr>
          <w:lang w:val="fr-CA"/>
        </w:rPr>
        <w:t xml:space="preserve">e </w:t>
      </w:r>
      <w:r w:rsidRPr="00B63BD5">
        <w:rPr>
          <w:lang w:val="fr-CA"/>
        </w:rPr>
        <w:t>l</w:t>
      </w:r>
      <w:r w:rsidR="00564B0C" w:rsidRPr="00B63BD5">
        <w:rPr>
          <w:lang w:val="fr-CA"/>
        </w:rPr>
        <w:t>’</w:t>
      </w:r>
      <w:r w:rsidRPr="00B63BD5">
        <w:rPr>
          <w:lang w:val="fr-CA"/>
        </w:rPr>
        <w:t>un ou l</w:t>
      </w:r>
      <w:r w:rsidR="00564B0C" w:rsidRPr="00B63BD5">
        <w:rPr>
          <w:lang w:val="fr-CA"/>
        </w:rPr>
        <w:t>’</w:t>
      </w:r>
      <w:r w:rsidRPr="00B63BD5">
        <w:rPr>
          <w:lang w:val="fr-CA"/>
        </w:rPr>
        <w:t>autre des droits que lui confère le présent article</w:t>
      </w:r>
      <w:r w:rsidR="0095274A" w:rsidRPr="00B63BD5">
        <w:rPr>
          <w:lang w:val="fr-CA"/>
        </w:rPr>
        <w:t xml:space="preserve"> dès qu</w:t>
      </w:r>
      <w:r w:rsidR="00564B0C" w:rsidRPr="00B63BD5">
        <w:rPr>
          <w:lang w:val="fr-CA"/>
        </w:rPr>
        <w:t>’</w:t>
      </w:r>
      <w:r w:rsidR="0095274A" w:rsidRPr="00B63BD5">
        <w:rPr>
          <w:lang w:val="fr-CA"/>
        </w:rPr>
        <w:t xml:space="preserve">elle </w:t>
      </w:r>
      <w:r w:rsidR="00B040EC" w:rsidRPr="00B63BD5">
        <w:rPr>
          <w:lang w:val="fr-CA"/>
        </w:rPr>
        <w:t>le fait</w:t>
      </w:r>
      <w:r w:rsidRPr="00B63BD5">
        <w:rPr>
          <w:lang w:val="fr-CA"/>
        </w:rPr>
        <w:t>.</w:t>
      </w:r>
    </w:p>
    <w:p w14:paraId="2939D162" w14:textId="34C6C3E2" w:rsidR="00662752" w:rsidRPr="00B63BD5" w:rsidRDefault="00481D85" w:rsidP="000B7739">
      <w:pPr>
        <w:pStyle w:val="04LOLglNew3"/>
        <w:rPr>
          <w:lang w:val="fr-CA"/>
        </w:rPr>
      </w:pPr>
      <w:r w:rsidRPr="00B63BD5">
        <w:rPr>
          <w:lang w:val="fr-CA"/>
        </w:rPr>
        <w:t>L</w:t>
      </w:r>
      <w:r w:rsidR="00564B0C" w:rsidRPr="00B63BD5">
        <w:rPr>
          <w:lang w:val="fr-CA"/>
        </w:rPr>
        <w:t>’</w:t>
      </w:r>
      <w:r w:rsidRPr="00B63BD5">
        <w:rPr>
          <w:lang w:val="fr-CA"/>
        </w:rPr>
        <w:t>Emprunteur d</w:t>
      </w:r>
      <w:r w:rsidR="001E1971" w:rsidRPr="00B63BD5">
        <w:rPr>
          <w:lang w:val="fr-CA"/>
        </w:rPr>
        <w:t>o</w:t>
      </w:r>
      <w:r w:rsidRPr="00B63BD5">
        <w:rPr>
          <w:lang w:val="fr-CA"/>
        </w:rPr>
        <w:t xml:space="preserve">it </w:t>
      </w:r>
      <w:r w:rsidR="0095274A" w:rsidRPr="00B63BD5">
        <w:rPr>
          <w:lang w:val="fr-CA"/>
        </w:rPr>
        <w:t>payer</w:t>
      </w:r>
      <w:r w:rsidRPr="00B63BD5">
        <w:rPr>
          <w:lang w:val="fr-CA"/>
        </w:rPr>
        <w:t xml:space="preserve"> à la Banque l</w:t>
      </w:r>
      <w:r w:rsidR="0095274A" w:rsidRPr="00B63BD5">
        <w:rPr>
          <w:lang w:val="fr-CA"/>
        </w:rPr>
        <w:t xml:space="preserve">a totalité </w:t>
      </w:r>
      <w:r w:rsidRPr="00B63BD5">
        <w:rPr>
          <w:lang w:val="fr-CA"/>
        </w:rPr>
        <w:t>des débours et</w:t>
      </w:r>
      <w:r w:rsidR="0095274A" w:rsidRPr="00B63BD5">
        <w:rPr>
          <w:lang w:val="fr-CA"/>
        </w:rPr>
        <w:t xml:space="preserve"> des</w:t>
      </w:r>
      <w:r w:rsidRPr="00B63BD5">
        <w:rPr>
          <w:lang w:val="fr-CA"/>
        </w:rPr>
        <w:t xml:space="preserve"> frais (y</w:t>
      </w:r>
      <w:r w:rsidR="00AC4107" w:rsidRPr="00B63BD5">
        <w:rPr>
          <w:lang w:val="fr-CA"/>
        </w:rPr>
        <w:t xml:space="preserve"> </w:t>
      </w:r>
      <w:r w:rsidRPr="00B63BD5">
        <w:rPr>
          <w:lang w:val="fr-CA"/>
        </w:rPr>
        <w:t>compris l</w:t>
      </w:r>
      <w:r w:rsidR="00564B0C" w:rsidRPr="00B63BD5">
        <w:rPr>
          <w:lang w:val="fr-CA"/>
        </w:rPr>
        <w:t>’</w:t>
      </w:r>
      <w:r w:rsidRPr="00B63BD5">
        <w:rPr>
          <w:lang w:val="fr-CA"/>
        </w:rPr>
        <w:t>intérêt payable aux</w:t>
      </w:r>
      <w:r w:rsidR="008C7DD2" w:rsidRPr="00B63BD5">
        <w:rPr>
          <w:lang w:val="fr-CA"/>
        </w:rPr>
        <w:t> </w:t>
      </w:r>
      <w:r w:rsidRPr="00B63BD5">
        <w:rPr>
          <w:lang w:val="fr-CA"/>
        </w:rPr>
        <w:t>fins du maintien de l</w:t>
      </w:r>
      <w:r w:rsidR="00564B0C" w:rsidRPr="00B63BD5">
        <w:rPr>
          <w:lang w:val="fr-CA"/>
        </w:rPr>
        <w:t>’</w:t>
      </w:r>
      <w:r w:rsidRPr="00B63BD5">
        <w:rPr>
          <w:lang w:val="fr-CA"/>
        </w:rPr>
        <w:t>un ou l</w:t>
      </w:r>
      <w:r w:rsidR="00564B0C" w:rsidRPr="00B63BD5">
        <w:rPr>
          <w:lang w:val="fr-CA"/>
        </w:rPr>
        <w:t>’</w:t>
      </w:r>
      <w:r w:rsidRPr="00B63BD5">
        <w:rPr>
          <w:lang w:val="fr-CA"/>
        </w:rPr>
        <w:t xml:space="preserve">autre des Prêts </w:t>
      </w:r>
      <w:r w:rsidR="0095274A" w:rsidRPr="00B63BD5">
        <w:rPr>
          <w:lang w:val="fr-CA"/>
        </w:rPr>
        <w:t>aux termes d</w:t>
      </w:r>
      <w:r w:rsidRPr="00B63BD5">
        <w:rPr>
          <w:lang w:val="fr-CA"/>
        </w:rPr>
        <w:t>es présentes) que</w:t>
      </w:r>
      <w:r w:rsidR="00C50B6C" w:rsidRPr="00B63BD5">
        <w:rPr>
          <w:lang w:val="fr-CA"/>
        </w:rPr>
        <w:t xml:space="preserve"> la Banque</w:t>
      </w:r>
      <w:r w:rsidR="0095274A" w:rsidRPr="00B63BD5">
        <w:rPr>
          <w:lang w:val="fr-CA"/>
        </w:rPr>
        <w:t xml:space="preserve"> a</w:t>
      </w:r>
      <w:r w:rsidRPr="00B63BD5">
        <w:rPr>
          <w:lang w:val="fr-CA"/>
        </w:rPr>
        <w:t xml:space="preserve"> engag</w:t>
      </w:r>
      <w:r w:rsidR="004472C8" w:rsidRPr="00B63BD5">
        <w:rPr>
          <w:lang w:val="fr-CA"/>
        </w:rPr>
        <w:t>és</w:t>
      </w:r>
      <w:r w:rsidRPr="00B63BD5">
        <w:rPr>
          <w:lang w:val="fr-CA"/>
        </w:rPr>
        <w:t xml:space="preserve"> </w:t>
      </w:r>
      <w:r w:rsidR="00934890" w:rsidRPr="00B63BD5">
        <w:rPr>
          <w:lang w:val="fr-CA"/>
        </w:rPr>
        <w:t>du fait</w:t>
      </w:r>
      <w:r w:rsidR="00C50B6C" w:rsidRPr="00B63BD5">
        <w:rPr>
          <w:lang w:val="fr-CA"/>
        </w:rPr>
        <w:t xml:space="preserve"> que l</w:t>
      </w:r>
      <w:r w:rsidR="00564B0C" w:rsidRPr="00B63BD5">
        <w:rPr>
          <w:lang w:val="fr-CA"/>
        </w:rPr>
        <w:t>’</w:t>
      </w:r>
      <w:r w:rsidR="00C50B6C" w:rsidRPr="00B63BD5">
        <w:rPr>
          <w:lang w:val="fr-CA"/>
        </w:rPr>
        <w:t>Emprunteur</w:t>
      </w:r>
      <w:r w:rsidR="00934890" w:rsidRPr="00B63BD5">
        <w:rPr>
          <w:lang w:val="fr-CA"/>
        </w:rPr>
        <w:t xml:space="preserve"> n</w:t>
      </w:r>
      <w:r w:rsidR="00564B0C" w:rsidRPr="00B63BD5">
        <w:rPr>
          <w:lang w:val="fr-CA"/>
        </w:rPr>
        <w:t>’</w:t>
      </w:r>
      <w:r w:rsidR="00934890" w:rsidRPr="00B63BD5">
        <w:rPr>
          <w:lang w:val="fr-CA"/>
        </w:rPr>
        <w:t xml:space="preserve">a pas </w:t>
      </w:r>
      <w:r w:rsidRPr="00B63BD5">
        <w:rPr>
          <w:lang w:val="fr-CA"/>
        </w:rPr>
        <w:t>rembours</w:t>
      </w:r>
      <w:r w:rsidR="00934890" w:rsidRPr="00B63BD5">
        <w:rPr>
          <w:lang w:val="fr-CA"/>
        </w:rPr>
        <w:t>é</w:t>
      </w:r>
      <w:r w:rsidRPr="00B63BD5">
        <w:rPr>
          <w:lang w:val="fr-CA"/>
        </w:rPr>
        <w:t xml:space="preserve"> le capital de l</w:t>
      </w:r>
      <w:r w:rsidR="00564B0C" w:rsidRPr="00B63BD5">
        <w:rPr>
          <w:lang w:val="fr-CA"/>
        </w:rPr>
        <w:t>’</w:t>
      </w:r>
      <w:r w:rsidRPr="00B63BD5">
        <w:rPr>
          <w:lang w:val="fr-CA"/>
        </w:rPr>
        <w:t>un ou l</w:t>
      </w:r>
      <w:r w:rsidR="00564B0C" w:rsidRPr="00B63BD5">
        <w:rPr>
          <w:lang w:val="fr-CA"/>
        </w:rPr>
        <w:t>’</w:t>
      </w:r>
      <w:r w:rsidRPr="00B63BD5">
        <w:rPr>
          <w:lang w:val="fr-CA"/>
        </w:rPr>
        <w:t xml:space="preserve">autre des Prêts ou </w:t>
      </w:r>
      <w:r w:rsidR="00934890" w:rsidRPr="00B63BD5">
        <w:rPr>
          <w:lang w:val="fr-CA"/>
        </w:rPr>
        <w:t>une autre somme due aux termes des présentes ou n</w:t>
      </w:r>
      <w:r w:rsidR="00564B0C" w:rsidRPr="00B63BD5">
        <w:rPr>
          <w:lang w:val="fr-CA"/>
        </w:rPr>
        <w:t>’</w:t>
      </w:r>
      <w:r w:rsidR="00934890" w:rsidRPr="00B63BD5">
        <w:rPr>
          <w:lang w:val="fr-CA"/>
        </w:rPr>
        <w:t xml:space="preserve">a pas </w:t>
      </w:r>
      <w:r w:rsidRPr="00B63BD5">
        <w:rPr>
          <w:lang w:val="fr-CA"/>
        </w:rPr>
        <w:t>vers</w:t>
      </w:r>
      <w:r w:rsidR="00934890" w:rsidRPr="00B63BD5">
        <w:rPr>
          <w:lang w:val="fr-CA"/>
        </w:rPr>
        <w:t>é</w:t>
      </w:r>
      <w:r w:rsidRPr="00B63BD5">
        <w:rPr>
          <w:lang w:val="fr-CA"/>
        </w:rPr>
        <w:t xml:space="preserve"> l</w:t>
      </w:r>
      <w:r w:rsidR="00564B0C" w:rsidRPr="00B63BD5">
        <w:rPr>
          <w:lang w:val="fr-CA"/>
        </w:rPr>
        <w:t>’</w:t>
      </w:r>
      <w:r w:rsidRPr="00B63BD5">
        <w:rPr>
          <w:lang w:val="fr-CA"/>
        </w:rPr>
        <w:t xml:space="preserve">intérêt </w:t>
      </w:r>
      <w:r w:rsidR="00934890" w:rsidRPr="00B63BD5">
        <w:rPr>
          <w:lang w:val="fr-CA"/>
        </w:rPr>
        <w:t>couru sur ceu</w:t>
      </w:r>
      <w:r w:rsidRPr="00B63BD5">
        <w:rPr>
          <w:lang w:val="fr-CA"/>
        </w:rPr>
        <w:t>x</w:t>
      </w:r>
      <w:r w:rsidRPr="00B63BD5">
        <w:rPr>
          <w:lang w:val="fr-CA"/>
        </w:rPr>
        <w:noBreakHyphen/>
        <w:t>ci à la date d</w:t>
      </w:r>
      <w:r w:rsidR="00564B0C" w:rsidRPr="00B63BD5">
        <w:rPr>
          <w:lang w:val="fr-CA"/>
        </w:rPr>
        <w:t>’</w:t>
      </w:r>
      <w:r w:rsidRPr="00B63BD5">
        <w:rPr>
          <w:lang w:val="fr-CA"/>
        </w:rPr>
        <w:t>exigibilité</w:t>
      </w:r>
      <w:r w:rsidR="00934890" w:rsidRPr="00B63BD5">
        <w:rPr>
          <w:lang w:val="fr-CA"/>
        </w:rPr>
        <w:t>, et</w:t>
      </w:r>
      <w:r w:rsidR="008C7DD2" w:rsidRPr="00B63BD5">
        <w:rPr>
          <w:lang w:val="fr-CA"/>
        </w:rPr>
        <w:t> </w:t>
      </w:r>
      <w:r w:rsidR="00C50B6C" w:rsidRPr="00B63BD5">
        <w:rPr>
          <w:lang w:val="fr-CA"/>
        </w:rPr>
        <w:t>l</w:t>
      </w:r>
      <w:r w:rsidR="00564B0C" w:rsidRPr="00B63BD5">
        <w:rPr>
          <w:lang w:val="fr-CA"/>
        </w:rPr>
        <w:t>’</w:t>
      </w:r>
      <w:r w:rsidR="00C50B6C" w:rsidRPr="00B63BD5">
        <w:rPr>
          <w:lang w:val="fr-CA"/>
        </w:rPr>
        <w:t>Emprunteur</w:t>
      </w:r>
      <w:r w:rsidR="00934890" w:rsidRPr="00B63BD5">
        <w:rPr>
          <w:lang w:val="fr-CA"/>
        </w:rPr>
        <w:t xml:space="preserve"> doit indemniser la Banque et la tenir quitte de ces débours et frais</w:t>
      </w:r>
      <w:r w:rsidRPr="00B63BD5">
        <w:rPr>
          <w:lang w:val="fr-CA"/>
        </w:rPr>
        <w:t>.</w:t>
      </w:r>
    </w:p>
    <w:p w14:paraId="2A2270D3" w14:textId="1A9B536E" w:rsidR="00481D85" w:rsidRPr="00B63BD5" w:rsidRDefault="00481D85" w:rsidP="000B7739">
      <w:pPr>
        <w:pStyle w:val="04LOLglNew3"/>
        <w:rPr>
          <w:lang w:val="fr-CA"/>
        </w:rPr>
      </w:pPr>
      <w:r w:rsidRPr="00B63BD5">
        <w:rPr>
          <w:lang w:val="fr-CA"/>
        </w:rPr>
        <w:t>Tou</w:t>
      </w:r>
      <w:r w:rsidR="00B040EC" w:rsidRPr="00B63BD5">
        <w:rPr>
          <w:lang w:val="fr-CA"/>
        </w:rPr>
        <w:t xml:space="preserve">s les </w:t>
      </w:r>
      <w:r w:rsidR="00126272" w:rsidRPr="00B63BD5">
        <w:rPr>
          <w:lang w:val="fr-CA"/>
        </w:rPr>
        <w:t>paiement</w:t>
      </w:r>
      <w:r w:rsidR="00B040EC" w:rsidRPr="00B63BD5">
        <w:rPr>
          <w:lang w:val="fr-CA"/>
        </w:rPr>
        <w:t>s</w:t>
      </w:r>
      <w:r w:rsidR="00126272" w:rsidRPr="00B63BD5">
        <w:rPr>
          <w:lang w:val="fr-CA"/>
        </w:rPr>
        <w:t xml:space="preserve"> qui </w:t>
      </w:r>
      <w:r w:rsidR="00B040EC" w:rsidRPr="00B63BD5">
        <w:rPr>
          <w:lang w:val="fr-CA"/>
        </w:rPr>
        <w:t xml:space="preserve">sont faits </w:t>
      </w:r>
      <w:r w:rsidR="00126272" w:rsidRPr="00B63BD5">
        <w:rPr>
          <w:lang w:val="fr-CA"/>
        </w:rPr>
        <w:t xml:space="preserve">à la Banque à titre </w:t>
      </w:r>
      <w:r w:rsidRPr="00B63BD5">
        <w:rPr>
          <w:lang w:val="fr-CA"/>
        </w:rPr>
        <w:t>de remboursement d</w:t>
      </w:r>
      <w:r w:rsidR="007F466F" w:rsidRPr="00B63BD5">
        <w:rPr>
          <w:lang w:val="fr-CA"/>
        </w:rPr>
        <w:t>u</w:t>
      </w:r>
      <w:r w:rsidRPr="00B63BD5">
        <w:rPr>
          <w:lang w:val="fr-CA"/>
        </w:rPr>
        <w:t xml:space="preserve"> capital</w:t>
      </w:r>
      <w:r w:rsidR="00126272" w:rsidRPr="00B63BD5">
        <w:rPr>
          <w:lang w:val="fr-CA"/>
        </w:rPr>
        <w:t xml:space="preserve"> </w:t>
      </w:r>
      <w:r w:rsidR="00B040EC" w:rsidRPr="00B63BD5">
        <w:rPr>
          <w:lang w:val="fr-CA"/>
        </w:rPr>
        <w:t>ou d</w:t>
      </w:r>
      <w:r w:rsidR="00564B0C" w:rsidRPr="00B63BD5">
        <w:rPr>
          <w:lang w:val="fr-CA"/>
        </w:rPr>
        <w:t>’</w:t>
      </w:r>
      <w:r w:rsidR="00B040EC" w:rsidRPr="00B63BD5">
        <w:rPr>
          <w:lang w:val="fr-CA"/>
        </w:rPr>
        <w:t xml:space="preserve">une autre somme </w:t>
      </w:r>
      <w:r w:rsidR="00126272" w:rsidRPr="00B63BD5">
        <w:rPr>
          <w:lang w:val="fr-CA"/>
        </w:rPr>
        <w:t>ou</w:t>
      </w:r>
      <w:r w:rsidRPr="00B63BD5">
        <w:rPr>
          <w:lang w:val="fr-CA"/>
        </w:rPr>
        <w:t xml:space="preserve"> de </w:t>
      </w:r>
      <w:r w:rsidR="00BD5D6C" w:rsidRPr="00B63BD5">
        <w:rPr>
          <w:lang w:val="fr-CA"/>
        </w:rPr>
        <w:t>paiement</w:t>
      </w:r>
      <w:r w:rsidRPr="00B63BD5">
        <w:rPr>
          <w:lang w:val="fr-CA"/>
        </w:rPr>
        <w:t xml:space="preserve"> </w:t>
      </w:r>
      <w:r w:rsidR="00CF4950" w:rsidRPr="00B63BD5">
        <w:rPr>
          <w:lang w:val="fr-CA"/>
        </w:rPr>
        <w:t>d</w:t>
      </w:r>
      <w:r w:rsidR="00564B0C" w:rsidRPr="00B63BD5">
        <w:rPr>
          <w:lang w:val="fr-CA"/>
        </w:rPr>
        <w:t>’</w:t>
      </w:r>
      <w:r w:rsidRPr="00B63BD5">
        <w:rPr>
          <w:lang w:val="fr-CA"/>
        </w:rPr>
        <w:t xml:space="preserve">intérêt </w:t>
      </w:r>
      <w:r w:rsidR="00B040EC" w:rsidRPr="00B63BD5">
        <w:rPr>
          <w:lang w:val="fr-CA"/>
        </w:rPr>
        <w:t xml:space="preserve">doivent, </w:t>
      </w:r>
      <w:r w:rsidR="00126272" w:rsidRPr="00B63BD5">
        <w:rPr>
          <w:lang w:val="fr-CA"/>
        </w:rPr>
        <w:t>si</w:t>
      </w:r>
      <w:r w:rsidRPr="00B63BD5">
        <w:rPr>
          <w:lang w:val="fr-CA"/>
        </w:rPr>
        <w:t xml:space="preserve"> les Exigences</w:t>
      </w:r>
      <w:r w:rsidR="00952F22" w:rsidRPr="00B63BD5">
        <w:rPr>
          <w:lang w:val="fr-CA"/>
        </w:rPr>
        <w:t xml:space="preserve"> juridiques</w:t>
      </w:r>
      <w:r w:rsidR="00126272" w:rsidRPr="00B63BD5">
        <w:rPr>
          <w:lang w:val="fr-CA"/>
        </w:rPr>
        <w:t xml:space="preserve"> le permettent</w:t>
      </w:r>
      <w:r w:rsidRPr="00B63BD5">
        <w:rPr>
          <w:lang w:val="fr-CA"/>
        </w:rPr>
        <w:t>,</w:t>
      </w:r>
      <w:r w:rsidR="00126272" w:rsidRPr="00B63BD5">
        <w:rPr>
          <w:lang w:val="fr-CA"/>
        </w:rPr>
        <w:t xml:space="preserve"> être</w:t>
      </w:r>
      <w:r w:rsidRPr="00B63BD5">
        <w:rPr>
          <w:lang w:val="fr-CA"/>
        </w:rPr>
        <w:t xml:space="preserve"> libre</w:t>
      </w:r>
      <w:r w:rsidR="00B040EC" w:rsidRPr="00B63BD5">
        <w:rPr>
          <w:lang w:val="fr-CA"/>
        </w:rPr>
        <w:t>s</w:t>
      </w:r>
      <w:r w:rsidRPr="00B63BD5">
        <w:rPr>
          <w:lang w:val="fr-CA"/>
        </w:rPr>
        <w:t xml:space="preserve"> et quitte</w:t>
      </w:r>
      <w:r w:rsidR="00B040EC" w:rsidRPr="00B63BD5">
        <w:rPr>
          <w:lang w:val="fr-CA"/>
        </w:rPr>
        <w:t>s</w:t>
      </w:r>
      <w:r w:rsidR="00126272" w:rsidRPr="00B63BD5">
        <w:rPr>
          <w:lang w:val="fr-CA"/>
        </w:rPr>
        <w:t xml:space="preserve"> de</w:t>
      </w:r>
      <w:r w:rsidR="008C7DD2" w:rsidRPr="00B63BD5">
        <w:rPr>
          <w:lang w:val="fr-CA"/>
        </w:rPr>
        <w:t> </w:t>
      </w:r>
      <w:r w:rsidR="00126272" w:rsidRPr="00B63BD5">
        <w:rPr>
          <w:lang w:val="fr-CA"/>
        </w:rPr>
        <w:t xml:space="preserve">toute retenue </w:t>
      </w:r>
      <w:r w:rsidR="0071568A" w:rsidRPr="00B63BD5">
        <w:rPr>
          <w:lang w:val="fr-CA"/>
        </w:rPr>
        <w:t>relative aux</w:t>
      </w:r>
      <w:r w:rsidRPr="00B63BD5">
        <w:rPr>
          <w:lang w:val="fr-CA"/>
        </w:rPr>
        <w:t xml:space="preserve"> Taxes et impôts actuels ou futurs ou </w:t>
      </w:r>
      <w:r w:rsidR="0071568A" w:rsidRPr="00B63BD5">
        <w:rPr>
          <w:lang w:val="fr-CA"/>
        </w:rPr>
        <w:t xml:space="preserve">à </w:t>
      </w:r>
      <w:r w:rsidRPr="00B63BD5">
        <w:rPr>
          <w:lang w:val="fr-CA"/>
        </w:rPr>
        <w:t>d</w:t>
      </w:r>
      <w:r w:rsidR="00564B0C" w:rsidRPr="00B63BD5">
        <w:rPr>
          <w:lang w:val="fr-CA"/>
        </w:rPr>
        <w:t>’</w:t>
      </w:r>
      <w:r w:rsidRPr="00B63BD5">
        <w:rPr>
          <w:lang w:val="fr-CA"/>
        </w:rPr>
        <w:t>autres charges</w:t>
      </w:r>
      <w:r w:rsidR="0071568A" w:rsidRPr="00B63BD5">
        <w:rPr>
          <w:lang w:val="fr-CA"/>
        </w:rPr>
        <w:t>,</w:t>
      </w:r>
      <w:r w:rsidRPr="00B63BD5">
        <w:rPr>
          <w:lang w:val="fr-CA"/>
        </w:rPr>
        <w:t xml:space="preserve"> de quelque nature que ce soit</w:t>
      </w:r>
      <w:r w:rsidR="0071568A" w:rsidRPr="00B63BD5">
        <w:rPr>
          <w:lang w:val="fr-CA"/>
        </w:rPr>
        <w:t>,</w:t>
      </w:r>
      <w:r w:rsidRPr="00B63BD5">
        <w:rPr>
          <w:lang w:val="fr-CA"/>
        </w:rPr>
        <w:t xml:space="preserve"> imposés</w:t>
      </w:r>
      <w:r w:rsidR="00126272" w:rsidRPr="00B63BD5">
        <w:rPr>
          <w:lang w:val="fr-CA"/>
        </w:rPr>
        <w:t xml:space="preserve">, prélevés </w:t>
      </w:r>
      <w:r w:rsidRPr="00B63BD5">
        <w:rPr>
          <w:lang w:val="fr-CA"/>
        </w:rPr>
        <w:t>ou</w:t>
      </w:r>
      <w:r w:rsidR="00126272" w:rsidRPr="00B63BD5">
        <w:rPr>
          <w:lang w:val="fr-CA"/>
        </w:rPr>
        <w:t xml:space="preserve"> perçus </w:t>
      </w:r>
      <w:r w:rsidRPr="00B63BD5">
        <w:rPr>
          <w:lang w:val="fr-CA"/>
        </w:rPr>
        <w:t>par une Autorité gouvernementale. Toutefois, si un</w:t>
      </w:r>
      <w:r w:rsidR="00126272" w:rsidRPr="00B63BD5">
        <w:rPr>
          <w:lang w:val="fr-CA"/>
        </w:rPr>
        <w:t xml:space="preserve"> paiement fait aux termes de</w:t>
      </w:r>
      <w:r w:rsidR="00CD3AB4" w:rsidRPr="00B63BD5">
        <w:rPr>
          <w:lang w:val="fr-CA"/>
        </w:rPr>
        <w:t xml:space="preserve"> la</w:t>
      </w:r>
      <w:r w:rsidR="00126272" w:rsidRPr="00B63BD5">
        <w:rPr>
          <w:lang w:val="fr-CA"/>
        </w:rPr>
        <w:t xml:space="preserve"> présente</w:t>
      </w:r>
      <w:r w:rsidR="00CD3AB4" w:rsidRPr="00B63BD5">
        <w:rPr>
          <w:lang w:val="fr-CA"/>
        </w:rPr>
        <w:t xml:space="preserve"> Lettre relative aux facilités</w:t>
      </w:r>
      <w:r w:rsidRPr="00B63BD5">
        <w:rPr>
          <w:lang w:val="fr-CA"/>
        </w:rPr>
        <w:t xml:space="preserve"> n</w:t>
      </w:r>
      <w:r w:rsidR="00564B0C" w:rsidRPr="00B63BD5">
        <w:rPr>
          <w:lang w:val="fr-CA"/>
        </w:rPr>
        <w:t>’</w:t>
      </w:r>
      <w:r w:rsidRPr="00B63BD5">
        <w:rPr>
          <w:lang w:val="fr-CA"/>
        </w:rPr>
        <w:t>est pas libre et quitte</w:t>
      </w:r>
      <w:r w:rsidR="00126272" w:rsidRPr="00B63BD5">
        <w:rPr>
          <w:lang w:val="fr-CA"/>
        </w:rPr>
        <w:t xml:space="preserve"> de toute retenue</w:t>
      </w:r>
      <w:r w:rsidR="0071568A" w:rsidRPr="00B63BD5">
        <w:rPr>
          <w:lang w:val="fr-CA"/>
        </w:rPr>
        <w:t xml:space="preserve"> relative aux</w:t>
      </w:r>
      <w:r w:rsidR="00126272" w:rsidRPr="00B63BD5">
        <w:rPr>
          <w:lang w:val="fr-CA"/>
        </w:rPr>
        <w:t xml:space="preserve"> Taxes et impôts, </w:t>
      </w:r>
      <w:r w:rsidRPr="00B63BD5">
        <w:rPr>
          <w:lang w:val="fr-CA"/>
        </w:rPr>
        <w:t>l</w:t>
      </w:r>
      <w:r w:rsidR="00564B0C" w:rsidRPr="00B63BD5">
        <w:rPr>
          <w:lang w:val="fr-CA"/>
        </w:rPr>
        <w:t>’</w:t>
      </w:r>
      <w:r w:rsidRPr="00B63BD5">
        <w:rPr>
          <w:lang w:val="fr-CA"/>
        </w:rPr>
        <w:t xml:space="preserve">Emprunteur devra </w:t>
      </w:r>
      <w:r w:rsidR="00CF4950" w:rsidRPr="00B63BD5">
        <w:rPr>
          <w:lang w:val="fr-CA"/>
        </w:rPr>
        <w:t xml:space="preserve">augmenter </w:t>
      </w:r>
      <w:r w:rsidRPr="00B63BD5">
        <w:rPr>
          <w:lang w:val="fr-CA"/>
        </w:rPr>
        <w:t>les paiements qu</w:t>
      </w:r>
      <w:r w:rsidR="00564B0C" w:rsidRPr="00B63BD5">
        <w:rPr>
          <w:lang w:val="fr-CA"/>
        </w:rPr>
        <w:t>’</w:t>
      </w:r>
      <w:r w:rsidRPr="00B63BD5">
        <w:rPr>
          <w:lang w:val="fr-CA"/>
        </w:rPr>
        <w:t xml:space="preserve">il fait à la Banque de façon </w:t>
      </w:r>
      <w:r w:rsidR="0071568A" w:rsidRPr="00B63BD5">
        <w:rPr>
          <w:lang w:val="fr-CA"/>
        </w:rPr>
        <w:t>à</w:t>
      </w:r>
      <w:r w:rsidR="008C7DD2" w:rsidRPr="00B63BD5">
        <w:rPr>
          <w:lang w:val="fr-CA"/>
        </w:rPr>
        <w:t> </w:t>
      </w:r>
      <w:r w:rsidR="0071568A" w:rsidRPr="00B63BD5">
        <w:rPr>
          <w:lang w:val="fr-CA"/>
        </w:rPr>
        <w:t>ce</w:t>
      </w:r>
      <w:r w:rsidR="008C7DD2" w:rsidRPr="00B63BD5">
        <w:rPr>
          <w:lang w:val="fr-CA"/>
        </w:rPr>
        <w:t> </w:t>
      </w:r>
      <w:r w:rsidRPr="00B63BD5">
        <w:rPr>
          <w:lang w:val="fr-CA"/>
        </w:rPr>
        <w:t xml:space="preserve">que </w:t>
      </w:r>
      <w:r w:rsidR="009C107A" w:rsidRPr="00B63BD5">
        <w:rPr>
          <w:lang w:val="fr-CA"/>
        </w:rPr>
        <w:t>cette dernière</w:t>
      </w:r>
      <w:r w:rsidRPr="00B63BD5">
        <w:rPr>
          <w:lang w:val="fr-CA"/>
        </w:rPr>
        <w:t xml:space="preserve"> reçoive </w:t>
      </w:r>
      <w:r w:rsidR="00CF4950" w:rsidRPr="00B63BD5">
        <w:rPr>
          <w:lang w:val="fr-CA"/>
        </w:rPr>
        <w:t xml:space="preserve">la </w:t>
      </w:r>
      <w:r w:rsidRPr="00B63BD5">
        <w:rPr>
          <w:lang w:val="fr-CA"/>
        </w:rPr>
        <w:t>somme supplémentaire qui p</w:t>
      </w:r>
      <w:r w:rsidR="0071568A" w:rsidRPr="00B63BD5">
        <w:rPr>
          <w:lang w:val="fr-CA"/>
        </w:rPr>
        <w:t xml:space="preserve">ourrait </w:t>
      </w:r>
      <w:r w:rsidRPr="00B63BD5">
        <w:rPr>
          <w:lang w:val="fr-CA"/>
        </w:rPr>
        <w:t>être nécessaire</w:t>
      </w:r>
      <w:r w:rsidR="009C107A" w:rsidRPr="00B63BD5">
        <w:rPr>
          <w:lang w:val="fr-CA"/>
        </w:rPr>
        <w:t xml:space="preserve"> pour </w:t>
      </w:r>
      <w:r w:rsidRPr="00B63BD5">
        <w:rPr>
          <w:lang w:val="fr-CA"/>
        </w:rPr>
        <w:t>que</w:t>
      </w:r>
      <w:r w:rsidR="008C7DD2" w:rsidRPr="00B63BD5">
        <w:rPr>
          <w:lang w:val="fr-CA"/>
        </w:rPr>
        <w:t> </w:t>
      </w:r>
      <w:r w:rsidRPr="00B63BD5">
        <w:rPr>
          <w:lang w:val="fr-CA"/>
        </w:rPr>
        <w:t>l</w:t>
      </w:r>
      <w:r w:rsidR="009C107A" w:rsidRPr="00B63BD5">
        <w:rPr>
          <w:lang w:val="fr-CA"/>
        </w:rPr>
        <w:t>a</w:t>
      </w:r>
      <w:r w:rsidR="0057788A" w:rsidRPr="00B63BD5">
        <w:rPr>
          <w:lang w:val="fr-CA"/>
        </w:rPr>
        <w:t xml:space="preserve"> </w:t>
      </w:r>
      <w:r w:rsidR="009C107A" w:rsidRPr="00B63BD5">
        <w:rPr>
          <w:lang w:val="fr-CA"/>
        </w:rPr>
        <w:t xml:space="preserve">somme nette </w:t>
      </w:r>
      <w:r w:rsidR="0071568A" w:rsidRPr="00B63BD5">
        <w:rPr>
          <w:lang w:val="fr-CA"/>
        </w:rPr>
        <w:t xml:space="preserve">qui lui </w:t>
      </w:r>
      <w:r w:rsidR="009C107A" w:rsidRPr="00B63BD5">
        <w:rPr>
          <w:lang w:val="fr-CA"/>
        </w:rPr>
        <w:t>rev</w:t>
      </w:r>
      <w:r w:rsidR="0071568A" w:rsidRPr="00B63BD5">
        <w:rPr>
          <w:lang w:val="fr-CA"/>
        </w:rPr>
        <w:t>ient</w:t>
      </w:r>
      <w:r w:rsidRPr="00B63BD5">
        <w:rPr>
          <w:lang w:val="fr-CA"/>
        </w:rPr>
        <w:t xml:space="preserve">, </w:t>
      </w:r>
      <w:r w:rsidR="009C107A" w:rsidRPr="00B63BD5">
        <w:rPr>
          <w:lang w:val="fr-CA"/>
        </w:rPr>
        <w:t xml:space="preserve">déduction faite </w:t>
      </w:r>
      <w:r w:rsidRPr="00B63BD5">
        <w:rPr>
          <w:lang w:val="fr-CA"/>
        </w:rPr>
        <w:t>des Taxes et impôts en question, ne soit pas inférieur</w:t>
      </w:r>
      <w:r w:rsidR="009C107A" w:rsidRPr="00B63BD5">
        <w:rPr>
          <w:lang w:val="fr-CA"/>
        </w:rPr>
        <w:t>e</w:t>
      </w:r>
      <w:r w:rsidRPr="00B63BD5">
        <w:rPr>
          <w:lang w:val="fr-CA"/>
        </w:rPr>
        <w:t xml:space="preserve"> à</w:t>
      </w:r>
      <w:r w:rsidR="009C107A" w:rsidRPr="00B63BD5">
        <w:rPr>
          <w:lang w:val="fr-CA"/>
        </w:rPr>
        <w:t xml:space="preserve"> celle qui doit</w:t>
      </w:r>
      <w:r w:rsidR="0071568A" w:rsidRPr="00B63BD5">
        <w:rPr>
          <w:lang w:val="fr-CA"/>
        </w:rPr>
        <w:t xml:space="preserve"> lui</w:t>
      </w:r>
      <w:r w:rsidR="009C107A" w:rsidRPr="00B63BD5">
        <w:rPr>
          <w:lang w:val="fr-CA"/>
        </w:rPr>
        <w:t xml:space="preserve"> être </w:t>
      </w:r>
      <w:r w:rsidRPr="00B63BD5">
        <w:rPr>
          <w:lang w:val="fr-CA"/>
        </w:rPr>
        <w:t>pay</w:t>
      </w:r>
      <w:r w:rsidR="009C107A" w:rsidRPr="00B63BD5">
        <w:rPr>
          <w:lang w:val="fr-CA"/>
        </w:rPr>
        <w:t xml:space="preserve">ée et </w:t>
      </w:r>
      <w:r w:rsidR="0071568A" w:rsidRPr="00B63BD5">
        <w:rPr>
          <w:lang w:val="fr-CA"/>
        </w:rPr>
        <w:t>qu</w:t>
      </w:r>
      <w:r w:rsidR="00564B0C" w:rsidRPr="00B63BD5">
        <w:rPr>
          <w:lang w:val="fr-CA"/>
        </w:rPr>
        <w:t>’</w:t>
      </w:r>
      <w:r w:rsidR="0071568A" w:rsidRPr="00B63BD5">
        <w:rPr>
          <w:lang w:val="fr-CA"/>
        </w:rPr>
        <w:t xml:space="preserve">elle doit </w:t>
      </w:r>
      <w:r w:rsidR="009C107A" w:rsidRPr="00B63BD5">
        <w:rPr>
          <w:lang w:val="fr-CA"/>
        </w:rPr>
        <w:t>re</w:t>
      </w:r>
      <w:r w:rsidR="0071568A" w:rsidRPr="00B63BD5">
        <w:rPr>
          <w:lang w:val="fr-CA"/>
        </w:rPr>
        <w:t xml:space="preserve">cevoir </w:t>
      </w:r>
      <w:r w:rsidR="009C107A" w:rsidRPr="00B63BD5">
        <w:rPr>
          <w:lang w:val="fr-CA"/>
        </w:rPr>
        <w:t xml:space="preserve">aux termes </w:t>
      </w:r>
      <w:r w:rsidR="00CD3AB4" w:rsidRPr="00B63BD5">
        <w:rPr>
          <w:lang w:val="fr-CA"/>
        </w:rPr>
        <w:t>de la présente Lettre relative aux</w:t>
      </w:r>
      <w:r w:rsidR="008C7DD2" w:rsidRPr="00B63BD5">
        <w:rPr>
          <w:lang w:val="fr-CA"/>
        </w:rPr>
        <w:t> </w:t>
      </w:r>
      <w:r w:rsidR="00CD3AB4" w:rsidRPr="00B63BD5">
        <w:rPr>
          <w:lang w:val="fr-CA"/>
        </w:rPr>
        <w:t>facilités</w:t>
      </w:r>
      <w:r w:rsidRPr="00B63BD5">
        <w:rPr>
          <w:lang w:val="fr-CA"/>
        </w:rPr>
        <w:t xml:space="preserve">. </w:t>
      </w:r>
      <w:r w:rsidR="0071568A" w:rsidRPr="00B63BD5">
        <w:rPr>
          <w:lang w:val="fr-CA"/>
        </w:rPr>
        <w:t>L</w:t>
      </w:r>
      <w:r w:rsidR="00564B0C" w:rsidRPr="00B63BD5">
        <w:rPr>
          <w:lang w:val="fr-CA"/>
        </w:rPr>
        <w:t>’</w:t>
      </w:r>
      <w:r w:rsidRPr="00B63BD5">
        <w:rPr>
          <w:lang w:val="fr-CA"/>
        </w:rPr>
        <w:t>Emprunteur d</w:t>
      </w:r>
      <w:r w:rsidR="0071568A" w:rsidRPr="00B63BD5">
        <w:rPr>
          <w:lang w:val="fr-CA"/>
        </w:rPr>
        <w:t>oit payer</w:t>
      </w:r>
      <w:r w:rsidRPr="00B63BD5">
        <w:rPr>
          <w:lang w:val="fr-CA"/>
        </w:rPr>
        <w:t xml:space="preserve"> </w:t>
      </w:r>
      <w:r w:rsidR="0071568A" w:rsidRPr="00B63BD5">
        <w:rPr>
          <w:lang w:val="fr-CA"/>
        </w:rPr>
        <w:t>l</w:t>
      </w:r>
      <w:r w:rsidRPr="00B63BD5">
        <w:rPr>
          <w:lang w:val="fr-CA"/>
        </w:rPr>
        <w:t>es Taxes et impôts</w:t>
      </w:r>
      <w:r w:rsidR="0071568A" w:rsidRPr="00B63BD5">
        <w:rPr>
          <w:lang w:val="fr-CA"/>
        </w:rPr>
        <w:t xml:space="preserve"> en question sans délai</w:t>
      </w:r>
      <w:r w:rsidRPr="00B63BD5">
        <w:rPr>
          <w:lang w:val="fr-CA"/>
        </w:rPr>
        <w:t xml:space="preserve"> et</w:t>
      </w:r>
      <w:r w:rsidR="0071568A" w:rsidRPr="00B63BD5">
        <w:rPr>
          <w:lang w:val="fr-CA"/>
        </w:rPr>
        <w:t xml:space="preserve"> remettre à la Banque</w:t>
      </w:r>
      <w:r w:rsidRPr="00B63BD5">
        <w:rPr>
          <w:lang w:val="fr-CA"/>
        </w:rPr>
        <w:t xml:space="preserve"> (au plus tard le 90</w:t>
      </w:r>
      <w:r w:rsidRPr="00B63BD5">
        <w:rPr>
          <w:vertAlign w:val="superscript"/>
          <w:lang w:val="fr-CA"/>
        </w:rPr>
        <w:t>e</w:t>
      </w:r>
      <w:r w:rsidR="00AC4107" w:rsidRPr="00B63BD5">
        <w:rPr>
          <w:lang w:val="fr-CA"/>
        </w:rPr>
        <w:t xml:space="preserve"> </w:t>
      </w:r>
      <w:r w:rsidRPr="00B63BD5">
        <w:rPr>
          <w:lang w:val="fr-CA"/>
        </w:rPr>
        <w:t xml:space="preserve">jour suivant le paiement) </w:t>
      </w:r>
      <w:r w:rsidR="00B040EC" w:rsidRPr="00B63BD5">
        <w:rPr>
          <w:lang w:val="fr-CA"/>
        </w:rPr>
        <w:t xml:space="preserve">une </w:t>
      </w:r>
      <w:r w:rsidRPr="00B63BD5">
        <w:rPr>
          <w:lang w:val="fr-CA"/>
        </w:rPr>
        <w:t xml:space="preserve">preuve </w:t>
      </w:r>
      <w:r w:rsidR="00B040EC" w:rsidRPr="00B63BD5">
        <w:rPr>
          <w:lang w:val="fr-CA"/>
        </w:rPr>
        <w:t xml:space="preserve">de ce </w:t>
      </w:r>
      <w:r w:rsidRPr="00B63BD5">
        <w:rPr>
          <w:lang w:val="fr-CA"/>
        </w:rPr>
        <w:t>paiement</w:t>
      </w:r>
      <w:r w:rsidR="0071568A" w:rsidRPr="00B63BD5">
        <w:rPr>
          <w:lang w:val="fr-CA"/>
        </w:rPr>
        <w:t xml:space="preserve"> que </w:t>
      </w:r>
      <w:r w:rsidRPr="00B63BD5">
        <w:rPr>
          <w:lang w:val="fr-CA"/>
        </w:rPr>
        <w:t>celle</w:t>
      </w:r>
      <w:r w:rsidRPr="00B63BD5">
        <w:rPr>
          <w:lang w:val="fr-CA"/>
        </w:rPr>
        <w:noBreakHyphen/>
        <w:t xml:space="preserve">ci juge satisfaisante </w:t>
      </w:r>
      <w:r w:rsidR="0071568A" w:rsidRPr="00B63BD5">
        <w:rPr>
          <w:lang w:val="fr-CA"/>
        </w:rPr>
        <w:t>ainsi que, si la Banque le lui demande</w:t>
      </w:r>
      <w:r w:rsidRPr="00B63BD5">
        <w:rPr>
          <w:lang w:val="fr-CA"/>
        </w:rPr>
        <w:t>, les attestations, les reçus et d</w:t>
      </w:r>
      <w:r w:rsidR="00564B0C" w:rsidRPr="00B63BD5">
        <w:rPr>
          <w:lang w:val="fr-CA"/>
        </w:rPr>
        <w:t>’</w:t>
      </w:r>
      <w:r w:rsidRPr="00B63BD5">
        <w:rPr>
          <w:lang w:val="fr-CA"/>
        </w:rPr>
        <w:t>autres documents qui sont nécessaires</w:t>
      </w:r>
      <w:r w:rsidR="00262532" w:rsidRPr="00B63BD5">
        <w:rPr>
          <w:lang w:val="fr-CA"/>
        </w:rPr>
        <w:t xml:space="preserve"> pour </w:t>
      </w:r>
      <w:r w:rsidR="00B040EC" w:rsidRPr="00B63BD5">
        <w:rPr>
          <w:lang w:val="fr-CA"/>
        </w:rPr>
        <w:t xml:space="preserve">établir </w:t>
      </w:r>
      <w:r w:rsidRPr="00B63BD5">
        <w:rPr>
          <w:lang w:val="fr-CA"/>
        </w:rPr>
        <w:t>un crédit d</w:t>
      </w:r>
      <w:r w:rsidR="00564B0C" w:rsidRPr="00B63BD5">
        <w:rPr>
          <w:lang w:val="fr-CA"/>
        </w:rPr>
        <w:t>’</w:t>
      </w:r>
      <w:r w:rsidRPr="00B63BD5">
        <w:rPr>
          <w:lang w:val="fr-CA"/>
        </w:rPr>
        <w:t xml:space="preserve">impôt auquel la Banque </w:t>
      </w:r>
      <w:r w:rsidR="00B040EC" w:rsidRPr="00B63BD5">
        <w:rPr>
          <w:lang w:val="fr-CA"/>
        </w:rPr>
        <w:t xml:space="preserve">pourrait </w:t>
      </w:r>
      <w:r w:rsidRPr="00B63BD5">
        <w:rPr>
          <w:lang w:val="fr-CA"/>
        </w:rPr>
        <w:t xml:space="preserve">avoir droit. </w:t>
      </w:r>
    </w:p>
    <w:p w14:paraId="064F086D" w14:textId="1B188CE7" w:rsidR="00481D85" w:rsidRPr="00B63BD5" w:rsidRDefault="00481D85" w:rsidP="000B7739">
      <w:pPr>
        <w:pStyle w:val="04LOLglNew3"/>
        <w:rPr>
          <w:lang w:val="fr-CA"/>
        </w:rPr>
      </w:pPr>
      <w:r w:rsidRPr="00B63BD5">
        <w:rPr>
          <w:lang w:val="fr-CA"/>
        </w:rPr>
        <w:t>Les engagements pris par l</w:t>
      </w:r>
      <w:r w:rsidR="00564B0C" w:rsidRPr="00B63BD5">
        <w:rPr>
          <w:lang w:val="fr-CA"/>
        </w:rPr>
        <w:t>’</w:t>
      </w:r>
      <w:r w:rsidRPr="00B63BD5">
        <w:rPr>
          <w:lang w:val="fr-CA"/>
        </w:rPr>
        <w:t xml:space="preserve">Emprunteur </w:t>
      </w:r>
      <w:r w:rsidR="00E57F04" w:rsidRPr="00B63BD5">
        <w:rPr>
          <w:lang w:val="fr-CA"/>
        </w:rPr>
        <w:t>aux termes des</w:t>
      </w:r>
      <w:r w:rsidRPr="00B63BD5">
        <w:rPr>
          <w:lang w:val="fr-CA"/>
        </w:rPr>
        <w:t xml:space="preserve"> </w:t>
      </w:r>
      <w:r w:rsidR="00C75A4E" w:rsidRPr="00B63BD5">
        <w:rPr>
          <w:lang w:val="fr-CA"/>
        </w:rPr>
        <w:t xml:space="preserve">deux </w:t>
      </w:r>
      <w:r w:rsidRPr="00B63BD5">
        <w:rPr>
          <w:lang w:val="fr-CA"/>
        </w:rPr>
        <w:t>paragraphes</w:t>
      </w:r>
      <w:r w:rsidR="00AC4107" w:rsidRPr="00B63BD5">
        <w:rPr>
          <w:lang w:val="fr-CA"/>
        </w:rPr>
        <w:t xml:space="preserve"> </w:t>
      </w:r>
      <w:r w:rsidRPr="00B63BD5">
        <w:rPr>
          <w:lang w:val="fr-CA"/>
        </w:rPr>
        <w:t xml:space="preserve">qui précèdent </w:t>
      </w:r>
      <w:r w:rsidR="00C75A4E" w:rsidRPr="00B63BD5">
        <w:rPr>
          <w:lang w:val="fr-CA"/>
        </w:rPr>
        <w:t xml:space="preserve">immédiatement le présent paragraphe </w:t>
      </w:r>
      <w:r w:rsidR="00B040EC" w:rsidRPr="00B63BD5">
        <w:rPr>
          <w:lang w:val="fr-CA"/>
        </w:rPr>
        <w:t xml:space="preserve">demeureront valides </w:t>
      </w:r>
      <w:r w:rsidRPr="00B63BD5">
        <w:rPr>
          <w:lang w:val="fr-CA"/>
        </w:rPr>
        <w:t xml:space="preserve">après le remboursement des Prêts et </w:t>
      </w:r>
      <w:r w:rsidR="00C84CDA" w:rsidRPr="00B63BD5">
        <w:rPr>
          <w:lang w:val="fr-CA"/>
        </w:rPr>
        <w:t xml:space="preserve">après </w:t>
      </w:r>
      <w:r w:rsidRPr="00B63BD5">
        <w:rPr>
          <w:lang w:val="fr-CA"/>
        </w:rPr>
        <w:t xml:space="preserve">la résiliation de la présente Lettre relative aux facilités ou des Facilités de crédit (ou les deux). </w:t>
      </w:r>
    </w:p>
    <w:p w14:paraId="2102F2CD" w14:textId="09FD871C" w:rsidR="00481D85" w:rsidRPr="00B63BD5" w:rsidRDefault="00481D85" w:rsidP="000B7739">
      <w:pPr>
        <w:pStyle w:val="04LOLglNew3"/>
        <w:rPr>
          <w:lang w:val="fr-CA"/>
        </w:rPr>
      </w:pPr>
      <w:r w:rsidRPr="00B63BD5">
        <w:rPr>
          <w:lang w:val="fr-CA"/>
        </w:rPr>
        <w:t xml:space="preserve">Les recours, les droits et les pouvoirs </w:t>
      </w:r>
      <w:r w:rsidR="00E57F04" w:rsidRPr="00B63BD5">
        <w:rPr>
          <w:lang w:val="fr-CA"/>
        </w:rPr>
        <w:t xml:space="preserve">dont dispose </w:t>
      </w:r>
      <w:r w:rsidRPr="00B63BD5">
        <w:rPr>
          <w:lang w:val="fr-CA"/>
        </w:rPr>
        <w:t>la Banque aux termes de la présente Lettre relative aux facilités</w:t>
      </w:r>
      <w:r w:rsidR="00E57F04" w:rsidRPr="00B63BD5">
        <w:rPr>
          <w:lang w:val="fr-CA"/>
        </w:rPr>
        <w:t xml:space="preserve"> et</w:t>
      </w:r>
      <w:r w:rsidRPr="00B63BD5">
        <w:rPr>
          <w:lang w:val="fr-CA"/>
        </w:rPr>
        <w:t xml:space="preserve"> des </w:t>
      </w:r>
      <w:r w:rsidR="0046352F" w:rsidRPr="00B63BD5">
        <w:rPr>
          <w:lang w:val="fr-CA"/>
        </w:rPr>
        <w:t xml:space="preserve">autres </w:t>
      </w:r>
      <w:r w:rsidRPr="00B63BD5">
        <w:rPr>
          <w:lang w:val="fr-CA"/>
        </w:rPr>
        <w:t xml:space="preserve">Documents de prêt </w:t>
      </w:r>
      <w:r w:rsidR="00B040EC" w:rsidRPr="00B63BD5">
        <w:rPr>
          <w:lang w:val="fr-CA"/>
        </w:rPr>
        <w:t>ainsi qu</w:t>
      </w:r>
      <w:r w:rsidR="00564B0C" w:rsidRPr="00B63BD5">
        <w:rPr>
          <w:lang w:val="fr-CA"/>
        </w:rPr>
        <w:t>’</w:t>
      </w:r>
      <w:r w:rsidRPr="00B63BD5">
        <w:rPr>
          <w:lang w:val="fr-CA"/>
        </w:rPr>
        <w:t xml:space="preserve">en </w:t>
      </w:r>
      <w:r w:rsidR="00E57F04" w:rsidRPr="00B63BD5">
        <w:rPr>
          <w:lang w:val="fr-CA"/>
        </w:rPr>
        <w:t xml:space="preserve">droit et </w:t>
      </w:r>
      <w:r w:rsidRPr="00B63BD5">
        <w:rPr>
          <w:lang w:val="fr-CA"/>
        </w:rPr>
        <w:t xml:space="preserve">en </w:t>
      </w:r>
      <w:r w:rsidR="00B040EC" w:rsidRPr="00B63BD5">
        <w:rPr>
          <w:lang w:val="fr-CA"/>
        </w:rPr>
        <w:t xml:space="preserve">equity </w:t>
      </w:r>
      <w:r w:rsidRPr="00B63BD5">
        <w:rPr>
          <w:lang w:val="fr-CA"/>
        </w:rPr>
        <w:t>sont cumulatifs et</w:t>
      </w:r>
      <w:r w:rsidR="008C7DD2" w:rsidRPr="00B63BD5">
        <w:rPr>
          <w:lang w:val="fr-CA"/>
        </w:rPr>
        <w:t> </w:t>
      </w:r>
      <w:r w:rsidR="00C31900" w:rsidRPr="00B63BD5">
        <w:rPr>
          <w:lang w:val="fr-CA"/>
        </w:rPr>
        <w:t>ils</w:t>
      </w:r>
      <w:r w:rsidR="008C7DD2" w:rsidRPr="00B63BD5">
        <w:rPr>
          <w:lang w:val="fr-CA"/>
        </w:rPr>
        <w:t> </w:t>
      </w:r>
      <w:r w:rsidRPr="00B63BD5">
        <w:rPr>
          <w:lang w:val="fr-CA"/>
        </w:rPr>
        <w:t>ne</w:t>
      </w:r>
      <w:r w:rsidR="008C7DD2" w:rsidRPr="00B63BD5">
        <w:rPr>
          <w:lang w:val="fr-CA"/>
        </w:rPr>
        <w:t> </w:t>
      </w:r>
      <w:r w:rsidRPr="00B63BD5">
        <w:rPr>
          <w:lang w:val="fr-CA"/>
        </w:rPr>
        <w:t xml:space="preserve">remplacent pas </w:t>
      </w:r>
      <w:r w:rsidR="00C84CDA" w:rsidRPr="00B63BD5">
        <w:rPr>
          <w:lang w:val="fr-CA"/>
        </w:rPr>
        <w:t>l</w:t>
      </w:r>
      <w:r w:rsidR="00C31900" w:rsidRPr="00B63BD5">
        <w:rPr>
          <w:lang w:val="fr-CA"/>
        </w:rPr>
        <w:t xml:space="preserve">es </w:t>
      </w:r>
      <w:r w:rsidRPr="00B63BD5">
        <w:rPr>
          <w:lang w:val="fr-CA"/>
        </w:rPr>
        <w:t xml:space="preserve">autres recours, droits ou pouvoirs </w:t>
      </w:r>
      <w:r w:rsidR="00B040EC" w:rsidRPr="00B63BD5">
        <w:rPr>
          <w:lang w:val="fr-CA"/>
        </w:rPr>
        <w:t>don</w:t>
      </w:r>
      <w:r w:rsidR="006F25B4" w:rsidRPr="00B63BD5">
        <w:rPr>
          <w:lang w:val="fr-CA"/>
        </w:rPr>
        <w:t>t</w:t>
      </w:r>
      <w:r w:rsidR="00C50B6C" w:rsidRPr="00B63BD5">
        <w:rPr>
          <w:lang w:val="fr-CA"/>
        </w:rPr>
        <w:t xml:space="preserve"> la Banque</w:t>
      </w:r>
      <w:r w:rsidR="00AC4107" w:rsidRPr="00B63BD5">
        <w:rPr>
          <w:lang w:val="fr-CA"/>
        </w:rPr>
        <w:t xml:space="preserve"> </w:t>
      </w:r>
      <w:r w:rsidR="00B040EC" w:rsidRPr="00B63BD5">
        <w:rPr>
          <w:lang w:val="fr-CA"/>
        </w:rPr>
        <w:t xml:space="preserve">peut se prévaloir </w:t>
      </w:r>
      <w:r w:rsidRPr="00B63BD5">
        <w:rPr>
          <w:lang w:val="fr-CA"/>
        </w:rPr>
        <w:t>et le fait que la Banque tarde</w:t>
      </w:r>
      <w:r w:rsidR="00C31900" w:rsidRPr="00B63BD5">
        <w:rPr>
          <w:lang w:val="fr-CA"/>
        </w:rPr>
        <w:t xml:space="preserve"> à exercer ou n</w:t>
      </w:r>
      <w:r w:rsidR="00564B0C" w:rsidRPr="00B63BD5">
        <w:rPr>
          <w:lang w:val="fr-CA"/>
        </w:rPr>
        <w:t>’</w:t>
      </w:r>
      <w:r w:rsidR="00C31900" w:rsidRPr="00B63BD5">
        <w:rPr>
          <w:lang w:val="fr-CA"/>
        </w:rPr>
        <w:t xml:space="preserve">exerce pas de </w:t>
      </w:r>
      <w:r w:rsidRPr="00B63BD5">
        <w:rPr>
          <w:lang w:val="fr-CA"/>
        </w:rPr>
        <w:t>tel</w:t>
      </w:r>
      <w:r w:rsidR="00C31900" w:rsidRPr="00B63BD5">
        <w:rPr>
          <w:lang w:val="fr-CA"/>
        </w:rPr>
        <w:t>s</w:t>
      </w:r>
      <w:r w:rsidRPr="00B63BD5">
        <w:rPr>
          <w:lang w:val="fr-CA"/>
        </w:rPr>
        <w:t xml:space="preserve"> recours, droit</w:t>
      </w:r>
      <w:r w:rsidR="00C31900" w:rsidRPr="00B63BD5">
        <w:rPr>
          <w:lang w:val="fr-CA"/>
        </w:rPr>
        <w:t>s</w:t>
      </w:r>
      <w:r w:rsidRPr="00B63BD5">
        <w:rPr>
          <w:lang w:val="fr-CA"/>
        </w:rPr>
        <w:t xml:space="preserve"> ou pouvoir</w:t>
      </w:r>
      <w:r w:rsidR="00C31900" w:rsidRPr="00B63BD5">
        <w:rPr>
          <w:lang w:val="fr-CA"/>
        </w:rPr>
        <w:t>s</w:t>
      </w:r>
      <w:r w:rsidRPr="00B63BD5">
        <w:rPr>
          <w:lang w:val="fr-CA"/>
        </w:rPr>
        <w:t xml:space="preserve"> n</w:t>
      </w:r>
      <w:r w:rsidR="00564B0C" w:rsidRPr="00B63BD5">
        <w:rPr>
          <w:lang w:val="fr-CA"/>
        </w:rPr>
        <w:t>’</w:t>
      </w:r>
      <w:r w:rsidRPr="00B63BD5">
        <w:rPr>
          <w:lang w:val="fr-CA"/>
        </w:rPr>
        <w:t>éteint pas</w:t>
      </w:r>
      <w:r w:rsidR="00C31900" w:rsidRPr="00B63BD5">
        <w:rPr>
          <w:lang w:val="fr-CA"/>
        </w:rPr>
        <w:t xml:space="preserve"> ceux</w:t>
      </w:r>
      <w:r w:rsidR="00C31900" w:rsidRPr="00B63BD5">
        <w:rPr>
          <w:lang w:val="fr-CA"/>
        </w:rPr>
        <w:noBreakHyphen/>
        <w:t>ci et</w:t>
      </w:r>
      <w:r w:rsidRPr="00B63BD5">
        <w:rPr>
          <w:lang w:val="fr-CA"/>
        </w:rPr>
        <w:t xml:space="preserve"> ne doit </w:t>
      </w:r>
      <w:r w:rsidR="00C84CDA" w:rsidRPr="00B63BD5">
        <w:rPr>
          <w:lang w:val="fr-CA"/>
        </w:rPr>
        <w:t xml:space="preserve">pas </w:t>
      </w:r>
      <w:r w:rsidRPr="00B63BD5">
        <w:rPr>
          <w:lang w:val="fr-CA"/>
        </w:rPr>
        <w:t>être interprété</w:t>
      </w:r>
      <w:r w:rsidR="002852D2" w:rsidRPr="00B63BD5">
        <w:rPr>
          <w:lang w:val="fr-CA"/>
        </w:rPr>
        <w:t xml:space="preserve"> comme </w:t>
      </w:r>
      <w:r w:rsidR="00B040EC" w:rsidRPr="00B63BD5">
        <w:rPr>
          <w:lang w:val="fr-CA"/>
        </w:rPr>
        <w:t>une renonciation à l</w:t>
      </w:r>
      <w:r w:rsidR="00564B0C" w:rsidRPr="00B63BD5">
        <w:rPr>
          <w:lang w:val="fr-CA"/>
        </w:rPr>
        <w:t>’</w:t>
      </w:r>
      <w:r w:rsidR="00B040EC" w:rsidRPr="00B63BD5">
        <w:rPr>
          <w:lang w:val="fr-CA"/>
        </w:rPr>
        <w:t>exercice de l</w:t>
      </w:r>
      <w:r w:rsidR="00564B0C" w:rsidRPr="00B63BD5">
        <w:rPr>
          <w:lang w:val="fr-CA"/>
        </w:rPr>
        <w:t>’</w:t>
      </w:r>
      <w:r w:rsidR="00B040EC" w:rsidRPr="00B63BD5">
        <w:rPr>
          <w:lang w:val="fr-CA"/>
        </w:rPr>
        <w:t>un ou l</w:t>
      </w:r>
      <w:r w:rsidR="00564B0C" w:rsidRPr="00B63BD5">
        <w:rPr>
          <w:lang w:val="fr-CA"/>
        </w:rPr>
        <w:t>’</w:t>
      </w:r>
      <w:r w:rsidR="00B040EC" w:rsidRPr="00B63BD5">
        <w:rPr>
          <w:lang w:val="fr-CA"/>
        </w:rPr>
        <w:t>autre d</w:t>
      </w:r>
      <w:r w:rsidR="00564B0C" w:rsidRPr="00B63BD5">
        <w:rPr>
          <w:lang w:val="fr-CA"/>
        </w:rPr>
        <w:t>’</w:t>
      </w:r>
      <w:r w:rsidR="00B040EC" w:rsidRPr="00B63BD5">
        <w:rPr>
          <w:lang w:val="fr-CA"/>
        </w:rPr>
        <w:t>entre eux</w:t>
      </w:r>
      <w:r w:rsidR="002852D2" w:rsidRPr="00B63BD5">
        <w:rPr>
          <w:lang w:val="fr-CA"/>
        </w:rPr>
        <w:t xml:space="preserve">. </w:t>
      </w:r>
    </w:p>
    <w:p w14:paraId="0929549A" w14:textId="21334FFA" w:rsidR="009926E7" w:rsidRPr="00B63BD5" w:rsidRDefault="002852D2" w:rsidP="00632863">
      <w:pPr>
        <w:pStyle w:val="ListNumber"/>
        <w:keepNext w:val="0"/>
        <w:spacing w:after="240"/>
        <w:ind w:left="709"/>
        <w:jc w:val="both"/>
        <w:rPr>
          <w:lang w:val="fr-CA"/>
        </w:rPr>
      </w:pPr>
      <w:r w:rsidRPr="00B63BD5">
        <w:rPr>
          <w:lang w:val="fr-CA"/>
        </w:rPr>
        <w:t>Conditions préalables</w:t>
      </w:r>
    </w:p>
    <w:p w14:paraId="119F5F48" w14:textId="0C404816" w:rsidR="002852D2" w:rsidRPr="00B63BD5" w:rsidRDefault="002852D2"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lastRenderedPageBreak/>
        <w:t xml:space="preserve">Outre les </w:t>
      </w:r>
      <w:r w:rsidR="00C66734" w:rsidRPr="00B63BD5">
        <w:rPr>
          <w:lang w:val="fr-CA"/>
        </w:rPr>
        <w:t>c</w:t>
      </w:r>
      <w:r w:rsidRPr="00B63BD5">
        <w:rPr>
          <w:lang w:val="fr-CA"/>
        </w:rPr>
        <w:t xml:space="preserve">onditions préalables énoncées dans la Lettre relative aux facilités, </w:t>
      </w:r>
      <w:r w:rsidR="00C31900" w:rsidRPr="00B63BD5">
        <w:rPr>
          <w:lang w:val="fr-CA"/>
        </w:rPr>
        <w:t xml:space="preserve">la Banque doit, </w:t>
      </w:r>
      <w:r w:rsidRPr="00B63BD5">
        <w:rPr>
          <w:lang w:val="fr-CA"/>
        </w:rPr>
        <w:t xml:space="preserve">à titre de condition préalable à </w:t>
      </w:r>
      <w:r w:rsidR="00B040EC" w:rsidRPr="00B63BD5">
        <w:rPr>
          <w:lang w:val="fr-CA"/>
        </w:rPr>
        <w:t>l</w:t>
      </w:r>
      <w:r w:rsidR="00564B0C" w:rsidRPr="00B63BD5">
        <w:rPr>
          <w:lang w:val="fr-CA"/>
        </w:rPr>
        <w:t>’</w:t>
      </w:r>
      <w:r w:rsidR="00B040EC" w:rsidRPr="00B63BD5">
        <w:rPr>
          <w:lang w:val="fr-CA"/>
        </w:rPr>
        <w:t xml:space="preserve">avance initiale </w:t>
      </w:r>
      <w:r w:rsidRPr="00B63BD5">
        <w:rPr>
          <w:lang w:val="fr-CA"/>
        </w:rPr>
        <w:t>et à la disponibilité continue d</w:t>
      </w:r>
      <w:r w:rsidR="00564B0C" w:rsidRPr="00B63BD5">
        <w:rPr>
          <w:lang w:val="fr-CA"/>
        </w:rPr>
        <w:t>’</w:t>
      </w:r>
      <w:r w:rsidRPr="00B63BD5">
        <w:rPr>
          <w:lang w:val="fr-CA"/>
        </w:rPr>
        <w:t>un crédit ou d</w:t>
      </w:r>
      <w:r w:rsidR="00564B0C" w:rsidRPr="00B63BD5">
        <w:rPr>
          <w:lang w:val="fr-CA"/>
        </w:rPr>
        <w:t>’</w:t>
      </w:r>
      <w:r w:rsidRPr="00B63BD5">
        <w:rPr>
          <w:lang w:val="fr-CA"/>
        </w:rPr>
        <w:t>une avance consenti aux termes de</w:t>
      </w:r>
      <w:r w:rsidR="008C7DD2" w:rsidRPr="00B63BD5">
        <w:rPr>
          <w:lang w:val="fr-CA"/>
        </w:rPr>
        <w:t> </w:t>
      </w:r>
      <w:r w:rsidRPr="00B63BD5">
        <w:rPr>
          <w:lang w:val="fr-CA"/>
        </w:rPr>
        <w:t>l</w:t>
      </w:r>
      <w:r w:rsidR="00564B0C" w:rsidRPr="00B63BD5">
        <w:rPr>
          <w:lang w:val="fr-CA"/>
        </w:rPr>
        <w:t>’</w:t>
      </w:r>
      <w:r w:rsidRPr="00B63BD5">
        <w:rPr>
          <w:lang w:val="fr-CA"/>
        </w:rPr>
        <w:t>une ou l</w:t>
      </w:r>
      <w:r w:rsidR="00564B0C" w:rsidRPr="00B63BD5">
        <w:rPr>
          <w:lang w:val="fr-CA"/>
        </w:rPr>
        <w:t>’</w:t>
      </w:r>
      <w:r w:rsidRPr="00B63BD5">
        <w:rPr>
          <w:lang w:val="fr-CA"/>
        </w:rPr>
        <w:t>autre des Facilités de crédit, avoir reçu les documents suivants</w:t>
      </w:r>
      <w:r w:rsidR="00B040EC" w:rsidRPr="00B63BD5">
        <w:rPr>
          <w:lang w:val="fr-CA"/>
        </w:rPr>
        <w:t>, à sa satisfaction</w:t>
      </w:r>
      <w:r w:rsidR="00AC4107" w:rsidRPr="00B63BD5">
        <w:rPr>
          <w:lang w:val="fr-CA"/>
        </w:rPr>
        <w:t xml:space="preserve"> </w:t>
      </w:r>
      <w:r w:rsidRPr="00B63BD5">
        <w:rPr>
          <w:lang w:val="fr-CA"/>
        </w:rPr>
        <w:t xml:space="preserve">: </w:t>
      </w:r>
    </w:p>
    <w:p w14:paraId="4F0D1DB2" w14:textId="7DB62207" w:rsidR="002852D2" w:rsidRPr="000B7739" w:rsidRDefault="00B040EC" w:rsidP="000C4154">
      <w:pPr>
        <w:pStyle w:val="04LOLglNew3"/>
        <w:numPr>
          <w:ilvl w:val="2"/>
          <w:numId w:val="44"/>
        </w:numPr>
        <w:rPr>
          <w:lang w:val="fr-CA"/>
        </w:rPr>
      </w:pPr>
      <w:r w:rsidRPr="000B7739">
        <w:rPr>
          <w:lang w:val="fr-CA"/>
        </w:rPr>
        <w:t>l</w:t>
      </w:r>
      <w:r w:rsidR="002852D2" w:rsidRPr="000B7739">
        <w:rPr>
          <w:lang w:val="fr-CA"/>
        </w:rPr>
        <w:t xml:space="preserve">es Documents de prêt </w:t>
      </w:r>
      <w:r w:rsidR="00A36604" w:rsidRPr="000B7739">
        <w:rPr>
          <w:lang w:val="fr-CA"/>
        </w:rPr>
        <w:t xml:space="preserve">dûment </w:t>
      </w:r>
      <w:r w:rsidR="002852D2" w:rsidRPr="000B7739">
        <w:rPr>
          <w:lang w:val="fr-CA"/>
        </w:rPr>
        <w:t>remplis</w:t>
      </w:r>
      <w:r w:rsidR="00A36604" w:rsidRPr="000B7739">
        <w:rPr>
          <w:lang w:val="fr-CA"/>
        </w:rPr>
        <w:t>, signés</w:t>
      </w:r>
      <w:r w:rsidR="002852D2" w:rsidRPr="000B7739">
        <w:rPr>
          <w:lang w:val="fr-CA"/>
        </w:rPr>
        <w:t xml:space="preserve"> </w:t>
      </w:r>
      <w:r w:rsidRPr="000B7739">
        <w:rPr>
          <w:lang w:val="fr-CA"/>
        </w:rPr>
        <w:t xml:space="preserve">et </w:t>
      </w:r>
      <w:r w:rsidR="002852D2" w:rsidRPr="000B7739">
        <w:rPr>
          <w:lang w:val="fr-CA"/>
        </w:rPr>
        <w:t xml:space="preserve">enregistrés, au besoin, </w:t>
      </w:r>
      <w:r w:rsidRPr="000B7739">
        <w:rPr>
          <w:lang w:val="fr-CA"/>
        </w:rPr>
        <w:t>à la satisfaction des avocats de la Banque</w:t>
      </w:r>
      <w:r w:rsidR="007F466F" w:rsidRPr="000B7739">
        <w:rPr>
          <w:lang w:val="fr-CA"/>
        </w:rPr>
        <w:t xml:space="preserve"> quant</w:t>
      </w:r>
      <w:r w:rsidRPr="000B7739">
        <w:rPr>
          <w:lang w:val="fr-CA"/>
        </w:rPr>
        <w:t xml:space="preserve"> </w:t>
      </w:r>
      <w:r w:rsidR="002852D2" w:rsidRPr="000B7739">
        <w:rPr>
          <w:lang w:val="fr-CA"/>
        </w:rPr>
        <w:t>à la forme et au fond;</w:t>
      </w:r>
    </w:p>
    <w:p w14:paraId="45391A71" w14:textId="0732FCED" w:rsidR="002852D2" w:rsidRPr="000B7739" w:rsidRDefault="002852D2" w:rsidP="000C4154">
      <w:pPr>
        <w:pStyle w:val="04LOLglNew3"/>
        <w:numPr>
          <w:ilvl w:val="2"/>
          <w:numId w:val="44"/>
        </w:numPr>
        <w:rPr>
          <w:lang w:val="fr-CA"/>
        </w:rPr>
      </w:pPr>
      <w:r w:rsidRPr="000B7739">
        <w:rPr>
          <w:lang w:val="fr-CA"/>
        </w:rPr>
        <w:t>des rapports</w:t>
      </w:r>
      <w:r w:rsidR="00D750A7" w:rsidRPr="000B7739">
        <w:rPr>
          <w:lang w:val="fr-CA"/>
        </w:rPr>
        <w:t xml:space="preserve"> satisfaisants dressés par une banque </w:t>
      </w:r>
      <w:r w:rsidRPr="000B7739">
        <w:rPr>
          <w:lang w:val="fr-CA"/>
        </w:rPr>
        <w:t xml:space="preserve">ou un autre organisme </w:t>
      </w:r>
      <w:r w:rsidR="00D750A7" w:rsidRPr="000B7739">
        <w:rPr>
          <w:lang w:val="fr-CA"/>
        </w:rPr>
        <w:t>relativement à</w:t>
      </w:r>
      <w:r w:rsidR="008C7DD2" w:rsidRPr="000B7739">
        <w:rPr>
          <w:lang w:val="fr-CA"/>
        </w:rPr>
        <w:t> </w:t>
      </w:r>
      <w:r w:rsidRPr="000B7739">
        <w:rPr>
          <w:lang w:val="fr-CA"/>
        </w:rPr>
        <w:t>la</w:t>
      </w:r>
      <w:r w:rsidR="008C7DD2" w:rsidRPr="000B7739">
        <w:rPr>
          <w:lang w:val="fr-CA"/>
        </w:rPr>
        <w:t> </w:t>
      </w:r>
      <w:r w:rsidRPr="000B7739">
        <w:rPr>
          <w:lang w:val="fr-CA"/>
        </w:rPr>
        <w:t>situation</w:t>
      </w:r>
      <w:r w:rsidR="008C7DD2" w:rsidRPr="000B7739">
        <w:rPr>
          <w:lang w:val="fr-CA"/>
        </w:rPr>
        <w:t> </w:t>
      </w:r>
      <w:r w:rsidRPr="000B7739">
        <w:rPr>
          <w:lang w:val="fr-CA"/>
        </w:rPr>
        <w:t xml:space="preserve">financière de chaque </w:t>
      </w:r>
      <w:r w:rsidR="008121D8" w:rsidRPr="000B7739">
        <w:rPr>
          <w:lang w:val="fr-CA"/>
        </w:rPr>
        <w:t>Bénéficiaire du crédit</w:t>
      </w:r>
      <w:r w:rsidR="00D750A7" w:rsidRPr="000B7739">
        <w:rPr>
          <w:lang w:val="fr-CA"/>
        </w:rPr>
        <w:t xml:space="preserve"> </w:t>
      </w:r>
      <w:r w:rsidRPr="000B7739">
        <w:rPr>
          <w:lang w:val="fr-CA"/>
        </w:rPr>
        <w:t xml:space="preserve">et </w:t>
      </w:r>
      <w:r w:rsidR="00C84CDA" w:rsidRPr="000B7739">
        <w:rPr>
          <w:lang w:val="fr-CA"/>
        </w:rPr>
        <w:t>d</w:t>
      </w:r>
      <w:r w:rsidRPr="000B7739">
        <w:rPr>
          <w:lang w:val="fr-CA"/>
        </w:rPr>
        <w:t>es clients de l</w:t>
      </w:r>
      <w:r w:rsidR="00564B0C" w:rsidRPr="000B7739">
        <w:rPr>
          <w:lang w:val="fr-CA"/>
        </w:rPr>
        <w:t>’</w:t>
      </w:r>
      <w:r w:rsidRPr="000B7739">
        <w:rPr>
          <w:lang w:val="fr-CA"/>
        </w:rPr>
        <w:t xml:space="preserve">Emprunteur que la Banque </w:t>
      </w:r>
      <w:r w:rsidR="00B040EC" w:rsidRPr="000B7739">
        <w:rPr>
          <w:lang w:val="fr-CA"/>
        </w:rPr>
        <w:t xml:space="preserve">pourrait </w:t>
      </w:r>
      <w:r w:rsidRPr="000B7739">
        <w:rPr>
          <w:lang w:val="fr-CA"/>
        </w:rPr>
        <w:t xml:space="preserve">indiquer; </w:t>
      </w:r>
    </w:p>
    <w:p w14:paraId="3AB846A7" w14:textId="254896FF" w:rsidR="002852D2" w:rsidRPr="000B7739" w:rsidRDefault="002852D2" w:rsidP="000C4154">
      <w:pPr>
        <w:pStyle w:val="04LOLglNew3"/>
        <w:numPr>
          <w:ilvl w:val="2"/>
          <w:numId w:val="44"/>
        </w:numPr>
        <w:rPr>
          <w:lang w:val="fr-CA"/>
        </w:rPr>
      </w:pPr>
      <w:r w:rsidRPr="000B7739">
        <w:rPr>
          <w:lang w:val="fr-CA"/>
        </w:rPr>
        <w:t>l</w:t>
      </w:r>
      <w:r w:rsidR="00C668DC" w:rsidRPr="000B7739">
        <w:rPr>
          <w:lang w:val="fr-CA"/>
        </w:rPr>
        <w:t>a protection d</w:t>
      </w:r>
      <w:r w:rsidR="00564B0C" w:rsidRPr="000B7739">
        <w:rPr>
          <w:lang w:val="fr-CA"/>
        </w:rPr>
        <w:t>’</w:t>
      </w:r>
      <w:r w:rsidRPr="000B7739">
        <w:rPr>
          <w:lang w:val="fr-CA"/>
        </w:rPr>
        <w:t>assurance souscrite par l</w:t>
      </w:r>
      <w:r w:rsidR="00564B0C" w:rsidRPr="000B7739">
        <w:rPr>
          <w:lang w:val="fr-CA"/>
        </w:rPr>
        <w:t>’</w:t>
      </w:r>
      <w:r w:rsidRPr="000B7739">
        <w:rPr>
          <w:lang w:val="fr-CA"/>
        </w:rPr>
        <w:t>Emprunteur conformément aux exigences</w:t>
      </w:r>
      <w:r w:rsidR="00C668DC" w:rsidRPr="000B7739">
        <w:rPr>
          <w:lang w:val="fr-CA"/>
        </w:rPr>
        <w:t xml:space="preserve"> énoncées à l</w:t>
      </w:r>
      <w:r w:rsidR="00564B0C" w:rsidRPr="000B7739">
        <w:rPr>
          <w:lang w:val="fr-CA"/>
        </w:rPr>
        <w:t>’</w:t>
      </w:r>
      <w:r w:rsidR="00C668DC" w:rsidRPr="000B7739">
        <w:rPr>
          <w:lang w:val="fr-CA"/>
        </w:rPr>
        <w:t>article</w:t>
      </w:r>
      <w:r w:rsidR="00B056F9" w:rsidRPr="000B7739">
        <w:rPr>
          <w:lang w:val="fr-CA"/>
        </w:rPr>
        <w:t> </w:t>
      </w:r>
      <w:r w:rsidR="00C668DC" w:rsidRPr="000B7739">
        <w:rPr>
          <w:lang w:val="fr-CA"/>
        </w:rPr>
        <w:t xml:space="preserve">VI de la présente </w:t>
      </w:r>
      <w:r w:rsidR="003B5277" w:rsidRPr="000B7739">
        <w:rPr>
          <w:lang w:val="fr-CA"/>
        </w:rPr>
        <w:t>A</w:t>
      </w:r>
      <w:r w:rsidR="00C668DC" w:rsidRPr="000B7739">
        <w:rPr>
          <w:lang w:val="fr-CA"/>
        </w:rPr>
        <w:t>nnexe</w:t>
      </w:r>
      <w:r w:rsidRPr="000B7739">
        <w:rPr>
          <w:lang w:val="fr-CA"/>
        </w:rPr>
        <w:t>;</w:t>
      </w:r>
    </w:p>
    <w:p w14:paraId="4A7B5A32" w14:textId="7C6B8C3E" w:rsidR="002852D2" w:rsidRPr="000B7739" w:rsidRDefault="002852D2" w:rsidP="000C4154">
      <w:pPr>
        <w:pStyle w:val="04LOLglNew3"/>
        <w:numPr>
          <w:ilvl w:val="2"/>
          <w:numId w:val="44"/>
        </w:numPr>
        <w:rPr>
          <w:lang w:val="fr-CA"/>
        </w:rPr>
      </w:pPr>
      <w:r w:rsidRPr="000B7739">
        <w:rPr>
          <w:lang w:val="fr-CA"/>
        </w:rPr>
        <w:t>un</w:t>
      </w:r>
      <w:r w:rsidR="00D750A7" w:rsidRPr="000B7739">
        <w:rPr>
          <w:lang w:val="fr-CA"/>
        </w:rPr>
        <w:t xml:space="preserve">e confirmation </w:t>
      </w:r>
      <w:r w:rsidR="00B040EC" w:rsidRPr="000B7739">
        <w:rPr>
          <w:lang w:val="fr-CA"/>
        </w:rPr>
        <w:t xml:space="preserve">du fait </w:t>
      </w:r>
      <w:r w:rsidRPr="000B7739">
        <w:rPr>
          <w:lang w:val="fr-CA"/>
        </w:rPr>
        <w:t>que l</w:t>
      </w:r>
      <w:r w:rsidR="00564B0C" w:rsidRPr="000B7739">
        <w:rPr>
          <w:lang w:val="fr-CA"/>
        </w:rPr>
        <w:t>’</w:t>
      </w:r>
      <w:r w:rsidRPr="000B7739">
        <w:rPr>
          <w:lang w:val="fr-CA"/>
        </w:rPr>
        <w:t>Emprunteur se conforme aux modalités de la présente Lettre relative aux</w:t>
      </w:r>
      <w:r w:rsidR="00952856" w:rsidRPr="000B7739">
        <w:rPr>
          <w:lang w:val="fr-CA"/>
        </w:rPr>
        <w:t> </w:t>
      </w:r>
      <w:r w:rsidRPr="000B7739">
        <w:rPr>
          <w:lang w:val="fr-CA"/>
        </w:rPr>
        <w:t xml:space="preserve">facilités; </w:t>
      </w:r>
    </w:p>
    <w:p w14:paraId="79400EB8" w14:textId="17F5C3E0" w:rsidR="002852D2" w:rsidRPr="000B7739" w:rsidRDefault="002852D2" w:rsidP="000C4154">
      <w:pPr>
        <w:pStyle w:val="04LOLglNew3"/>
        <w:numPr>
          <w:ilvl w:val="2"/>
          <w:numId w:val="44"/>
        </w:numPr>
        <w:rPr>
          <w:lang w:val="fr-CA"/>
        </w:rPr>
      </w:pPr>
      <w:r w:rsidRPr="000B7739">
        <w:rPr>
          <w:lang w:val="fr-CA"/>
        </w:rPr>
        <w:t xml:space="preserve">tous les documents et renseignements </w:t>
      </w:r>
      <w:r w:rsidR="00C84CDA" w:rsidRPr="000B7739">
        <w:rPr>
          <w:lang w:val="fr-CA"/>
        </w:rPr>
        <w:t xml:space="preserve">concernant </w:t>
      </w:r>
      <w:r w:rsidRPr="000B7739">
        <w:rPr>
          <w:lang w:val="fr-CA"/>
        </w:rPr>
        <w:t>l</w:t>
      </w:r>
      <w:r w:rsidR="00564B0C" w:rsidRPr="000B7739">
        <w:rPr>
          <w:lang w:val="fr-CA"/>
        </w:rPr>
        <w:t>’</w:t>
      </w:r>
      <w:r w:rsidRPr="000B7739">
        <w:rPr>
          <w:lang w:val="fr-CA"/>
        </w:rPr>
        <w:t xml:space="preserve">identité, </w:t>
      </w:r>
      <w:r w:rsidR="00C84CDA" w:rsidRPr="000B7739">
        <w:rPr>
          <w:lang w:val="fr-CA"/>
        </w:rPr>
        <w:t xml:space="preserve">les </w:t>
      </w:r>
      <w:r w:rsidRPr="000B7739">
        <w:rPr>
          <w:lang w:val="fr-CA"/>
        </w:rPr>
        <w:t>activités commerciales</w:t>
      </w:r>
      <w:r w:rsidR="0019503E" w:rsidRPr="000B7739">
        <w:rPr>
          <w:lang w:val="fr-CA"/>
        </w:rPr>
        <w:t xml:space="preserve"> et</w:t>
      </w:r>
      <w:r w:rsidR="00D750A7" w:rsidRPr="000B7739">
        <w:rPr>
          <w:lang w:val="fr-CA"/>
        </w:rPr>
        <w:t xml:space="preserve"> </w:t>
      </w:r>
      <w:r w:rsidRPr="000B7739">
        <w:rPr>
          <w:lang w:val="fr-CA"/>
        </w:rPr>
        <w:t>la structure de l</w:t>
      </w:r>
      <w:r w:rsidR="00564B0C" w:rsidRPr="000B7739">
        <w:rPr>
          <w:lang w:val="fr-CA"/>
        </w:rPr>
        <w:t>’</w:t>
      </w:r>
      <w:r w:rsidRPr="000B7739">
        <w:rPr>
          <w:lang w:val="fr-CA"/>
        </w:rPr>
        <w:t xml:space="preserve">entreprise et </w:t>
      </w:r>
      <w:r w:rsidR="0019503E" w:rsidRPr="000B7739">
        <w:rPr>
          <w:lang w:val="fr-CA"/>
        </w:rPr>
        <w:t xml:space="preserve">les autres documents et renseignements requis par le principe de </w:t>
      </w:r>
      <w:r w:rsidRPr="000B7739">
        <w:rPr>
          <w:lang w:val="fr-CA"/>
        </w:rPr>
        <w:t xml:space="preserve">la connaissance </w:t>
      </w:r>
      <w:r w:rsidR="0019503E" w:rsidRPr="000B7739">
        <w:rPr>
          <w:lang w:val="fr-CA"/>
        </w:rPr>
        <w:t>du</w:t>
      </w:r>
      <w:r w:rsidR="008C7DD2" w:rsidRPr="000B7739">
        <w:rPr>
          <w:lang w:val="fr-CA"/>
        </w:rPr>
        <w:t> </w:t>
      </w:r>
      <w:r w:rsidR="0019503E" w:rsidRPr="000B7739">
        <w:rPr>
          <w:lang w:val="fr-CA"/>
        </w:rPr>
        <w:t xml:space="preserve">client </w:t>
      </w:r>
      <w:r w:rsidRPr="000B7739">
        <w:rPr>
          <w:lang w:val="fr-CA"/>
        </w:rPr>
        <w:t xml:space="preserve">que la Banque </w:t>
      </w:r>
      <w:r w:rsidR="0019503E" w:rsidRPr="000B7739">
        <w:rPr>
          <w:lang w:val="fr-CA"/>
        </w:rPr>
        <w:t xml:space="preserve">pourrait exiger </w:t>
      </w:r>
      <w:r w:rsidRPr="000B7739">
        <w:rPr>
          <w:lang w:val="fr-CA"/>
        </w:rPr>
        <w:t xml:space="preserve">et les vérifications effectuées </w:t>
      </w:r>
      <w:r w:rsidR="00C84CDA" w:rsidRPr="000B7739">
        <w:rPr>
          <w:lang w:val="fr-CA"/>
        </w:rPr>
        <w:t xml:space="preserve">relativement </w:t>
      </w:r>
      <w:r w:rsidRPr="000B7739">
        <w:rPr>
          <w:lang w:val="fr-CA"/>
        </w:rPr>
        <w:t>aux Sanctions et</w:t>
      </w:r>
      <w:r w:rsidR="008C7DD2" w:rsidRPr="000B7739">
        <w:rPr>
          <w:lang w:val="fr-CA"/>
        </w:rPr>
        <w:t> </w:t>
      </w:r>
      <w:r w:rsidRPr="000B7739">
        <w:rPr>
          <w:lang w:val="fr-CA"/>
        </w:rPr>
        <w:t>conformément à d</w:t>
      </w:r>
      <w:r w:rsidR="00564B0C" w:rsidRPr="000B7739">
        <w:rPr>
          <w:lang w:val="fr-CA"/>
        </w:rPr>
        <w:t>’</w:t>
      </w:r>
      <w:r w:rsidRPr="000B7739">
        <w:rPr>
          <w:lang w:val="fr-CA"/>
        </w:rPr>
        <w:t>autres exigences applicables</w:t>
      </w:r>
      <w:r w:rsidR="00D750A7" w:rsidRPr="000B7739">
        <w:rPr>
          <w:lang w:val="fr-CA"/>
        </w:rPr>
        <w:t xml:space="preserve"> prévues par la loi</w:t>
      </w:r>
      <w:r w:rsidRPr="000B7739">
        <w:rPr>
          <w:lang w:val="fr-CA"/>
        </w:rPr>
        <w:t xml:space="preserve">; </w:t>
      </w:r>
    </w:p>
    <w:p w14:paraId="2981B1E4" w14:textId="3CB1374F" w:rsidR="002852D2" w:rsidRPr="000B7739" w:rsidRDefault="002852D2" w:rsidP="000C4154">
      <w:pPr>
        <w:pStyle w:val="04LOLglNew3"/>
        <w:numPr>
          <w:ilvl w:val="2"/>
          <w:numId w:val="44"/>
        </w:numPr>
        <w:rPr>
          <w:lang w:val="fr-CA"/>
        </w:rPr>
      </w:pPr>
      <w:r w:rsidRPr="000B7739">
        <w:rPr>
          <w:lang w:val="fr-CA"/>
        </w:rPr>
        <w:t xml:space="preserve">les autres conditions que la Banque </w:t>
      </w:r>
      <w:r w:rsidR="0019503E" w:rsidRPr="000B7739">
        <w:rPr>
          <w:lang w:val="fr-CA"/>
        </w:rPr>
        <w:t>pourrait imposer</w:t>
      </w:r>
      <w:r w:rsidRPr="000B7739">
        <w:rPr>
          <w:lang w:val="fr-CA"/>
        </w:rPr>
        <w:t xml:space="preserve">, à sa discrétion. </w:t>
      </w:r>
    </w:p>
    <w:p w14:paraId="6F9233D8" w14:textId="52E9E4C3" w:rsidR="009926E7" w:rsidRPr="00B63BD5" w:rsidRDefault="002852D2" w:rsidP="00632863">
      <w:pPr>
        <w:pStyle w:val="ListNumber"/>
        <w:spacing w:after="240"/>
        <w:ind w:left="709" w:hanging="709"/>
        <w:jc w:val="both"/>
        <w:rPr>
          <w:lang w:val="fr-CA"/>
        </w:rPr>
      </w:pPr>
      <w:r w:rsidRPr="00B63BD5">
        <w:rPr>
          <w:lang w:val="fr-CA"/>
        </w:rPr>
        <w:t>Engagements de l</w:t>
      </w:r>
      <w:r w:rsidR="00564B0C" w:rsidRPr="00B63BD5">
        <w:rPr>
          <w:lang w:val="fr-CA"/>
        </w:rPr>
        <w:t>’</w:t>
      </w:r>
      <w:r w:rsidRPr="00B63BD5">
        <w:rPr>
          <w:lang w:val="fr-CA"/>
        </w:rPr>
        <w:t xml:space="preserve">Emprunteur et conditions </w:t>
      </w:r>
      <w:r w:rsidR="00F32BD1" w:rsidRPr="00B63BD5">
        <w:rPr>
          <w:lang w:val="fr-CA"/>
        </w:rPr>
        <w:t>de</w:t>
      </w:r>
      <w:r w:rsidRPr="00B63BD5">
        <w:rPr>
          <w:lang w:val="fr-CA"/>
        </w:rPr>
        <w:t xml:space="preserve"> crédit</w:t>
      </w:r>
    </w:p>
    <w:p w14:paraId="4A1E4AA7" w14:textId="244AFF5A" w:rsidR="002852D2" w:rsidRPr="00B63BD5" w:rsidRDefault="002852D2" w:rsidP="00632863">
      <w:pPr>
        <w:keepNext/>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Outre les conditions énoncées ci</w:t>
      </w:r>
      <w:r w:rsidRPr="00B63BD5">
        <w:rPr>
          <w:lang w:val="fr-CA"/>
        </w:rPr>
        <w:noBreakHyphen/>
        <w:t>dessus, les conditions supplémentaires suivantes s</w:t>
      </w:r>
      <w:r w:rsidR="00564B0C" w:rsidRPr="00B63BD5">
        <w:rPr>
          <w:lang w:val="fr-CA"/>
        </w:rPr>
        <w:t>’</w:t>
      </w:r>
      <w:r w:rsidRPr="00B63BD5">
        <w:rPr>
          <w:lang w:val="fr-CA"/>
        </w:rPr>
        <w:t>appliquent jusqu</w:t>
      </w:r>
      <w:r w:rsidR="00564B0C" w:rsidRPr="00B63BD5">
        <w:rPr>
          <w:lang w:val="fr-CA"/>
        </w:rPr>
        <w:t>’</w:t>
      </w:r>
      <w:r w:rsidR="00D750A7" w:rsidRPr="00B63BD5">
        <w:rPr>
          <w:lang w:val="fr-CA"/>
        </w:rPr>
        <w:t>à ce que</w:t>
      </w:r>
      <w:r w:rsidR="008C7DD2" w:rsidRPr="00B63BD5">
        <w:rPr>
          <w:lang w:val="fr-CA"/>
        </w:rPr>
        <w:t> </w:t>
      </w:r>
      <w:r w:rsidRPr="00B63BD5">
        <w:rPr>
          <w:lang w:val="fr-CA"/>
        </w:rPr>
        <w:t>toutes les dettes contractées aux termes des Facilités de crédit</w:t>
      </w:r>
      <w:r w:rsidR="00D750A7" w:rsidRPr="00B63BD5">
        <w:rPr>
          <w:lang w:val="fr-CA"/>
        </w:rPr>
        <w:t xml:space="preserve"> </w:t>
      </w:r>
      <w:r w:rsidR="00C84CDA" w:rsidRPr="00B63BD5">
        <w:rPr>
          <w:lang w:val="fr-CA"/>
        </w:rPr>
        <w:t xml:space="preserve">aient été </w:t>
      </w:r>
      <w:r w:rsidR="00D750A7" w:rsidRPr="00B63BD5">
        <w:rPr>
          <w:lang w:val="fr-CA"/>
        </w:rPr>
        <w:t>remboursées intégralement et</w:t>
      </w:r>
      <w:r w:rsidR="008C7DD2" w:rsidRPr="00B63BD5">
        <w:rPr>
          <w:lang w:val="fr-CA"/>
        </w:rPr>
        <w:t> </w:t>
      </w:r>
      <w:r w:rsidR="00D750A7" w:rsidRPr="00B63BD5">
        <w:rPr>
          <w:lang w:val="fr-CA"/>
        </w:rPr>
        <w:t>irrévocablement</w:t>
      </w:r>
      <w:r w:rsidRPr="00B63BD5">
        <w:rPr>
          <w:lang w:val="fr-CA"/>
        </w:rPr>
        <w:t xml:space="preserve"> à la Banque et </w:t>
      </w:r>
      <w:r w:rsidR="00D750A7" w:rsidRPr="00B63BD5">
        <w:rPr>
          <w:lang w:val="fr-CA"/>
        </w:rPr>
        <w:t>que l</w:t>
      </w:r>
      <w:r w:rsidRPr="00B63BD5">
        <w:rPr>
          <w:lang w:val="fr-CA"/>
        </w:rPr>
        <w:t>es Facilités de crédit</w:t>
      </w:r>
      <w:r w:rsidR="00D750A7" w:rsidRPr="00B63BD5">
        <w:rPr>
          <w:lang w:val="fr-CA"/>
        </w:rPr>
        <w:t xml:space="preserve"> </w:t>
      </w:r>
      <w:r w:rsidR="00C84CDA" w:rsidRPr="00B63BD5">
        <w:rPr>
          <w:lang w:val="fr-CA"/>
        </w:rPr>
        <w:t xml:space="preserve">aient été </w:t>
      </w:r>
      <w:r w:rsidR="00D750A7" w:rsidRPr="00B63BD5">
        <w:rPr>
          <w:lang w:val="fr-CA"/>
        </w:rPr>
        <w:t>annulées</w:t>
      </w:r>
      <w:r w:rsidR="00AC4107" w:rsidRPr="00B63BD5">
        <w:rPr>
          <w:lang w:val="fr-CA"/>
        </w:rPr>
        <w:t xml:space="preserve"> </w:t>
      </w:r>
      <w:r w:rsidRPr="00B63BD5">
        <w:rPr>
          <w:lang w:val="fr-CA"/>
        </w:rPr>
        <w:t xml:space="preserve">: </w:t>
      </w:r>
    </w:p>
    <w:p w14:paraId="0722BB3E" w14:textId="4F18083D" w:rsidR="002852D2" w:rsidRPr="000B7739" w:rsidRDefault="002852D2" w:rsidP="000C4154">
      <w:pPr>
        <w:pStyle w:val="04LOLglNew3"/>
        <w:numPr>
          <w:ilvl w:val="2"/>
          <w:numId w:val="45"/>
        </w:numPr>
        <w:rPr>
          <w:lang w:val="fr-CA"/>
        </w:rPr>
      </w:pPr>
      <w:r w:rsidRPr="000B7739">
        <w:rPr>
          <w:lang w:val="fr-CA"/>
        </w:rPr>
        <w:t>l</w:t>
      </w:r>
      <w:r w:rsidR="00564B0C" w:rsidRPr="000B7739">
        <w:rPr>
          <w:lang w:val="fr-CA"/>
        </w:rPr>
        <w:t>’</w:t>
      </w:r>
      <w:r w:rsidRPr="000B7739">
        <w:rPr>
          <w:lang w:val="fr-CA"/>
        </w:rPr>
        <w:t xml:space="preserve">Emprunteur ne doit pas faire ce qui suit sans le consentement préalable </w:t>
      </w:r>
      <w:r w:rsidR="00C50B6C" w:rsidRPr="000B7739">
        <w:rPr>
          <w:lang w:val="fr-CA"/>
        </w:rPr>
        <w:t xml:space="preserve">écrit </w:t>
      </w:r>
      <w:r w:rsidRPr="000B7739">
        <w:rPr>
          <w:lang w:val="fr-CA"/>
        </w:rPr>
        <w:t>de la Banque</w:t>
      </w:r>
      <w:r w:rsidR="00AC4107" w:rsidRPr="000B7739">
        <w:rPr>
          <w:lang w:val="fr-CA"/>
        </w:rPr>
        <w:t xml:space="preserve"> </w:t>
      </w:r>
      <w:r w:rsidRPr="000B7739">
        <w:rPr>
          <w:lang w:val="fr-CA"/>
        </w:rPr>
        <w:t xml:space="preserve">: </w:t>
      </w:r>
    </w:p>
    <w:p w14:paraId="5A75F371" w14:textId="68B1F487" w:rsidR="002852D2" w:rsidRPr="00B63BD5" w:rsidRDefault="00C50B6C" w:rsidP="00404E07">
      <w:pPr>
        <w:pStyle w:val="04LOLglNew4"/>
        <w:rPr>
          <w:lang w:val="fr-CA"/>
        </w:rPr>
      </w:pPr>
      <w:r w:rsidRPr="00B63BD5">
        <w:rPr>
          <w:lang w:val="fr-CA"/>
        </w:rPr>
        <w:t>consentir</w:t>
      </w:r>
      <w:r w:rsidR="001E1971" w:rsidRPr="00B63BD5">
        <w:rPr>
          <w:lang w:val="fr-CA"/>
        </w:rPr>
        <w:t xml:space="preserve"> </w:t>
      </w:r>
      <w:r w:rsidR="002852D2" w:rsidRPr="00B63BD5">
        <w:rPr>
          <w:lang w:val="fr-CA"/>
        </w:rPr>
        <w:t xml:space="preserve">des </w:t>
      </w:r>
      <w:r w:rsidR="00714703" w:rsidRPr="00B63BD5">
        <w:rPr>
          <w:lang w:val="fr-CA"/>
        </w:rPr>
        <w:t>Charges</w:t>
      </w:r>
      <w:r w:rsidR="007A473A" w:rsidRPr="00B63BD5">
        <w:rPr>
          <w:lang w:val="fr-CA"/>
        </w:rPr>
        <w:t>, ou</w:t>
      </w:r>
      <w:r w:rsidR="002852D2" w:rsidRPr="00B63BD5">
        <w:rPr>
          <w:lang w:val="fr-CA"/>
        </w:rPr>
        <w:t xml:space="preserve"> permettre que de tel</w:t>
      </w:r>
      <w:r w:rsidR="00B12969" w:rsidRPr="00B63BD5">
        <w:rPr>
          <w:lang w:val="fr-CA"/>
        </w:rPr>
        <w:t>le</w:t>
      </w:r>
      <w:r w:rsidR="002852D2" w:rsidRPr="00B63BD5">
        <w:rPr>
          <w:lang w:val="fr-CA"/>
        </w:rPr>
        <w:t xml:space="preserve">s </w:t>
      </w:r>
      <w:r w:rsidR="00714703" w:rsidRPr="00B63BD5">
        <w:rPr>
          <w:lang w:val="fr-CA"/>
        </w:rPr>
        <w:t>Charges</w:t>
      </w:r>
      <w:r w:rsidR="002852D2" w:rsidRPr="00B63BD5">
        <w:rPr>
          <w:lang w:val="fr-CA"/>
        </w:rPr>
        <w:t xml:space="preserve"> </w:t>
      </w:r>
      <w:r w:rsidR="00C84CDA" w:rsidRPr="00B63BD5">
        <w:rPr>
          <w:lang w:val="fr-CA"/>
        </w:rPr>
        <w:t>existent</w:t>
      </w:r>
      <w:r w:rsidR="0019503E" w:rsidRPr="00B63BD5">
        <w:rPr>
          <w:lang w:val="fr-CA"/>
        </w:rPr>
        <w:t xml:space="preserve">, sur </w:t>
      </w:r>
      <w:r w:rsidR="002852D2" w:rsidRPr="00B63BD5">
        <w:rPr>
          <w:lang w:val="fr-CA"/>
        </w:rPr>
        <w:t>l</w:t>
      </w:r>
      <w:r w:rsidR="00564B0C" w:rsidRPr="00B63BD5">
        <w:rPr>
          <w:lang w:val="fr-CA"/>
        </w:rPr>
        <w:t>’</w:t>
      </w:r>
      <w:r w:rsidR="002852D2" w:rsidRPr="00B63BD5">
        <w:rPr>
          <w:lang w:val="fr-CA"/>
        </w:rPr>
        <w:t>un ou l</w:t>
      </w:r>
      <w:r w:rsidR="00564B0C" w:rsidRPr="00B63BD5">
        <w:rPr>
          <w:lang w:val="fr-CA"/>
        </w:rPr>
        <w:t>’</w:t>
      </w:r>
      <w:r w:rsidR="002852D2" w:rsidRPr="00B63BD5">
        <w:rPr>
          <w:lang w:val="fr-CA"/>
        </w:rPr>
        <w:t xml:space="preserve">autre de </w:t>
      </w:r>
      <w:r w:rsidR="00351793" w:rsidRPr="00B63BD5">
        <w:rPr>
          <w:lang w:val="fr-CA"/>
        </w:rPr>
        <w:t>s</w:t>
      </w:r>
      <w:r w:rsidR="002852D2" w:rsidRPr="00B63BD5">
        <w:rPr>
          <w:lang w:val="fr-CA"/>
        </w:rPr>
        <w:t>es biens et, plus précisément, sans restreindre la portée générale de ce qui précède, octroyer un acte de</w:t>
      </w:r>
      <w:r w:rsidR="008C7DD2" w:rsidRPr="00B63BD5">
        <w:rPr>
          <w:lang w:val="fr-CA"/>
        </w:rPr>
        <w:t> </w:t>
      </w:r>
      <w:r w:rsidR="002852D2" w:rsidRPr="00B63BD5">
        <w:rPr>
          <w:lang w:val="fr-CA"/>
        </w:rPr>
        <w:t>fiducie ou un autre effet en faveur d</w:t>
      </w:r>
      <w:r w:rsidR="00564B0C" w:rsidRPr="00B63BD5">
        <w:rPr>
          <w:lang w:val="fr-CA"/>
        </w:rPr>
        <w:t>’</w:t>
      </w:r>
      <w:r w:rsidR="002852D2" w:rsidRPr="00B63BD5">
        <w:rPr>
          <w:lang w:val="fr-CA"/>
        </w:rPr>
        <w:t xml:space="preserve">un fiduciaire; </w:t>
      </w:r>
    </w:p>
    <w:p w14:paraId="7A091F8C" w14:textId="1172E440" w:rsidR="002852D2" w:rsidRPr="00B63BD5" w:rsidRDefault="002852D2" w:rsidP="00404E07">
      <w:pPr>
        <w:pStyle w:val="04LOLglNew4"/>
        <w:rPr>
          <w:lang w:val="fr-CA"/>
        </w:rPr>
      </w:pPr>
      <w:r w:rsidRPr="00B63BD5">
        <w:rPr>
          <w:lang w:val="fr-CA"/>
        </w:rPr>
        <w:t xml:space="preserve">devenir un garant ou un endosseur ou </w:t>
      </w:r>
      <w:r w:rsidR="00351793" w:rsidRPr="00B63BD5">
        <w:rPr>
          <w:lang w:val="fr-CA"/>
        </w:rPr>
        <w:t xml:space="preserve">assumer une responsabilité </w:t>
      </w:r>
      <w:r w:rsidRPr="00B63BD5">
        <w:rPr>
          <w:lang w:val="fr-CA"/>
        </w:rPr>
        <w:t>d</w:t>
      </w:r>
      <w:r w:rsidR="00564B0C" w:rsidRPr="00B63BD5">
        <w:rPr>
          <w:lang w:val="fr-CA"/>
        </w:rPr>
        <w:t>’</w:t>
      </w:r>
      <w:r w:rsidRPr="00B63BD5">
        <w:rPr>
          <w:lang w:val="fr-CA"/>
        </w:rPr>
        <w:t>une autre manière aux termes d</w:t>
      </w:r>
      <w:r w:rsidR="00564B0C" w:rsidRPr="00B63BD5">
        <w:rPr>
          <w:lang w:val="fr-CA"/>
        </w:rPr>
        <w:t>’</w:t>
      </w:r>
      <w:r w:rsidRPr="00B63BD5">
        <w:rPr>
          <w:lang w:val="fr-CA"/>
        </w:rPr>
        <w:t>un billet ou d</w:t>
      </w:r>
      <w:r w:rsidR="00564B0C" w:rsidRPr="00B63BD5">
        <w:rPr>
          <w:lang w:val="fr-CA"/>
        </w:rPr>
        <w:t>’</w:t>
      </w:r>
      <w:r w:rsidRPr="00B63BD5">
        <w:rPr>
          <w:lang w:val="fr-CA"/>
        </w:rPr>
        <w:t xml:space="preserve">une autre obligation </w:t>
      </w:r>
      <w:r w:rsidR="0019503E" w:rsidRPr="00B63BD5">
        <w:rPr>
          <w:lang w:val="fr-CA"/>
        </w:rPr>
        <w:t xml:space="preserve">hors du </w:t>
      </w:r>
      <w:r w:rsidRPr="00B63BD5">
        <w:rPr>
          <w:lang w:val="fr-CA"/>
        </w:rPr>
        <w:t>cours normal de ses activités;</w:t>
      </w:r>
    </w:p>
    <w:p w14:paraId="4B0C3478" w14:textId="3F24BE04" w:rsidR="002852D2" w:rsidRPr="00B63BD5" w:rsidRDefault="00016025" w:rsidP="00404E07">
      <w:pPr>
        <w:pStyle w:val="04LOLglNew4"/>
        <w:rPr>
          <w:lang w:val="fr-CA"/>
        </w:rPr>
      </w:pPr>
      <w:r w:rsidRPr="00B63BD5">
        <w:rPr>
          <w:lang w:val="fr-CA"/>
        </w:rPr>
        <w:t>déclarer l</w:t>
      </w:r>
      <w:r w:rsidR="00564B0C" w:rsidRPr="00B63BD5">
        <w:rPr>
          <w:lang w:val="fr-CA"/>
        </w:rPr>
        <w:t>’</w:t>
      </w:r>
      <w:r w:rsidRPr="00B63BD5">
        <w:rPr>
          <w:lang w:val="fr-CA"/>
        </w:rPr>
        <w:t>octroi de prime</w:t>
      </w:r>
      <w:r w:rsidR="00142D9B" w:rsidRPr="00B63BD5">
        <w:rPr>
          <w:lang w:val="fr-CA"/>
        </w:rPr>
        <w:t>s</w:t>
      </w:r>
      <w:r w:rsidRPr="00B63BD5">
        <w:rPr>
          <w:lang w:val="fr-CA"/>
        </w:rPr>
        <w:t xml:space="preserve"> </w:t>
      </w:r>
      <w:r w:rsidR="001A22D5" w:rsidRPr="00B63BD5">
        <w:rPr>
          <w:lang w:val="fr-CA"/>
        </w:rPr>
        <w:t>aux</w:t>
      </w:r>
      <w:r w:rsidRPr="00B63BD5">
        <w:rPr>
          <w:lang w:val="fr-CA"/>
        </w:rPr>
        <w:t xml:space="preserve"> dirigeants, </w:t>
      </w:r>
      <w:r w:rsidR="002852D2" w:rsidRPr="00B63BD5">
        <w:rPr>
          <w:lang w:val="fr-CA"/>
        </w:rPr>
        <w:t xml:space="preserve">déclarer ou verser des dividendes sur </w:t>
      </w:r>
      <w:r w:rsidR="00351793" w:rsidRPr="00B63BD5">
        <w:rPr>
          <w:lang w:val="fr-CA"/>
        </w:rPr>
        <w:t>une</w:t>
      </w:r>
      <w:r w:rsidR="002852D2" w:rsidRPr="00B63BD5">
        <w:rPr>
          <w:lang w:val="fr-CA"/>
        </w:rPr>
        <w:t xml:space="preserve"> catégorie ou</w:t>
      </w:r>
      <w:r w:rsidR="008C7DD2" w:rsidRPr="00B63BD5">
        <w:rPr>
          <w:lang w:val="fr-CA"/>
        </w:rPr>
        <w:t> </w:t>
      </w:r>
      <w:r w:rsidR="00351793" w:rsidRPr="00B63BD5">
        <w:rPr>
          <w:lang w:val="fr-CA"/>
        </w:rPr>
        <w:t xml:space="preserve">un </w:t>
      </w:r>
      <w:r w:rsidR="002852D2" w:rsidRPr="00B63BD5">
        <w:rPr>
          <w:lang w:val="fr-CA"/>
        </w:rPr>
        <w:t>type d</w:t>
      </w:r>
      <w:r w:rsidR="00351793" w:rsidRPr="00B63BD5">
        <w:rPr>
          <w:lang w:val="fr-CA"/>
        </w:rPr>
        <w:t xml:space="preserve">e ses </w:t>
      </w:r>
      <w:r w:rsidR="002852D2" w:rsidRPr="00B63BD5">
        <w:rPr>
          <w:lang w:val="fr-CA"/>
        </w:rPr>
        <w:t>actions ou autre</w:t>
      </w:r>
      <w:r w:rsidR="00C348B0" w:rsidRPr="00B63BD5">
        <w:rPr>
          <w:lang w:val="fr-CA"/>
        </w:rPr>
        <w:t>s</w:t>
      </w:r>
      <w:r w:rsidR="002852D2" w:rsidRPr="00B63BD5">
        <w:rPr>
          <w:lang w:val="fr-CA"/>
        </w:rPr>
        <w:t xml:space="preserve"> titre</w:t>
      </w:r>
      <w:r w:rsidR="00C348B0" w:rsidRPr="00B63BD5">
        <w:rPr>
          <w:lang w:val="fr-CA"/>
        </w:rPr>
        <w:t>s</w:t>
      </w:r>
      <w:r w:rsidR="002852D2" w:rsidRPr="00B63BD5">
        <w:rPr>
          <w:lang w:val="fr-CA"/>
        </w:rPr>
        <w:t>, rachet</w:t>
      </w:r>
      <w:r w:rsidR="00C348B0" w:rsidRPr="00B63BD5">
        <w:rPr>
          <w:lang w:val="fr-CA"/>
        </w:rPr>
        <w:t>er</w:t>
      </w:r>
      <w:r w:rsidR="002852D2" w:rsidRPr="00B63BD5">
        <w:rPr>
          <w:lang w:val="fr-CA"/>
        </w:rPr>
        <w:t xml:space="preserve"> ou rembours</w:t>
      </w:r>
      <w:r w:rsidR="00C348B0" w:rsidRPr="00B63BD5">
        <w:rPr>
          <w:lang w:val="fr-CA"/>
        </w:rPr>
        <w:t>er</w:t>
      </w:r>
      <w:r w:rsidR="002852D2" w:rsidRPr="00B63BD5">
        <w:rPr>
          <w:lang w:val="fr-CA"/>
        </w:rPr>
        <w:t xml:space="preserve"> par anticipation l</w:t>
      </w:r>
      <w:r w:rsidR="00564B0C" w:rsidRPr="00B63BD5">
        <w:rPr>
          <w:lang w:val="fr-CA"/>
        </w:rPr>
        <w:t>’</w:t>
      </w:r>
      <w:r w:rsidR="002852D2" w:rsidRPr="00B63BD5">
        <w:rPr>
          <w:lang w:val="fr-CA"/>
        </w:rPr>
        <w:t>une ou l</w:t>
      </w:r>
      <w:r w:rsidR="00564B0C" w:rsidRPr="00B63BD5">
        <w:rPr>
          <w:lang w:val="fr-CA"/>
        </w:rPr>
        <w:t>’</w:t>
      </w:r>
      <w:r w:rsidR="002852D2" w:rsidRPr="00B63BD5">
        <w:rPr>
          <w:lang w:val="fr-CA"/>
        </w:rPr>
        <w:t>autre de ses actions ou l</w:t>
      </w:r>
      <w:r w:rsidR="00564B0C" w:rsidRPr="00B63BD5">
        <w:rPr>
          <w:lang w:val="fr-CA"/>
        </w:rPr>
        <w:t>’</w:t>
      </w:r>
      <w:r w:rsidR="002852D2" w:rsidRPr="00B63BD5">
        <w:rPr>
          <w:lang w:val="fr-CA"/>
        </w:rPr>
        <w:t>un ou l</w:t>
      </w:r>
      <w:r w:rsidR="00564B0C" w:rsidRPr="00B63BD5">
        <w:rPr>
          <w:lang w:val="fr-CA"/>
        </w:rPr>
        <w:t>’</w:t>
      </w:r>
      <w:r w:rsidR="002852D2" w:rsidRPr="00B63BD5">
        <w:rPr>
          <w:lang w:val="fr-CA"/>
        </w:rPr>
        <w:t xml:space="preserve">autre de ses autres </w:t>
      </w:r>
      <w:r w:rsidR="00C348B0" w:rsidRPr="00B63BD5">
        <w:rPr>
          <w:lang w:val="fr-CA"/>
        </w:rPr>
        <w:t xml:space="preserve">titres, réduire son capital </w:t>
      </w:r>
      <w:r w:rsidR="0019503E" w:rsidRPr="00B63BD5">
        <w:rPr>
          <w:lang w:val="fr-CA"/>
        </w:rPr>
        <w:t xml:space="preserve">de quelque </w:t>
      </w:r>
      <w:r w:rsidR="00C348B0" w:rsidRPr="00B63BD5">
        <w:rPr>
          <w:lang w:val="fr-CA"/>
        </w:rPr>
        <w:t xml:space="preserve">manière </w:t>
      </w:r>
      <w:r w:rsidR="0019503E" w:rsidRPr="00B63BD5">
        <w:rPr>
          <w:lang w:val="fr-CA"/>
        </w:rPr>
        <w:t>que</w:t>
      </w:r>
      <w:r w:rsidR="008C7DD2" w:rsidRPr="00B63BD5">
        <w:rPr>
          <w:lang w:val="fr-CA"/>
        </w:rPr>
        <w:t> </w:t>
      </w:r>
      <w:r w:rsidR="0019503E" w:rsidRPr="00B63BD5">
        <w:rPr>
          <w:lang w:val="fr-CA"/>
        </w:rPr>
        <w:t>ce</w:t>
      </w:r>
      <w:r w:rsidR="008C7DD2" w:rsidRPr="00B63BD5">
        <w:rPr>
          <w:lang w:val="fr-CA"/>
        </w:rPr>
        <w:t> </w:t>
      </w:r>
      <w:r w:rsidR="0019503E" w:rsidRPr="00B63BD5">
        <w:rPr>
          <w:lang w:val="fr-CA"/>
        </w:rPr>
        <w:t xml:space="preserve">soit </w:t>
      </w:r>
      <w:r w:rsidR="00C348B0" w:rsidRPr="00B63BD5">
        <w:rPr>
          <w:lang w:val="fr-CA"/>
        </w:rPr>
        <w:t xml:space="preserve">ou rembourser </w:t>
      </w:r>
      <w:r w:rsidR="00351793" w:rsidRPr="00B63BD5">
        <w:rPr>
          <w:lang w:val="fr-CA"/>
        </w:rPr>
        <w:t>l</w:t>
      </w:r>
      <w:r w:rsidR="00C348B0" w:rsidRPr="00B63BD5">
        <w:rPr>
          <w:lang w:val="fr-CA"/>
        </w:rPr>
        <w:t xml:space="preserve">es avances consenties </w:t>
      </w:r>
      <w:r w:rsidR="0019503E" w:rsidRPr="00B63BD5">
        <w:rPr>
          <w:lang w:val="fr-CA"/>
        </w:rPr>
        <w:t xml:space="preserve">par les </w:t>
      </w:r>
      <w:r w:rsidR="00C348B0" w:rsidRPr="00B63BD5">
        <w:rPr>
          <w:lang w:val="fr-CA"/>
        </w:rPr>
        <w:t>actionnaires d</w:t>
      </w:r>
      <w:r w:rsidR="00564B0C" w:rsidRPr="00B63BD5">
        <w:rPr>
          <w:lang w:val="fr-CA"/>
        </w:rPr>
        <w:t>’</w:t>
      </w:r>
      <w:r w:rsidR="00C348B0" w:rsidRPr="00B63BD5">
        <w:rPr>
          <w:lang w:val="fr-CA"/>
        </w:rPr>
        <w:t>une</w:t>
      </w:r>
      <w:r w:rsidR="00351793" w:rsidRPr="00B63BD5">
        <w:rPr>
          <w:lang w:val="fr-CA"/>
        </w:rPr>
        <w:t xml:space="preserve"> façon </w:t>
      </w:r>
      <w:r w:rsidR="00C348B0" w:rsidRPr="00B63BD5">
        <w:rPr>
          <w:lang w:val="fr-CA"/>
        </w:rPr>
        <w:t>qui violerait les</w:t>
      </w:r>
      <w:r w:rsidR="008C7DD2" w:rsidRPr="00B63BD5">
        <w:rPr>
          <w:lang w:val="fr-CA"/>
        </w:rPr>
        <w:t> </w:t>
      </w:r>
      <w:r w:rsidR="00C348B0" w:rsidRPr="00B63BD5">
        <w:rPr>
          <w:lang w:val="fr-CA"/>
        </w:rPr>
        <w:t>engagements</w:t>
      </w:r>
      <w:r w:rsidR="00351793" w:rsidRPr="00B63BD5">
        <w:rPr>
          <w:lang w:val="fr-CA"/>
        </w:rPr>
        <w:t xml:space="preserve"> qu</w:t>
      </w:r>
      <w:r w:rsidR="00564B0C" w:rsidRPr="00B63BD5">
        <w:rPr>
          <w:lang w:val="fr-CA"/>
        </w:rPr>
        <w:t>’</w:t>
      </w:r>
      <w:r w:rsidR="00351793" w:rsidRPr="00B63BD5">
        <w:rPr>
          <w:lang w:val="fr-CA"/>
        </w:rPr>
        <w:t>il a</w:t>
      </w:r>
      <w:r w:rsidR="00C348B0" w:rsidRPr="00B63BD5">
        <w:rPr>
          <w:lang w:val="fr-CA"/>
        </w:rPr>
        <w:t xml:space="preserve"> pris; </w:t>
      </w:r>
    </w:p>
    <w:p w14:paraId="2E45CE1D" w14:textId="42A644BC" w:rsidR="00C348B0" w:rsidRPr="00B63BD5" w:rsidRDefault="00C348B0" w:rsidP="00404E07">
      <w:pPr>
        <w:pStyle w:val="04LOLglNew4"/>
        <w:rPr>
          <w:lang w:val="fr-CA"/>
        </w:rPr>
      </w:pPr>
      <w:r w:rsidRPr="00B63BD5">
        <w:rPr>
          <w:lang w:val="fr-CA"/>
        </w:rPr>
        <w:t>fu</w:t>
      </w:r>
      <w:r w:rsidR="00351793" w:rsidRPr="00B63BD5">
        <w:rPr>
          <w:lang w:val="fr-CA"/>
        </w:rPr>
        <w:t>sionner avec une autre personne</w:t>
      </w:r>
      <w:r w:rsidR="004549C5" w:rsidRPr="00B63BD5">
        <w:rPr>
          <w:lang w:val="fr-CA"/>
        </w:rPr>
        <w:t xml:space="preserve"> physique ou morale</w:t>
      </w:r>
      <w:r w:rsidR="00351793" w:rsidRPr="00B63BD5">
        <w:rPr>
          <w:lang w:val="fr-CA"/>
        </w:rPr>
        <w:t xml:space="preserve"> ou </w:t>
      </w:r>
      <w:r w:rsidRPr="00B63BD5">
        <w:rPr>
          <w:lang w:val="fr-CA"/>
        </w:rPr>
        <w:t>permettre que</w:t>
      </w:r>
      <w:r w:rsidR="00351793" w:rsidRPr="00B63BD5">
        <w:rPr>
          <w:lang w:val="fr-CA"/>
        </w:rPr>
        <w:t xml:space="preserve"> la totalité ou</w:t>
      </w:r>
      <w:r w:rsidR="002E592D" w:rsidRPr="00B63BD5">
        <w:rPr>
          <w:lang w:val="fr-CA"/>
        </w:rPr>
        <w:t> </w:t>
      </w:r>
      <w:r w:rsidR="00351793" w:rsidRPr="00B63BD5">
        <w:rPr>
          <w:lang w:val="fr-CA"/>
        </w:rPr>
        <w:t>la</w:t>
      </w:r>
      <w:r w:rsidR="002E592D" w:rsidRPr="00B63BD5">
        <w:rPr>
          <w:lang w:val="fr-CA"/>
        </w:rPr>
        <w:t> </w:t>
      </w:r>
      <w:r w:rsidR="00351793" w:rsidRPr="00B63BD5">
        <w:rPr>
          <w:lang w:val="fr-CA"/>
        </w:rPr>
        <w:t>quasi</w:t>
      </w:r>
      <w:r w:rsidR="00351793" w:rsidRPr="00B63BD5">
        <w:rPr>
          <w:lang w:val="fr-CA"/>
        </w:rPr>
        <w:noBreakHyphen/>
        <w:t>totalité de ses biens soit acquis par une telle personne</w:t>
      </w:r>
      <w:r w:rsidR="00565472" w:rsidRPr="00B63BD5">
        <w:rPr>
          <w:lang w:val="fr-CA"/>
        </w:rPr>
        <w:t xml:space="preserve">, </w:t>
      </w:r>
      <w:r w:rsidR="004549C5" w:rsidRPr="00B63BD5">
        <w:rPr>
          <w:lang w:val="fr-CA"/>
        </w:rPr>
        <w:t>que lui</w:t>
      </w:r>
      <w:r w:rsidR="004549C5" w:rsidRPr="00B63BD5">
        <w:rPr>
          <w:lang w:val="fr-CA"/>
        </w:rPr>
        <w:noBreakHyphen/>
        <w:t>même [ou le Garant</w:t>
      </w:r>
      <w:r w:rsidR="00714703" w:rsidRPr="00B63BD5">
        <w:rPr>
          <w:lang w:val="fr-CA"/>
        </w:rPr>
        <w:t xml:space="preserve"> </w:t>
      </w:r>
      <w:r w:rsidR="00714703" w:rsidRPr="00B63BD5">
        <w:rPr>
          <w:b/>
          <w:color w:val="00B0F0"/>
          <w:highlight w:val="yellow"/>
          <w:lang w:val="fr-CA"/>
        </w:rPr>
        <w:t>OU</w:t>
      </w:r>
      <w:r w:rsidR="002E592D" w:rsidRPr="00B63BD5">
        <w:rPr>
          <w:lang w:val="fr-CA"/>
        </w:rPr>
        <w:t> </w:t>
      </w:r>
      <w:r w:rsidR="00714703" w:rsidRPr="00B63BD5">
        <w:rPr>
          <w:lang w:val="fr-CA"/>
        </w:rPr>
        <w:t>les Garants</w:t>
      </w:r>
      <w:r w:rsidR="004549C5" w:rsidRPr="00B63BD5">
        <w:rPr>
          <w:lang w:val="fr-CA"/>
        </w:rPr>
        <w:t>]</w:t>
      </w:r>
      <w:r w:rsidR="004549C5" w:rsidRPr="00B63BD5">
        <w:rPr>
          <w:b/>
          <w:lang w:val="fr-CA"/>
        </w:rPr>
        <w:t xml:space="preserve"> </w:t>
      </w:r>
      <w:r w:rsidR="004549C5" w:rsidRPr="00B63BD5">
        <w:rPr>
          <w:lang w:val="fr-CA"/>
        </w:rPr>
        <w:t>soit</w:t>
      </w:r>
      <w:r w:rsidR="004549C5" w:rsidRPr="00B63BD5">
        <w:rPr>
          <w:b/>
          <w:lang w:val="fr-CA"/>
        </w:rPr>
        <w:t xml:space="preserve"> </w:t>
      </w:r>
      <w:r w:rsidR="00351793" w:rsidRPr="00B63BD5">
        <w:rPr>
          <w:lang w:val="fr-CA"/>
        </w:rPr>
        <w:t>restructur</w:t>
      </w:r>
      <w:r w:rsidR="004549C5" w:rsidRPr="00B63BD5">
        <w:rPr>
          <w:lang w:val="fr-CA"/>
        </w:rPr>
        <w:t>é</w:t>
      </w:r>
      <w:r w:rsidR="00714703" w:rsidRPr="00B63BD5">
        <w:rPr>
          <w:lang w:val="fr-CA"/>
        </w:rPr>
        <w:t xml:space="preserve"> [</w:t>
      </w:r>
      <w:r w:rsidR="00714703" w:rsidRPr="00B63BD5">
        <w:rPr>
          <w:b/>
          <w:color w:val="00B0F0"/>
          <w:highlight w:val="yellow"/>
          <w:lang w:val="fr-CA"/>
        </w:rPr>
        <w:t>OU</w:t>
      </w:r>
      <w:r w:rsidR="00714703" w:rsidRPr="00B63BD5">
        <w:rPr>
          <w:lang w:val="fr-CA"/>
        </w:rPr>
        <w:t xml:space="preserve"> soient restructurés]</w:t>
      </w:r>
      <w:r w:rsidR="004549C5" w:rsidRPr="00B63BD5">
        <w:rPr>
          <w:lang w:val="fr-CA"/>
        </w:rPr>
        <w:t>,</w:t>
      </w:r>
      <w:r w:rsidRPr="00B63BD5">
        <w:rPr>
          <w:lang w:val="fr-CA"/>
        </w:rPr>
        <w:t xml:space="preserve"> qu</w:t>
      </w:r>
      <w:r w:rsidR="00564B0C" w:rsidRPr="00B63BD5">
        <w:rPr>
          <w:lang w:val="fr-CA"/>
        </w:rPr>
        <w:t>’</w:t>
      </w:r>
      <w:r w:rsidRPr="00B63BD5">
        <w:rPr>
          <w:lang w:val="fr-CA"/>
        </w:rPr>
        <w:t>un</w:t>
      </w:r>
      <w:r w:rsidR="00351793" w:rsidRPr="00B63BD5">
        <w:rPr>
          <w:lang w:val="fr-CA"/>
        </w:rPr>
        <w:t xml:space="preserve"> changement soit apporté à</w:t>
      </w:r>
      <w:r w:rsidR="002E592D" w:rsidRPr="00B63BD5">
        <w:rPr>
          <w:lang w:val="fr-CA"/>
        </w:rPr>
        <w:t> </w:t>
      </w:r>
      <w:r w:rsidRPr="00B63BD5">
        <w:rPr>
          <w:lang w:val="fr-CA"/>
        </w:rPr>
        <w:t>sa</w:t>
      </w:r>
      <w:r w:rsidR="002E592D" w:rsidRPr="00B63BD5">
        <w:rPr>
          <w:lang w:val="fr-CA"/>
        </w:rPr>
        <w:t> </w:t>
      </w:r>
      <w:r w:rsidRPr="00B63BD5">
        <w:rPr>
          <w:lang w:val="fr-CA"/>
        </w:rPr>
        <w:t xml:space="preserve">propriété </w:t>
      </w:r>
      <w:r w:rsidR="00351793" w:rsidRPr="00B63BD5">
        <w:rPr>
          <w:lang w:val="fr-CA"/>
        </w:rPr>
        <w:t>[ou à la propriété du Garant</w:t>
      </w:r>
      <w:r w:rsidR="00714703" w:rsidRPr="00B63BD5">
        <w:rPr>
          <w:lang w:val="fr-CA"/>
        </w:rPr>
        <w:t xml:space="preserve"> </w:t>
      </w:r>
      <w:r w:rsidR="00714703" w:rsidRPr="00B63BD5">
        <w:rPr>
          <w:b/>
          <w:color w:val="00B0F0"/>
          <w:highlight w:val="yellow"/>
          <w:lang w:val="fr-CA"/>
        </w:rPr>
        <w:t>OU</w:t>
      </w:r>
      <w:r w:rsidR="00714703" w:rsidRPr="00B63BD5">
        <w:rPr>
          <w:lang w:val="fr-CA"/>
        </w:rPr>
        <w:t xml:space="preserve"> des Garants</w:t>
      </w:r>
      <w:r w:rsidR="00351793" w:rsidRPr="00B63BD5">
        <w:rPr>
          <w:lang w:val="fr-CA"/>
        </w:rPr>
        <w:t>]</w:t>
      </w:r>
      <w:r w:rsidR="00351793" w:rsidRPr="00B63BD5">
        <w:rPr>
          <w:b/>
          <w:lang w:val="fr-CA"/>
        </w:rPr>
        <w:t xml:space="preserve"> </w:t>
      </w:r>
      <w:r w:rsidRPr="00B63BD5">
        <w:rPr>
          <w:lang w:val="fr-CA"/>
        </w:rPr>
        <w:t xml:space="preserve">ou </w:t>
      </w:r>
      <w:r w:rsidR="00351793" w:rsidRPr="00B63BD5">
        <w:rPr>
          <w:lang w:val="fr-CA"/>
        </w:rPr>
        <w:t>à</w:t>
      </w:r>
      <w:r w:rsidRPr="00B63BD5">
        <w:rPr>
          <w:lang w:val="fr-CA"/>
        </w:rPr>
        <w:t xml:space="preserve"> la structure de son entreprise </w:t>
      </w:r>
      <w:r w:rsidR="005F2CF8" w:rsidRPr="00B63BD5">
        <w:rPr>
          <w:lang w:val="fr-CA"/>
        </w:rPr>
        <w:t>[ou</w:t>
      </w:r>
      <w:r w:rsidR="002E592D" w:rsidRPr="00B63BD5">
        <w:rPr>
          <w:lang w:val="fr-CA"/>
        </w:rPr>
        <w:t> </w:t>
      </w:r>
      <w:r w:rsidR="005F2CF8" w:rsidRPr="00B63BD5">
        <w:rPr>
          <w:lang w:val="fr-CA"/>
        </w:rPr>
        <w:t>de l</w:t>
      </w:r>
      <w:r w:rsidR="00564B0C" w:rsidRPr="00B63BD5">
        <w:rPr>
          <w:lang w:val="fr-CA"/>
        </w:rPr>
        <w:t>’</w:t>
      </w:r>
      <w:r w:rsidR="005F2CF8" w:rsidRPr="00B63BD5">
        <w:rPr>
          <w:lang w:val="fr-CA"/>
        </w:rPr>
        <w:t>entreprise du Garant</w:t>
      </w:r>
      <w:r w:rsidR="00714703" w:rsidRPr="00B63BD5">
        <w:rPr>
          <w:lang w:val="fr-CA"/>
        </w:rPr>
        <w:t xml:space="preserve"> </w:t>
      </w:r>
      <w:r w:rsidR="002029AB" w:rsidRPr="00B63BD5">
        <w:rPr>
          <w:b/>
          <w:color w:val="00B0F0"/>
          <w:highlight w:val="yellow"/>
          <w:lang w:val="fr-CA"/>
        </w:rPr>
        <w:t>OU</w:t>
      </w:r>
      <w:r w:rsidR="002029AB" w:rsidRPr="00B63BD5">
        <w:rPr>
          <w:lang w:val="fr-CA"/>
        </w:rPr>
        <w:t xml:space="preserve"> </w:t>
      </w:r>
      <w:r w:rsidR="00714703" w:rsidRPr="00B63BD5">
        <w:rPr>
          <w:lang w:val="fr-CA"/>
        </w:rPr>
        <w:t>des Garants</w:t>
      </w:r>
      <w:r w:rsidR="005F2CF8" w:rsidRPr="00B63BD5">
        <w:rPr>
          <w:lang w:val="fr-CA"/>
        </w:rPr>
        <w:t>]</w:t>
      </w:r>
      <w:r w:rsidR="00714703" w:rsidRPr="00B63BD5">
        <w:rPr>
          <w:lang w:val="fr-CA"/>
        </w:rPr>
        <w:t>,</w:t>
      </w:r>
      <w:r w:rsidR="005F2CF8" w:rsidRPr="00B63BD5">
        <w:rPr>
          <w:b/>
          <w:lang w:val="fr-CA"/>
        </w:rPr>
        <w:t xml:space="preserve"> </w:t>
      </w:r>
      <w:r w:rsidRPr="00B63BD5">
        <w:rPr>
          <w:lang w:val="fr-CA"/>
        </w:rPr>
        <w:t xml:space="preserve">ou </w:t>
      </w:r>
      <w:r w:rsidR="00714703" w:rsidRPr="00B63BD5">
        <w:rPr>
          <w:lang w:val="fr-CA"/>
        </w:rPr>
        <w:t xml:space="preserve">émettre </w:t>
      </w:r>
      <w:r w:rsidRPr="00B63BD5">
        <w:rPr>
          <w:lang w:val="fr-CA"/>
        </w:rPr>
        <w:t xml:space="preserve">des actions au porteur; </w:t>
      </w:r>
    </w:p>
    <w:p w14:paraId="4701054D" w14:textId="70CD0377" w:rsidR="00C348B0" w:rsidRPr="00B63BD5" w:rsidRDefault="00A21745" w:rsidP="00404E07">
      <w:pPr>
        <w:pStyle w:val="04LOLglNew4"/>
        <w:rPr>
          <w:lang w:val="fr-CA"/>
        </w:rPr>
      </w:pPr>
      <w:r w:rsidRPr="00B63BD5">
        <w:rPr>
          <w:lang w:val="fr-CA"/>
        </w:rPr>
        <w:t xml:space="preserve">permettre que </w:t>
      </w:r>
      <w:r w:rsidR="00C84CDA" w:rsidRPr="00B63BD5">
        <w:rPr>
          <w:lang w:val="fr-CA"/>
        </w:rPr>
        <w:t>l</w:t>
      </w:r>
      <w:r w:rsidR="00564B0C" w:rsidRPr="00B63BD5">
        <w:rPr>
          <w:lang w:val="fr-CA"/>
        </w:rPr>
        <w:t>’</w:t>
      </w:r>
      <w:r w:rsidR="0019503E" w:rsidRPr="00B63BD5">
        <w:rPr>
          <w:lang w:val="fr-CA"/>
        </w:rPr>
        <w:t xml:space="preserve">impôt foncier </w:t>
      </w:r>
      <w:r w:rsidRPr="00B63BD5">
        <w:rPr>
          <w:lang w:val="fr-CA"/>
        </w:rPr>
        <w:t>ou des frais de copropriété</w:t>
      </w:r>
      <w:r w:rsidR="00C66734" w:rsidRPr="00B63BD5">
        <w:rPr>
          <w:lang w:val="fr-CA"/>
        </w:rPr>
        <w:t xml:space="preserve"> </w:t>
      </w:r>
      <w:r w:rsidR="00F32BD1" w:rsidRPr="00B63BD5">
        <w:rPr>
          <w:lang w:val="fr-CA"/>
        </w:rPr>
        <w:t xml:space="preserve">soient </w:t>
      </w:r>
      <w:r w:rsidRPr="00B63BD5">
        <w:rPr>
          <w:lang w:val="fr-CA"/>
        </w:rPr>
        <w:t>en souffrance à quelque moment que ce soit;</w:t>
      </w:r>
    </w:p>
    <w:p w14:paraId="5F45419F" w14:textId="6F21020A" w:rsidR="00494A98" w:rsidRPr="00B63BD5" w:rsidRDefault="00A21745" w:rsidP="00404E07">
      <w:pPr>
        <w:pStyle w:val="04LOLglNew4"/>
        <w:rPr>
          <w:lang w:val="fr-CA"/>
        </w:rPr>
      </w:pPr>
      <w:r w:rsidRPr="00B63BD5">
        <w:rPr>
          <w:lang w:val="fr-CA"/>
        </w:rPr>
        <w:t xml:space="preserve">conclure une convention </w:t>
      </w:r>
      <w:r w:rsidR="0019503E" w:rsidRPr="00B63BD5">
        <w:rPr>
          <w:lang w:val="fr-CA"/>
        </w:rPr>
        <w:t xml:space="preserve">en vue </w:t>
      </w:r>
      <w:r w:rsidRPr="00B63BD5">
        <w:rPr>
          <w:lang w:val="fr-CA"/>
        </w:rPr>
        <w:t>de l</w:t>
      </w:r>
      <w:r w:rsidR="00564B0C" w:rsidRPr="00B63BD5">
        <w:rPr>
          <w:lang w:val="fr-CA"/>
        </w:rPr>
        <w:t>’</w:t>
      </w:r>
      <w:r w:rsidRPr="00B63BD5">
        <w:rPr>
          <w:lang w:val="fr-CA"/>
        </w:rPr>
        <w:t xml:space="preserve">achat ou de la vente de biens </w:t>
      </w:r>
      <w:r w:rsidR="0019503E" w:rsidRPr="00B63BD5">
        <w:rPr>
          <w:lang w:val="fr-CA"/>
        </w:rPr>
        <w:t xml:space="preserve">hors du </w:t>
      </w:r>
      <w:r w:rsidRPr="00B63BD5">
        <w:rPr>
          <w:lang w:val="fr-CA"/>
        </w:rPr>
        <w:t>cours normal de</w:t>
      </w:r>
      <w:r w:rsidR="002E592D" w:rsidRPr="00B63BD5">
        <w:rPr>
          <w:lang w:val="fr-CA"/>
        </w:rPr>
        <w:t> </w:t>
      </w:r>
      <w:r w:rsidRPr="00B63BD5">
        <w:rPr>
          <w:lang w:val="fr-CA"/>
        </w:rPr>
        <w:t>ses</w:t>
      </w:r>
      <w:r w:rsidR="002E592D" w:rsidRPr="00B63BD5">
        <w:rPr>
          <w:lang w:val="fr-CA"/>
        </w:rPr>
        <w:t> </w:t>
      </w:r>
      <w:r w:rsidRPr="00B63BD5">
        <w:rPr>
          <w:lang w:val="fr-CA"/>
        </w:rPr>
        <w:t>activités;</w:t>
      </w:r>
      <w:r w:rsidR="004E4DF9" w:rsidRPr="00B63BD5">
        <w:rPr>
          <w:lang w:val="fr-CA"/>
        </w:rPr>
        <w:t xml:space="preserve"> ou</w:t>
      </w:r>
    </w:p>
    <w:p w14:paraId="4F2C0ABB" w14:textId="58C1EEE7" w:rsidR="00C66734" w:rsidRPr="00B63BD5" w:rsidRDefault="00C66734" w:rsidP="00404E07">
      <w:pPr>
        <w:pStyle w:val="04LOLglNew4"/>
        <w:rPr>
          <w:lang w:val="fr-CA"/>
        </w:rPr>
      </w:pPr>
      <w:r w:rsidRPr="00B63BD5">
        <w:rPr>
          <w:b/>
          <w:color w:val="00B0F0"/>
          <w:highlight w:val="yellow"/>
          <w:lang w:val="fr-CA"/>
        </w:rPr>
        <w:t xml:space="preserve">[NON REQUIS </w:t>
      </w:r>
      <w:r w:rsidR="00196EF9" w:rsidRPr="00B63BD5">
        <w:rPr>
          <w:b/>
          <w:color w:val="00B0F0"/>
          <w:highlight w:val="yellow"/>
          <w:lang w:val="fr-CA"/>
        </w:rPr>
        <w:t>SI LE TOTAL DES</w:t>
      </w:r>
      <w:r w:rsidRPr="00B63BD5">
        <w:rPr>
          <w:b/>
          <w:color w:val="00B0F0"/>
          <w:highlight w:val="yellow"/>
          <w:lang w:val="fr-CA"/>
        </w:rPr>
        <w:t xml:space="preserve"> FACILITÉS</w:t>
      </w:r>
      <w:r w:rsidR="00196EF9" w:rsidRPr="00B63BD5">
        <w:rPr>
          <w:b/>
          <w:color w:val="00B0F0"/>
          <w:highlight w:val="yellow"/>
          <w:lang w:val="fr-CA"/>
        </w:rPr>
        <w:t xml:space="preserve"> DE CATÉGORIE EST</w:t>
      </w:r>
      <w:r w:rsidRPr="00B63BD5">
        <w:rPr>
          <w:b/>
          <w:color w:val="00B0F0"/>
          <w:highlight w:val="yellow"/>
          <w:lang w:val="fr-CA"/>
        </w:rPr>
        <w:t xml:space="preserve"> INFÉRIEUR À 10</w:t>
      </w:r>
      <w:r w:rsidR="002B6180" w:rsidRPr="00B63BD5">
        <w:rPr>
          <w:b/>
          <w:color w:val="00B0F0"/>
          <w:highlight w:val="yellow"/>
          <w:lang w:val="fr-CA"/>
        </w:rPr>
        <w:t> 000 </w:t>
      </w:r>
      <w:r w:rsidRPr="00B63BD5">
        <w:rPr>
          <w:b/>
          <w:color w:val="00B0F0"/>
          <w:highlight w:val="yellow"/>
          <w:lang w:val="fr-CA"/>
        </w:rPr>
        <w:t>000</w:t>
      </w:r>
      <w:r w:rsidR="00B056F9" w:rsidRPr="00B63BD5">
        <w:rPr>
          <w:b/>
          <w:color w:val="00B0F0"/>
          <w:highlight w:val="yellow"/>
          <w:lang w:val="fr-CA"/>
        </w:rPr>
        <w:t> </w:t>
      </w:r>
      <w:r w:rsidRPr="00B63BD5">
        <w:rPr>
          <w:b/>
          <w:color w:val="00B0F0"/>
          <w:highlight w:val="yellow"/>
          <w:lang w:val="fr-CA"/>
        </w:rPr>
        <w:t>$</w:t>
      </w:r>
      <w:r w:rsidR="00AC4107" w:rsidRPr="00B63BD5">
        <w:rPr>
          <w:b/>
          <w:color w:val="00B0F0"/>
          <w:highlight w:val="yellow"/>
          <w:lang w:val="fr-CA"/>
        </w:rPr>
        <w:t xml:space="preserve"> </w:t>
      </w:r>
      <w:r w:rsidRPr="00B63BD5">
        <w:rPr>
          <w:b/>
          <w:color w:val="00B0F0"/>
          <w:highlight w:val="yellow"/>
          <w:lang w:val="fr-CA"/>
        </w:rPr>
        <w:t>CA</w:t>
      </w:r>
      <w:r w:rsidR="009D6017" w:rsidRPr="00B63BD5">
        <w:rPr>
          <w:b/>
          <w:color w:val="00B0F0"/>
          <w:highlight w:val="yellow"/>
          <w:lang w:val="fr-CA"/>
        </w:rPr>
        <w:t xml:space="preserve">, </w:t>
      </w:r>
      <w:r w:rsidR="00196EF9" w:rsidRPr="00B63BD5">
        <w:rPr>
          <w:b/>
          <w:color w:val="00B0F0"/>
          <w:highlight w:val="yellow"/>
          <w:lang w:val="fr-CA"/>
        </w:rPr>
        <w:t xml:space="preserve">sauf exigence contraire du service de crédit ou stipulation contraire </w:t>
      </w:r>
      <w:r w:rsidR="00196EF9" w:rsidRPr="00B63BD5">
        <w:rPr>
          <w:b/>
          <w:color w:val="00B0F0"/>
          <w:highlight w:val="yellow"/>
          <w:lang w:val="fr-CA"/>
        </w:rPr>
        <w:lastRenderedPageBreak/>
        <w:t>dans</w:t>
      </w:r>
      <w:r w:rsidR="002E592D" w:rsidRPr="00B63BD5">
        <w:rPr>
          <w:b/>
          <w:color w:val="00B0F0"/>
          <w:highlight w:val="yellow"/>
          <w:lang w:val="fr-CA"/>
        </w:rPr>
        <w:t> </w:t>
      </w:r>
      <w:r w:rsidR="00DF1381" w:rsidRPr="00B63BD5">
        <w:rPr>
          <w:b/>
          <w:color w:val="00B0F0"/>
          <w:highlight w:val="yellow"/>
          <w:lang w:val="fr-CA"/>
        </w:rPr>
        <w:t>CARM</w:t>
      </w:r>
      <w:r w:rsidRPr="00B63BD5">
        <w:rPr>
          <w:b/>
          <w:color w:val="00B0F0"/>
          <w:highlight w:val="yellow"/>
          <w:lang w:val="fr-CA"/>
        </w:rPr>
        <w:t>.]</w:t>
      </w:r>
      <w:r w:rsidRPr="00B63BD5">
        <w:rPr>
          <w:color w:val="00B0F0"/>
          <w:lang w:val="fr-CA"/>
        </w:rPr>
        <w:t xml:space="preserve"> </w:t>
      </w:r>
      <w:r w:rsidR="001E1971" w:rsidRPr="00B63BD5">
        <w:rPr>
          <w:lang w:val="fr-CA"/>
        </w:rPr>
        <w:t>u</w:t>
      </w:r>
      <w:r w:rsidRPr="00B63BD5">
        <w:rPr>
          <w:lang w:val="fr-CA"/>
        </w:rPr>
        <w:t>tilise</w:t>
      </w:r>
      <w:r w:rsidR="001E1971" w:rsidRPr="00B63BD5">
        <w:rPr>
          <w:lang w:val="fr-CA"/>
        </w:rPr>
        <w:t>r</w:t>
      </w:r>
      <w:r w:rsidRPr="00B63BD5">
        <w:rPr>
          <w:lang w:val="fr-CA"/>
        </w:rPr>
        <w:t xml:space="preserve"> les Facilités de crédit pour cumuler ou conserver </w:t>
      </w:r>
      <w:r w:rsidR="00C95C56" w:rsidRPr="00B63BD5">
        <w:rPr>
          <w:lang w:val="fr-CA"/>
        </w:rPr>
        <w:t>des liquidités</w:t>
      </w:r>
      <w:r w:rsidRPr="00B63BD5">
        <w:rPr>
          <w:lang w:val="fr-CA"/>
        </w:rPr>
        <w:t xml:space="preserve"> et</w:t>
      </w:r>
      <w:r w:rsidR="002E592D" w:rsidRPr="00B63BD5">
        <w:rPr>
          <w:lang w:val="fr-CA"/>
        </w:rPr>
        <w:t> </w:t>
      </w:r>
      <w:r w:rsidRPr="00B63BD5">
        <w:rPr>
          <w:lang w:val="fr-CA"/>
        </w:rPr>
        <w:t>équivalents d</w:t>
      </w:r>
      <w:r w:rsidR="00564B0C" w:rsidRPr="00B63BD5">
        <w:rPr>
          <w:lang w:val="fr-CA"/>
        </w:rPr>
        <w:t>’</w:t>
      </w:r>
      <w:r w:rsidRPr="00B63BD5">
        <w:rPr>
          <w:lang w:val="fr-CA"/>
        </w:rPr>
        <w:t xml:space="preserve">un montant global supérieur à </w:t>
      </w:r>
      <w:r w:rsidR="0048792D" w:rsidRPr="00B63BD5">
        <w:rPr>
          <w:b/>
          <w:lang w:val="fr-CA"/>
        </w:rPr>
        <w:t>●</w:t>
      </w:r>
      <w:r w:rsidR="00AC4107" w:rsidRPr="00B63BD5">
        <w:rPr>
          <w:b/>
          <w:lang w:val="fr-CA"/>
        </w:rPr>
        <w:t xml:space="preserve"> </w:t>
      </w:r>
      <w:r w:rsidRPr="00B63BD5">
        <w:rPr>
          <w:lang w:val="fr-CA"/>
        </w:rPr>
        <w:t>$</w:t>
      </w:r>
      <w:r w:rsidR="00AC4107" w:rsidRPr="00B63BD5">
        <w:rPr>
          <w:lang w:val="fr-CA"/>
        </w:rPr>
        <w:t xml:space="preserve"> </w:t>
      </w:r>
      <w:r w:rsidR="0048792D" w:rsidRPr="00B63BD5">
        <w:rPr>
          <w:lang w:val="fr-CA"/>
        </w:rPr>
        <w:t>CA</w:t>
      </w:r>
      <w:r w:rsidR="00016025" w:rsidRPr="00B63BD5">
        <w:rPr>
          <w:lang w:val="fr-CA"/>
        </w:rPr>
        <w:t>,</w:t>
      </w:r>
      <w:r w:rsidR="00C50B6C" w:rsidRPr="00B63BD5">
        <w:rPr>
          <w:lang w:val="fr-CA"/>
        </w:rPr>
        <w:t xml:space="preserve"> </w:t>
      </w:r>
      <w:r w:rsidR="001E1971" w:rsidRPr="00B63BD5">
        <w:rPr>
          <w:lang w:val="fr-CA"/>
        </w:rPr>
        <w:t>e</w:t>
      </w:r>
      <w:r w:rsidR="00C50B6C" w:rsidRPr="00B63BD5">
        <w:rPr>
          <w:lang w:val="fr-CA"/>
        </w:rPr>
        <w:t>xcluant</w:t>
      </w:r>
      <w:r w:rsidRPr="00B63BD5">
        <w:rPr>
          <w:lang w:val="fr-CA"/>
        </w:rPr>
        <w:t xml:space="preserve"> de</w:t>
      </w:r>
      <w:r w:rsidR="00C95C56" w:rsidRPr="00B63BD5">
        <w:rPr>
          <w:lang w:val="fr-CA"/>
        </w:rPr>
        <w:t>s</w:t>
      </w:r>
      <w:r w:rsidRPr="00B63BD5">
        <w:rPr>
          <w:lang w:val="fr-CA"/>
        </w:rPr>
        <w:t xml:space="preserve"> </w:t>
      </w:r>
      <w:r w:rsidR="00C95C56" w:rsidRPr="00B63BD5">
        <w:rPr>
          <w:lang w:val="fr-CA"/>
        </w:rPr>
        <w:t>liquidités</w:t>
      </w:r>
      <w:r w:rsidRPr="00B63BD5">
        <w:rPr>
          <w:lang w:val="fr-CA"/>
        </w:rPr>
        <w:t xml:space="preserve"> et équivalents </w:t>
      </w:r>
      <w:r w:rsidR="00063ADA" w:rsidRPr="00B63BD5">
        <w:rPr>
          <w:lang w:val="fr-CA"/>
        </w:rPr>
        <w:t>ac</w:t>
      </w:r>
      <w:r w:rsidRPr="00B63BD5">
        <w:rPr>
          <w:lang w:val="fr-CA"/>
        </w:rPr>
        <w:t xml:space="preserve">cumulés ou conservés </w:t>
      </w:r>
      <w:r w:rsidR="00016025" w:rsidRPr="00B63BD5">
        <w:rPr>
          <w:lang w:val="fr-CA"/>
        </w:rPr>
        <w:t xml:space="preserve">à une </w:t>
      </w:r>
      <w:r w:rsidRPr="00B63BD5">
        <w:rPr>
          <w:lang w:val="fr-CA"/>
        </w:rPr>
        <w:t>fin</w:t>
      </w:r>
      <w:r w:rsidR="00016025" w:rsidRPr="00B63BD5">
        <w:rPr>
          <w:lang w:val="fr-CA"/>
        </w:rPr>
        <w:t xml:space="preserve"> particulière </w:t>
      </w:r>
      <w:r w:rsidRPr="00B63BD5">
        <w:rPr>
          <w:lang w:val="fr-CA"/>
        </w:rPr>
        <w:t>de l</w:t>
      </w:r>
      <w:r w:rsidR="00564B0C" w:rsidRPr="00B63BD5">
        <w:rPr>
          <w:lang w:val="fr-CA"/>
        </w:rPr>
        <w:t>’</w:t>
      </w:r>
      <w:r w:rsidRPr="00B63BD5">
        <w:rPr>
          <w:lang w:val="fr-CA"/>
        </w:rPr>
        <w:t>entreprise</w:t>
      </w:r>
      <w:r w:rsidR="00570C1B" w:rsidRPr="00B63BD5">
        <w:rPr>
          <w:lang w:val="fr-CA"/>
        </w:rPr>
        <w:t xml:space="preserve"> qui est légale et </w:t>
      </w:r>
      <w:r w:rsidR="00E01CDD" w:rsidRPr="00B63BD5">
        <w:rPr>
          <w:lang w:val="fr-CA"/>
        </w:rPr>
        <w:t>ne contrevient pas</w:t>
      </w:r>
      <w:r w:rsidR="002E592D" w:rsidRPr="00B63BD5">
        <w:rPr>
          <w:lang w:val="fr-CA"/>
        </w:rPr>
        <w:t> </w:t>
      </w:r>
      <w:r w:rsidR="00570C1B" w:rsidRPr="00B63BD5">
        <w:rPr>
          <w:lang w:val="fr-CA"/>
        </w:rPr>
        <w:t>aux dispositions de la Lettre relative aux facilités</w:t>
      </w:r>
      <w:r w:rsidRPr="00B63BD5">
        <w:rPr>
          <w:lang w:val="fr-CA"/>
        </w:rPr>
        <w:t xml:space="preserve"> (c</w:t>
      </w:r>
      <w:r w:rsidR="00564B0C" w:rsidRPr="00B63BD5">
        <w:rPr>
          <w:lang w:val="fr-CA"/>
        </w:rPr>
        <w:t>’</w:t>
      </w:r>
      <w:r w:rsidRPr="00B63BD5">
        <w:rPr>
          <w:lang w:val="fr-CA"/>
        </w:rPr>
        <w:t>est</w:t>
      </w:r>
      <w:r w:rsidRPr="00B63BD5">
        <w:rPr>
          <w:lang w:val="fr-CA"/>
        </w:rPr>
        <w:noBreakHyphen/>
        <w:t>à</w:t>
      </w:r>
      <w:r w:rsidRPr="00B63BD5">
        <w:rPr>
          <w:lang w:val="fr-CA"/>
        </w:rPr>
        <w:noBreakHyphen/>
        <w:t xml:space="preserve">dire à une fin autre que la </w:t>
      </w:r>
      <w:r w:rsidR="00C95C56" w:rsidRPr="00B63BD5">
        <w:rPr>
          <w:lang w:val="fr-CA"/>
        </w:rPr>
        <w:t xml:space="preserve">simple </w:t>
      </w:r>
      <w:r w:rsidR="001E1971" w:rsidRPr="00B63BD5">
        <w:rPr>
          <w:lang w:val="fr-CA"/>
        </w:rPr>
        <w:t>a</w:t>
      </w:r>
      <w:r w:rsidR="00C95C56" w:rsidRPr="00B63BD5">
        <w:rPr>
          <w:lang w:val="fr-CA"/>
        </w:rPr>
        <w:t>ccumulation d</w:t>
      </w:r>
      <w:r w:rsidR="00564B0C" w:rsidRPr="00B63BD5">
        <w:rPr>
          <w:lang w:val="fr-CA"/>
        </w:rPr>
        <w:t>’</w:t>
      </w:r>
      <w:r w:rsidR="00C95C56" w:rsidRPr="00B63BD5">
        <w:rPr>
          <w:lang w:val="fr-CA"/>
        </w:rPr>
        <w:t>une réserve de liquidités</w:t>
      </w:r>
      <w:r w:rsidRPr="00B63BD5">
        <w:rPr>
          <w:lang w:val="fr-CA"/>
        </w:rPr>
        <w:t>) et, pour plus de précision, la Banque peut refuser de</w:t>
      </w:r>
      <w:r w:rsidR="002E592D" w:rsidRPr="00B63BD5">
        <w:rPr>
          <w:lang w:val="fr-CA"/>
        </w:rPr>
        <w:t> </w:t>
      </w:r>
      <w:r w:rsidR="00C95C56" w:rsidRPr="00B63BD5">
        <w:rPr>
          <w:lang w:val="fr-CA"/>
        </w:rPr>
        <w:t xml:space="preserve">consentir </w:t>
      </w:r>
      <w:r w:rsidRPr="00B63BD5">
        <w:rPr>
          <w:lang w:val="fr-CA"/>
        </w:rPr>
        <w:t xml:space="preserve">une avance demandée si elle juge, agissant raisonnablement, que cela contreviendrait au présent alinéa; </w:t>
      </w:r>
    </w:p>
    <w:p w14:paraId="67A48D29" w14:textId="535FA8D7" w:rsidR="00C348B0" w:rsidRPr="00B63BD5" w:rsidRDefault="00A21745" w:rsidP="00404E07">
      <w:pPr>
        <w:pStyle w:val="04LOLglNew4"/>
        <w:rPr>
          <w:lang w:val="fr-CA"/>
        </w:rPr>
      </w:pPr>
      <w:r w:rsidRPr="00B63BD5">
        <w:rPr>
          <w:lang w:val="fr-CA"/>
        </w:rPr>
        <w:t>emprunter des fonds, obtenir du crédit ou contracter d</w:t>
      </w:r>
      <w:r w:rsidR="00564B0C" w:rsidRPr="00B63BD5">
        <w:rPr>
          <w:lang w:val="fr-CA"/>
        </w:rPr>
        <w:t>’</w:t>
      </w:r>
      <w:r w:rsidRPr="00B63BD5">
        <w:rPr>
          <w:lang w:val="fr-CA"/>
        </w:rPr>
        <w:t xml:space="preserve">autres dettes </w:t>
      </w:r>
      <w:r w:rsidR="0019503E" w:rsidRPr="00B63BD5">
        <w:rPr>
          <w:lang w:val="fr-CA"/>
        </w:rPr>
        <w:t>à long terme (</w:t>
      </w:r>
      <w:r w:rsidR="00C50B6C" w:rsidRPr="00B63BD5">
        <w:rPr>
          <w:lang w:val="fr-CA"/>
        </w:rPr>
        <w:t xml:space="preserve">sauf en vertu </w:t>
      </w:r>
      <w:r w:rsidR="001E1971" w:rsidRPr="00B63BD5">
        <w:rPr>
          <w:lang w:val="fr-CA"/>
        </w:rPr>
        <w:t>d</w:t>
      </w:r>
      <w:r w:rsidRPr="00B63BD5">
        <w:rPr>
          <w:lang w:val="fr-CA"/>
        </w:rPr>
        <w:t xml:space="preserve">es </w:t>
      </w:r>
      <w:r w:rsidR="004549C5" w:rsidRPr="00B63BD5">
        <w:rPr>
          <w:lang w:val="fr-CA"/>
        </w:rPr>
        <w:t>F</w:t>
      </w:r>
      <w:r w:rsidRPr="00B63BD5">
        <w:rPr>
          <w:lang w:val="fr-CA"/>
        </w:rPr>
        <w:t>acilités de crédit).</w:t>
      </w:r>
    </w:p>
    <w:p w14:paraId="2EC846F2" w14:textId="129289CB" w:rsidR="005046FD" w:rsidRPr="00B63BD5" w:rsidRDefault="00A21745" w:rsidP="000B7739">
      <w:pPr>
        <w:pStyle w:val="04LOLglNew3"/>
        <w:rPr>
          <w:lang w:val="fr-CA"/>
        </w:rPr>
      </w:pPr>
      <w:r w:rsidRPr="00B63BD5">
        <w:rPr>
          <w:lang w:val="fr-CA"/>
        </w:rPr>
        <w:t>L</w:t>
      </w:r>
      <w:r w:rsidR="00564B0C" w:rsidRPr="00B63BD5">
        <w:rPr>
          <w:lang w:val="fr-CA"/>
        </w:rPr>
        <w:t>’</w:t>
      </w:r>
      <w:r w:rsidRPr="00B63BD5">
        <w:rPr>
          <w:lang w:val="fr-CA"/>
        </w:rPr>
        <w:t>Emprunt</w:t>
      </w:r>
      <w:r w:rsidR="00664578" w:rsidRPr="00B63BD5">
        <w:rPr>
          <w:lang w:val="fr-CA"/>
        </w:rPr>
        <w:t>e</w:t>
      </w:r>
      <w:r w:rsidRPr="00B63BD5">
        <w:rPr>
          <w:lang w:val="fr-CA"/>
        </w:rPr>
        <w:t xml:space="preserve">ur convient de déposer toutes les déclarations de revenus </w:t>
      </w:r>
      <w:r w:rsidR="004549C5" w:rsidRPr="00B63BD5">
        <w:rPr>
          <w:lang w:val="fr-CA"/>
        </w:rPr>
        <w:t>qui doivent être</w:t>
      </w:r>
      <w:r w:rsidRPr="00B63BD5">
        <w:rPr>
          <w:lang w:val="fr-CA"/>
        </w:rPr>
        <w:t xml:space="preserve"> dépos</w:t>
      </w:r>
      <w:r w:rsidR="004549C5" w:rsidRPr="00B63BD5">
        <w:rPr>
          <w:lang w:val="fr-CA"/>
        </w:rPr>
        <w:t>ées</w:t>
      </w:r>
      <w:r w:rsidRPr="00B63BD5">
        <w:rPr>
          <w:lang w:val="fr-CA"/>
        </w:rPr>
        <w:t xml:space="preserve"> conformément </w:t>
      </w:r>
      <w:r w:rsidR="004549C5" w:rsidRPr="00B63BD5">
        <w:rPr>
          <w:lang w:val="fr-CA"/>
        </w:rPr>
        <w:t>à l</w:t>
      </w:r>
      <w:r w:rsidR="00564B0C" w:rsidRPr="00B63BD5">
        <w:rPr>
          <w:lang w:val="fr-CA"/>
        </w:rPr>
        <w:t>’</w:t>
      </w:r>
      <w:r w:rsidR="004549C5" w:rsidRPr="00B63BD5">
        <w:rPr>
          <w:lang w:val="fr-CA"/>
        </w:rPr>
        <w:t>une ou l</w:t>
      </w:r>
      <w:r w:rsidR="00564B0C" w:rsidRPr="00B63BD5">
        <w:rPr>
          <w:lang w:val="fr-CA"/>
        </w:rPr>
        <w:t>’</w:t>
      </w:r>
      <w:r w:rsidR="004549C5" w:rsidRPr="00B63BD5">
        <w:rPr>
          <w:lang w:val="fr-CA"/>
        </w:rPr>
        <w:t>autre des</w:t>
      </w:r>
      <w:r w:rsidRPr="00B63BD5">
        <w:rPr>
          <w:lang w:val="fr-CA"/>
        </w:rPr>
        <w:t xml:space="preserve"> Exigences </w:t>
      </w:r>
      <w:r w:rsidR="00952F22" w:rsidRPr="00B63BD5">
        <w:rPr>
          <w:lang w:val="fr-CA"/>
        </w:rPr>
        <w:t>juridiques</w:t>
      </w:r>
      <w:r w:rsidRPr="00B63BD5">
        <w:rPr>
          <w:lang w:val="fr-CA"/>
        </w:rPr>
        <w:t>, de payer la totalité des taxes et impôts (y</w:t>
      </w:r>
      <w:r w:rsidR="002E592D" w:rsidRPr="00B63BD5">
        <w:rPr>
          <w:lang w:val="fr-CA"/>
        </w:rPr>
        <w:t> </w:t>
      </w:r>
      <w:r w:rsidRPr="00B63BD5">
        <w:rPr>
          <w:lang w:val="fr-CA"/>
        </w:rPr>
        <w:t>compris l</w:t>
      </w:r>
      <w:r w:rsidR="00564B0C" w:rsidRPr="00B63BD5">
        <w:rPr>
          <w:lang w:val="fr-CA"/>
        </w:rPr>
        <w:t>’</w:t>
      </w:r>
      <w:r w:rsidRPr="00B63BD5">
        <w:rPr>
          <w:lang w:val="fr-CA"/>
        </w:rPr>
        <w:t>intérêt et les pénalités) ou</w:t>
      </w:r>
      <w:r w:rsidR="004549C5" w:rsidRPr="00B63BD5">
        <w:rPr>
          <w:lang w:val="fr-CA"/>
        </w:rPr>
        <w:t xml:space="preserve"> de</w:t>
      </w:r>
      <w:r w:rsidRPr="00B63BD5">
        <w:rPr>
          <w:lang w:val="fr-CA"/>
        </w:rPr>
        <w:t xml:space="preserve"> constituer des provisions à cet</w:t>
      </w:r>
      <w:r w:rsidR="004549C5" w:rsidRPr="00B63BD5">
        <w:rPr>
          <w:lang w:val="fr-CA"/>
        </w:rPr>
        <w:t xml:space="preserve"> effet</w:t>
      </w:r>
      <w:r w:rsidRPr="00B63BD5">
        <w:rPr>
          <w:lang w:val="fr-CA"/>
        </w:rPr>
        <w:t>, de régler les Créances prioritaires éventuelles à la date d</w:t>
      </w:r>
      <w:r w:rsidR="00564B0C" w:rsidRPr="00B63BD5">
        <w:rPr>
          <w:lang w:val="fr-CA"/>
        </w:rPr>
        <w:t>’</w:t>
      </w:r>
      <w:r w:rsidRPr="00B63BD5">
        <w:rPr>
          <w:lang w:val="fr-CA"/>
        </w:rPr>
        <w:t>exigibilité et de maintenir des réserves adéquates aux fins du</w:t>
      </w:r>
      <w:r w:rsidR="002E592D" w:rsidRPr="00B63BD5">
        <w:rPr>
          <w:lang w:val="fr-CA"/>
        </w:rPr>
        <w:t> </w:t>
      </w:r>
      <w:r w:rsidRPr="00B63BD5">
        <w:rPr>
          <w:lang w:val="fr-CA"/>
        </w:rPr>
        <w:t xml:space="preserve">paiement des taxes et impôts qui sont contestés de façon diligente </w:t>
      </w:r>
      <w:r w:rsidR="004549C5" w:rsidRPr="00B63BD5">
        <w:rPr>
          <w:lang w:val="fr-CA"/>
        </w:rPr>
        <w:t xml:space="preserve">et </w:t>
      </w:r>
      <w:r w:rsidRPr="00B63BD5">
        <w:rPr>
          <w:lang w:val="fr-CA"/>
        </w:rPr>
        <w:t>de bonne foi.</w:t>
      </w:r>
    </w:p>
    <w:p w14:paraId="54567EB7" w14:textId="6B4C7B53" w:rsidR="00664578" w:rsidRPr="00B63BD5" w:rsidRDefault="00664578" w:rsidP="000B7739">
      <w:pPr>
        <w:pStyle w:val="04LOLglNew3"/>
        <w:rPr>
          <w:lang w:val="fr-CA"/>
        </w:rPr>
      </w:pPr>
      <w:r w:rsidRPr="00B63BD5">
        <w:rPr>
          <w:lang w:val="fr-CA"/>
        </w:rPr>
        <w:t>La Banque a le droit de renoncer à la remise de l</w:t>
      </w:r>
      <w:r w:rsidR="00564B0C" w:rsidRPr="00B63BD5">
        <w:rPr>
          <w:lang w:val="fr-CA"/>
        </w:rPr>
        <w:t>’</w:t>
      </w:r>
      <w:r w:rsidRPr="00B63BD5">
        <w:rPr>
          <w:lang w:val="fr-CA"/>
        </w:rPr>
        <w:t>un ou l</w:t>
      </w:r>
      <w:r w:rsidR="00564B0C" w:rsidRPr="00B63BD5">
        <w:rPr>
          <w:lang w:val="fr-CA"/>
        </w:rPr>
        <w:t>’</w:t>
      </w:r>
      <w:r w:rsidRPr="00B63BD5">
        <w:rPr>
          <w:lang w:val="fr-CA"/>
        </w:rPr>
        <w:t>autre des Documents de prêt ou à l</w:t>
      </w:r>
      <w:r w:rsidR="00564B0C" w:rsidRPr="00B63BD5">
        <w:rPr>
          <w:lang w:val="fr-CA"/>
        </w:rPr>
        <w:t>’</w:t>
      </w:r>
      <w:r w:rsidRPr="00B63BD5">
        <w:rPr>
          <w:lang w:val="fr-CA"/>
        </w:rPr>
        <w:t>exécution de l</w:t>
      </w:r>
      <w:r w:rsidR="00564B0C" w:rsidRPr="00B63BD5">
        <w:rPr>
          <w:lang w:val="fr-CA"/>
        </w:rPr>
        <w:t>’</w:t>
      </w:r>
      <w:r w:rsidRPr="00B63BD5">
        <w:rPr>
          <w:lang w:val="fr-CA"/>
        </w:rPr>
        <w:t>une ou l</w:t>
      </w:r>
      <w:r w:rsidR="00564B0C" w:rsidRPr="00B63BD5">
        <w:rPr>
          <w:lang w:val="fr-CA"/>
        </w:rPr>
        <w:t>’</w:t>
      </w:r>
      <w:r w:rsidRPr="00B63BD5">
        <w:rPr>
          <w:lang w:val="fr-CA"/>
        </w:rPr>
        <w:t xml:space="preserve">autre des modalités de la présente Lettre relative aux facilités et elle peut avancer </w:t>
      </w:r>
      <w:r w:rsidR="00814AAC" w:rsidRPr="00B63BD5">
        <w:rPr>
          <w:lang w:val="fr-CA"/>
        </w:rPr>
        <w:t xml:space="preserve">la </w:t>
      </w:r>
      <w:r w:rsidRPr="00B63BD5">
        <w:rPr>
          <w:lang w:val="fr-CA"/>
        </w:rPr>
        <w:t xml:space="preserve">totalité ou </w:t>
      </w:r>
      <w:r w:rsidR="00814AAC" w:rsidRPr="00B63BD5">
        <w:rPr>
          <w:lang w:val="fr-CA"/>
        </w:rPr>
        <w:t xml:space="preserve">une </w:t>
      </w:r>
      <w:r w:rsidRPr="00B63BD5">
        <w:rPr>
          <w:lang w:val="fr-CA"/>
        </w:rPr>
        <w:t>partie</w:t>
      </w:r>
      <w:r w:rsidR="00814AAC" w:rsidRPr="00B63BD5">
        <w:rPr>
          <w:lang w:val="fr-CA"/>
        </w:rPr>
        <w:t xml:space="preserve"> </w:t>
      </w:r>
      <w:r w:rsidR="00C84CDA" w:rsidRPr="00B63BD5">
        <w:rPr>
          <w:lang w:val="fr-CA"/>
        </w:rPr>
        <w:t xml:space="preserve">du ou des </w:t>
      </w:r>
      <w:r w:rsidRPr="00B63BD5">
        <w:rPr>
          <w:lang w:val="fr-CA"/>
        </w:rPr>
        <w:t>Prêts avant que l</w:t>
      </w:r>
      <w:r w:rsidR="00564B0C" w:rsidRPr="00B63BD5">
        <w:rPr>
          <w:lang w:val="fr-CA"/>
        </w:rPr>
        <w:t>’</w:t>
      </w:r>
      <w:r w:rsidRPr="00B63BD5">
        <w:rPr>
          <w:lang w:val="fr-CA"/>
        </w:rPr>
        <w:t>une ou l</w:t>
      </w:r>
      <w:r w:rsidR="00564B0C" w:rsidRPr="00B63BD5">
        <w:rPr>
          <w:lang w:val="fr-CA"/>
        </w:rPr>
        <w:t>’</w:t>
      </w:r>
      <w:r w:rsidRPr="00B63BD5">
        <w:rPr>
          <w:lang w:val="fr-CA"/>
        </w:rPr>
        <w:t>autre des Conditions préalables ne soit remplie</w:t>
      </w:r>
      <w:r w:rsidR="004549C5" w:rsidRPr="00B63BD5">
        <w:rPr>
          <w:lang w:val="fr-CA"/>
        </w:rPr>
        <w:t>; toutefois, si elle</w:t>
      </w:r>
      <w:r w:rsidRPr="00B63BD5">
        <w:rPr>
          <w:lang w:val="fr-CA"/>
        </w:rPr>
        <w:t xml:space="preserve"> renonc</w:t>
      </w:r>
      <w:r w:rsidR="004549C5" w:rsidRPr="00B63BD5">
        <w:rPr>
          <w:lang w:val="fr-CA"/>
        </w:rPr>
        <w:t xml:space="preserve">e </w:t>
      </w:r>
      <w:r w:rsidRPr="00B63BD5">
        <w:rPr>
          <w:lang w:val="fr-CA"/>
        </w:rPr>
        <w:t xml:space="preserve">à </w:t>
      </w:r>
      <w:r w:rsidR="00814AAC" w:rsidRPr="00B63BD5">
        <w:rPr>
          <w:lang w:val="fr-CA"/>
        </w:rPr>
        <w:t>l</w:t>
      </w:r>
      <w:r w:rsidR="00564B0C" w:rsidRPr="00B63BD5">
        <w:rPr>
          <w:lang w:val="fr-CA"/>
        </w:rPr>
        <w:t>’</w:t>
      </w:r>
      <w:r w:rsidR="00814AAC" w:rsidRPr="00B63BD5">
        <w:rPr>
          <w:lang w:val="fr-CA"/>
        </w:rPr>
        <w:t>exécution d</w:t>
      </w:r>
      <w:r w:rsidR="00564B0C" w:rsidRPr="00B63BD5">
        <w:rPr>
          <w:lang w:val="fr-CA"/>
        </w:rPr>
        <w:t>’</w:t>
      </w:r>
      <w:r w:rsidRPr="00B63BD5">
        <w:rPr>
          <w:lang w:val="fr-CA"/>
        </w:rPr>
        <w:t>une obligation ou</w:t>
      </w:r>
      <w:r w:rsidR="004549C5" w:rsidRPr="00B63BD5">
        <w:rPr>
          <w:lang w:val="fr-CA"/>
        </w:rPr>
        <w:t xml:space="preserve"> </w:t>
      </w:r>
      <w:r w:rsidR="00814AAC" w:rsidRPr="00B63BD5">
        <w:rPr>
          <w:lang w:val="fr-CA"/>
        </w:rPr>
        <w:t>d</w:t>
      </w:r>
      <w:r w:rsidR="00564B0C" w:rsidRPr="00B63BD5">
        <w:rPr>
          <w:lang w:val="fr-CA"/>
        </w:rPr>
        <w:t>’</w:t>
      </w:r>
      <w:r w:rsidR="004549C5" w:rsidRPr="00B63BD5">
        <w:rPr>
          <w:lang w:val="fr-CA"/>
        </w:rPr>
        <w:t>une</w:t>
      </w:r>
      <w:r w:rsidRPr="00B63BD5">
        <w:rPr>
          <w:lang w:val="fr-CA"/>
        </w:rPr>
        <w:t xml:space="preserve"> condition</w:t>
      </w:r>
      <w:r w:rsidR="004549C5" w:rsidRPr="00B63BD5">
        <w:rPr>
          <w:lang w:val="fr-CA"/>
        </w:rPr>
        <w:t>, cela ne signifie</w:t>
      </w:r>
      <w:r w:rsidR="00814AAC" w:rsidRPr="00B63BD5">
        <w:rPr>
          <w:lang w:val="fr-CA"/>
        </w:rPr>
        <w:t xml:space="preserve"> pas</w:t>
      </w:r>
      <w:r w:rsidR="004549C5" w:rsidRPr="00B63BD5">
        <w:rPr>
          <w:lang w:val="fr-CA"/>
        </w:rPr>
        <w:t xml:space="preserve"> qu</w:t>
      </w:r>
      <w:r w:rsidR="00564B0C" w:rsidRPr="00B63BD5">
        <w:rPr>
          <w:lang w:val="fr-CA"/>
        </w:rPr>
        <w:t>’</w:t>
      </w:r>
      <w:r w:rsidR="004549C5" w:rsidRPr="00B63BD5">
        <w:rPr>
          <w:lang w:val="fr-CA"/>
        </w:rPr>
        <w:t xml:space="preserve">elle </w:t>
      </w:r>
      <w:r w:rsidRPr="00B63BD5">
        <w:rPr>
          <w:lang w:val="fr-CA"/>
        </w:rPr>
        <w:t>renonc</w:t>
      </w:r>
      <w:r w:rsidR="004549C5" w:rsidRPr="00B63BD5">
        <w:rPr>
          <w:lang w:val="fr-CA"/>
        </w:rPr>
        <w:t>e</w:t>
      </w:r>
      <w:r w:rsidRPr="00B63BD5">
        <w:rPr>
          <w:lang w:val="fr-CA"/>
        </w:rPr>
        <w:t xml:space="preserve"> à </w:t>
      </w:r>
      <w:r w:rsidR="00814AAC" w:rsidRPr="00B63BD5">
        <w:rPr>
          <w:lang w:val="fr-CA"/>
        </w:rPr>
        <w:t xml:space="preserve">exiger </w:t>
      </w:r>
      <w:r w:rsidR="00C84CDA" w:rsidRPr="00B63BD5">
        <w:rPr>
          <w:lang w:val="fr-CA"/>
        </w:rPr>
        <w:t xml:space="preserve">que </w:t>
      </w:r>
      <w:r w:rsidR="004549C5" w:rsidRPr="00B63BD5">
        <w:rPr>
          <w:lang w:val="fr-CA"/>
        </w:rPr>
        <w:t>l</w:t>
      </w:r>
      <w:r w:rsidR="00564B0C" w:rsidRPr="00B63BD5">
        <w:rPr>
          <w:lang w:val="fr-CA"/>
        </w:rPr>
        <w:t>’</w:t>
      </w:r>
      <w:r w:rsidRPr="00B63BD5">
        <w:rPr>
          <w:lang w:val="fr-CA"/>
        </w:rPr>
        <w:t>obligation ou</w:t>
      </w:r>
      <w:r w:rsidR="004549C5" w:rsidRPr="00B63BD5">
        <w:rPr>
          <w:lang w:val="fr-CA"/>
        </w:rPr>
        <w:t xml:space="preserve"> la </w:t>
      </w:r>
      <w:r w:rsidRPr="00B63BD5">
        <w:rPr>
          <w:lang w:val="fr-CA"/>
        </w:rPr>
        <w:t>condition</w:t>
      </w:r>
      <w:r w:rsidR="004549C5" w:rsidRPr="00B63BD5">
        <w:rPr>
          <w:lang w:val="fr-CA"/>
        </w:rPr>
        <w:t xml:space="preserve"> en question</w:t>
      </w:r>
      <w:r w:rsidRPr="00B63BD5">
        <w:rPr>
          <w:lang w:val="fr-CA"/>
        </w:rPr>
        <w:t xml:space="preserve"> </w:t>
      </w:r>
      <w:r w:rsidR="00C84CDA" w:rsidRPr="00B63BD5">
        <w:rPr>
          <w:lang w:val="fr-CA"/>
        </w:rPr>
        <w:t xml:space="preserve">soit remplie </w:t>
      </w:r>
      <w:r w:rsidRPr="00B63BD5">
        <w:rPr>
          <w:lang w:val="fr-CA"/>
        </w:rPr>
        <w:t>à l</w:t>
      </w:r>
      <w:r w:rsidR="00564B0C" w:rsidRPr="00B63BD5">
        <w:rPr>
          <w:lang w:val="fr-CA"/>
        </w:rPr>
        <w:t>’</w:t>
      </w:r>
      <w:r w:rsidRPr="00B63BD5">
        <w:rPr>
          <w:lang w:val="fr-CA"/>
        </w:rPr>
        <w:t>égard d</w:t>
      </w:r>
      <w:r w:rsidR="00564B0C" w:rsidRPr="00B63BD5">
        <w:rPr>
          <w:lang w:val="fr-CA"/>
        </w:rPr>
        <w:t>’</w:t>
      </w:r>
      <w:r w:rsidRPr="00B63BD5">
        <w:rPr>
          <w:lang w:val="fr-CA"/>
        </w:rPr>
        <w:t>une avance future.</w:t>
      </w:r>
    </w:p>
    <w:p w14:paraId="1548134A" w14:textId="6F57D66C" w:rsidR="00664578" w:rsidRPr="00B63BD5" w:rsidRDefault="00664578" w:rsidP="000B7739">
      <w:pPr>
        <w:pStyle w:val="04LOLglNew3"/>
        <w:rPr>
          <w:lang w:val="fr-CA"/>
        </w:rPr>
      </w:pPr>
      <w:r w:rsidRPr="00B63BD5">
        <w:rPr>
          <w:lang w:val="fr-CA"/>
        </w:rPr>
        <w:t>Les modalités et les engagements d</w:t>
      </w:r>
      <w:r w:rsidR="00564B0C" w:rsidRPr="00B63BD5">
        <w:rPr>
          <w:lang w:val="fr-CA"/>
        </w:rPr>
        <w:t>’</w:t>
      </w:r>
      <w:r w:rsidRPr="00B63BD5">
        <w:rPr>
          <w:lang w:val="fr-CA"/>
        </w:rPr>
        <w:t>ordre financier doivent être établis conformément aux principes comptables généralement reconnus</w:t>
      </w:r>
      <w:r w:rsidR="00BA296F" w:rsidRPr="00B63BD5">
        <w:rPr>
          <w:lang w:val="fr-CA"/>
        </w:rPr>
        <w:t>,</w:t>
      </w:r>
      <w:r w:rsidRPr="00B63BD5">
        <w:rPr>
          <w:lang w:val="fr-CA"/>
        </w:rPr>
        <w:t xml:space="preserve"> a</w:t>
      </w:r>
      <w:r w:rsidR="00B0297F" w:rsidRPr="00B63BD5">
        <w:rPr>
          <w:lang w:val="fr-CA"/>
        </w:rPr>
        <w:t>ppliqués</w:t>
      </w:r>
      <w:r w:rsidRPr="00B63BD5">
        <w:rPr>
          <w:lang w:val="fr-CA"/>
        </w:rPr>
        <w:t xml:space="preserve"> de</w:t>
      </w:r>
      <w:r w:rsidR="00BA296F" w:rsidRPr="00B63BD5">
        <w:rPr>
          <w:lang w:val="fr-CA"/>
        </w:rPr>
        <w:t xml:space="preserve"> façon uniforme</w:t>
      </w:r>
      <w:r w:rsidRPr="00B63BD5">
        <w:rPr>
          <w:lang w:val="fr-CA"/>
        </w:rPr>
        <w:t>.</w:t>
      </w:r>
    </w:p>
    <w:p w14:paraId="0918CB70" w14:textId="34059752" w:rsidR="009926E7" w:rsidRPr="00B63BD5" w:rsidRDefault="00664578" w:rsidP="000B7739">
      <w:pPr>
        <w:pStyle w:val="04LOLglNew3"/>
        <w:rPr>
          <w:lang w:val="fr-CA"/>
        </w:rPr>
      </w:pPr>
      <w:r w:rsidRPr="00B63BD5">
        <w:rPr>
          <w:lang w:val="fr-CA"/>
        </w:rPr>
        <w:t xml:space="preserve">Si </w:t>
      </w:r>
      <w:r w:rsidR="00814AAC" w:rsidRPr="00B63BD5">
        <w:rPr>
          <w:lang w:val="fr-CA"/>
        </w:rPr>
        <w:t xml:space="preserve">le montant global de </w:t>
      </w:r>
      <w:r w:rsidRPr="00B63BD5">
        <w:rPr>
          <w:lang w:val="fr-CA"/>
        </w:rPr>
        <w:t>la somme impayée aux termes de l</w:t>
      </w:r>
      <w:r w:rsidR="00564B0C" w:rsidRPr="00B63BD5">
        <w:rPr>
          <w:lang w:val="fr-CA"/>
        </w:rPr>
        <w:t>’</w:t>
      </w:r>
      <w:r w:rsidRPr="00B63BD5">
        <w:rPr>
          <w:lang w:val="fr-CA"/>
        </w:rPr>
        <w:t>une ou l</w:t>
      </w:r>
      <w:r w:rsidR="00564B0C" w:rsidRPr="00B63BD5">
        <w:rPr>
          <w:lang w:val="fr-CA"/>
        </w:rPr>
        <w:t>’</w:t>
      </w:r>
      <w:r w:rsidRPr="00B63BD5">
        <w:rPr>
          <w:lang w:val="fr-CA"/>
        </w:rPr>
        <w:t>autre des Facilités de crédit</w:t>
      </w:r>
      <w:r w:rsidR="00BA296F" w:rsidRPr="00B63BD5">
        <w:rPr>
          <w:lang w:val="fr-CA"/>
        </w:rPr>
        <w:t xml:space="preserve"> libellées</w:t>
      </w:r>
      <w:r w:rsidRPr="00B63BD5">
        <w:rPr>
          <w:lang w:val="fr-CA"/>
        </w:rPr>
        <w:t xml:space="preserve"> </w:t>
      </w:r>
      <w:r w:rsidR="00C66734" w:rsidRPr="00B63BD5">
        <w:rPr>
          <w:lang w:val="fr-CA"/>
        </w:rPr>
        <w:t>(i)</w:t>
      </w:r>
      <w:r w:rsidR="00AC4107" w:rsidRPr="00B63BD5">
        <w:rPr>
          <w:lang w:val="fr-CA"/>
        </w:rPr>
        <w:t xml:space="preserve"> </w:t>
      </w:r>
      <w:r w:rsidRPr="00B63BD5">
        <w:rPr>
          <w:lang w:val="fr-CA"/>
        </w:rPr>
        <w:t xml:space="preserve">en </w:t>
      </w:r>
      <w:r w:rsidR="00BA296F" w:rsidRPr="00B63BD5">
        <w:rPr>
          <w:lang w:val="fr-CA"/>
        </w:rPr>
        <w:t>D</w:t>
      </w:r>
      <w:r w:rsidRPr="00B63BD5">
        <w:rPr>
          <w:lang w:val="fr-CA"/>
        </w:rPr>
        <w:t xml:space="preserve">ollars canadiens et </w:t>
      </w:r>
      <w:r w:rsidR="00814AAC" w:rsidRPr="00B63BD5">
        <w:rPr>
          <w:lang w:val="fr-CA"/>
        </w:rPr>
        <w:t xml:space="preserve">de </w:t>
      </w:r>
      <w:r w:rsidRPr="00B63BD5">
        <w:rPr>
          <w:lang w:val="fr-CA"/>
        </w:rPr>
        <w:t>l</w:t>
      </w:r>
      <w:r w:rsidR="00564B0C" w:rsidRPr="00B63BD5">
        <w:rPr>
          <w:lang w:val="fr-CA"/>
        </w:rPr>
        <w:t>’</w:t>
      </w:r>
      <w:r w:rsidRPr="00B63BD5">
        <w:rPr>
          <w:lang w:val="fr-CA"/>
        </w:rPr>
        <w:t>Équivalent en dollars canadiens de</w:t>
      </w:r>
      <w:r w:rsidR="00BA296F" w:rsidRPr="00B63BD5">
        <w:rPr>
          <w:lang w:val="fr-CA"/>
        </w:rPr>
        <w:t xml:space="preserve"> la</w:t>
      </w:r>
      <w:r w:rsidRPr="00B63BD5">
        <w:rPr>
          <w:lang w:val="fr-CA"/>
        </w:rPr>
        <w:t xml:space="preserve"> somme impayée aux termes de</w:t>
      </w:r>
      <w:r w:rsidR="002E592D" w:rsidRPr="00B63BD5">
        <w:rPr>
          <w:lang w:val="fr-CA"/>
        </w:rPr>
        <w:t> </w:t>
      </w:r>
      <w:r w:rsidRPr="00B63BD5">
        <w:rPr>
          <w:lang w:val="fr-CA"/>
        </w:rPr>
        <w:t>l</w:t>
      </w:r>
      <w:r w:rsidR="00564B0C" w:rsidRPr="00B63BD5">
        <w:rPr>
          <w:lang w:val="fr-CA"/>
        </w:rPr>
        <w:t>’</w:t>
      </w:r>
      <w:r w:rsidRPr="00B63BD5">
        <w:rPr>
          <w:lang w:val="fr-CA"/>
        </w:rPr>
        <w:t>une ou l</w:t>
      </w:r>
      <w:r w:rsidR="00564B0C" w:rsidRPr="00B63BD5">
        <w:rPr>
          <w:lang w:val="fr-CA"/>
        </w:rPr>
        <w:t>’</w:t>
      </w:r>
      <w:r w:rsidRPr="00B63BD5">
        <w:rPr>
          <w:lang w:val="fr-CA"/>
        </w:rPr>
        <w:t>autre des Facilités de crédit libellée</w:t>
      </w:r>
      <w:r w:rsidR="00BA296F" w:rsidRPr="00B63BD5">
        <w:rPr>
          <w:lang w:val="fr-CA"/>
        </w:rPr>
        <w:t>s</w:t>
      </w:r>
      <w:r w:rsidRPr="00B63BD5">
        <w:rPr>
          <w:lang w:val="fr-CA"/>
        </w:rPr>
        <w:t xml:space="preserve"> dans une monnaie autre que le Dollar canadien</w:t>
      </w:r>
      <w:r w:rsidR="00C66734" w:rsidRPr="00B63BD5">
        <w:rPr>
          <w:lang w:val="fr-CA"/>
        </w:rPr>
        <w:t xml:space="preserve"> ou</w:t>
      </w:r>
      <w:r w:rsidR="002E592D" w:rsidRPr="00B63BD5">
        <w:rPr>
          <w:lang w:val="fr-CA"/>
        </w:rPr>
        <w:t> </w:t>
      </w:r>
      <w:r w:rsidR="00C66734" w:rsidRPr="00B63BD5">
        <w:rPr>
          <w:lang w:val="fr-CA"/>
        </w:rPr>
        <w:t>(ii)</w:t>
      </w:r>
      <w:r w:rsidR="002E592D" w:rsidRPr="00B63BD5">
        <w:rPr>
          <w:lang w:val="fr-CA"/>
        </w:rPr>
        <w:t> </w:t>
      </w:r>
      <w:r w:rsidR="00C66734" w:rsidRPr="00B63BD5">
        <w:rPr>
          <w:lang w:val="fr-CA"/>
        </w:rPr>
        <w:t>en Dollars américains et de l</w:t>
      </w:r>
      <w:r w:rsidR="00564B0C" w:rsidRPr="00B63BD5">
        <w:rPr>
          <w:lang w:val="fr-CA"/>
        </w:rPr>
        <w:t>’</w:t>
      </w:r>
      <w:r w:rsidR="00C66734" w:rsidRPr="00B63BD5">
        <w:rPr>
          <w:lang w:val="fr-CA"/>
        </w:rPr>
        <w:t>Équivalent en dollars américains de la somme impayée aux termes de l</w:t>
      </w:r>
      <w:r w:rsidR="00564B0C" w:rsidRPr="00B63BD5">
        <w:rPr>
          <w:lang w:val="fr-CA"/>
        </w:rPr>
        <w:t>’</w:t>
      </w:r>
      <w:r w:rsidR="00C66734" w:rsidRPr="00B63BD5">
        <w:rPr>
          <w:lang w:val="fr-CA"/>
        </w:rPr>
        <w:t>une ou l</w:t>
      </w:r>
      <w:r w:rsidR="00564B0C" w:rsidRPr="00B63BD5">
        <w:rPr>
          <w:lang w:val="fr-CA"/>
        </w:rPr>
        <w:t>’</w:t>
      </w:r>
      <w:r w:rsidR="00C66734" w:rsidRPr="00B63BD5">
        <w:rPr>
          <w:lang w:val="fr-CA"/>
        </w:rPr>
        <w:t xml:space="preserve">autre des Facilités de crédit libellées dans une monnaie autre que le Dollar américain </w:t>
      </w:r>
      <w:r w:rsidRPr="00B63BD5">
        <w:rPr>
          <w:lang w:val="fr-CA"/>
        </w:rPr>
        <w:t xml:space="preserve">dépasse, à quelque moment que ce soit, </w:t>
      </w:r>
      <w:r w:rsidR="001B1F1E" w:rsidRPr="00B63BD5">
        <w:rPr>
          <w:lang w:val="fr-CA"/>
        </w:rPr>
        <w:t>le montant d</w:t>
      </w:r>
      <w:r w:rsidR="00564B0C" w:rsidRPr="00B63BD5">
        <w:rPr>
          <w:lang w:val="fr-CA"/>
        </w:rPr>
        <w:t>’</w:t>
      </w:r>
      <w:r w:rsidR="001B1F1E" w:rsidRPr="00B63BD5">
        <w:rPr>
          <w:lang w:val="fr-CA"/>
        </w:rPr>
        <w:t>une telle Facilité de crédit indiqué ci-dessus (en</w:t>
      </w:r>
      <w:r w:rsidR="002E592D" w:rsidRPr="00B63BD5">
        <w:rPr>
          <w:lang w:val="fr-CA"/>
        </w:rPr>
        <w:t> </w:t>
      </w:r>
      <w:r w:rsidR="001B1F1E" w:rsidRPr="00B63BD5">
        <w:rPr>
          <w:lang w:val="fr-CA"/>
        </w:rPr>
        <w:t>tenant compte des Exigences relatives à la marge, le cas échéant)</w:t>
      </w:r>
      <w:r w:rsidRPr="00B63BD5">
        <w:rPr>
          <w:lang w:val="fr-CA"/>
        </w:rPr>
        <w:t xml:space="preserve">, la Banque pourra, à son entière discrétion, </w:t>
      </w:r>
      <w:r w:rsidR="00BA296F" w:rsidRPr="00B63BD5">
        <w:rPr>
          <w:lang w:val="fr-CA"/>
        </w:rPr>
        <w:t>prendre l</w:t>
      </w:r>
      <w:r w:rsidR="00564B0C" w:rsidRPr="00B63BD5">
        <w:rPr>
          <w:lang w:val="fr-CA"/>
        </w:rPr>
        <w:t>’</w:t>
      </w:r>
      <w:r w:rsidR="00BA296F" w:rsidRPr="00B63BD5">
        <w:rPr>
          <w:lang w:val="fr-CA"/>
        </w:rPr>
        <w:t xml:space="preserve">une </w:t>
      </w:r>
      <w:r w:rsidR="00814AAC" w:rsidRPr="00B63BD5">
        <w:rPr>
          <w:lang w:val="fr-CA"/>
        </w:rPr>
        <w:t>ou l</w:t>
      </w:r>
      <w:r w:rsidR="00564B0C" w:rsidRPr="00B63BD5">
        <w:rPr>
          <w:lang w:val="fr-CA"/>
        </w:rPr>
        <w:t>’</w:t>
      </w:r>
      <w:r w:rsidR="00814AAC" w:rsidRPr="00B63BD5">
        <w:rPr>
          <w:lang w:val="fr-CA"/>
        </w:rPr>
        <w:t xml:space="preserve">autre </w:t>
      </w:r>
      <w:r w:rsidR="00BA296F" w:rsidRPr="00B63BD5">
        <w:rPr>
          <w:lang w:val="fr-CA"/>
        </w:rPr>
        <w:t>des mesures suivantes</w:t>
      </w:r>
      <w:r w:rsidR="00AC4107" w:rsidRPr="00B63BD5">
        <w:rPr>
          <w:lang w:val="fr-CA"/>
        </w:rPr>
        <w:t xml:space="preserve"> </w:t>
      </w:r>
      <w:r w:rsidRPr="00B63BD5">
        <w:rPr>
          <w:lang w:val="fr-CA"/>
        </w:rPr>
        <w:t xml:space="preserve">: </w:t>
      </w:r>
    </w:p>
    <w:p w14:paraId="17413B17" w14:textId="4480C273" w:rsidR="009926E7" w:rsidRPr="00B63BD5" w:rsidRDefault="00814AAC" w:rsidP="00404E07">
      <w:pPr>
        <w:pStyle w:val="04LOLglNew4"/>
        <w:rPr>
          <w:lang w:val="fr-CA"/>
        </w:rPr>
      </w:pPr>
      <w:r w:rsidRPr="00B63BD5">
        <w:rPr>
          <w:lang w:val="fr-CA"/>
        </w:rPr>
        <w:t xml:space="preserve">limiter </w:t>
      </w:r>
      <w:r w:rsidR="00D23BEC" w:rsidRPr="00B63BD5">
        <w:rPr>
          <w:lang w:val="fr-CA"/>
        </w:rPr>
        <w:t>l</w:t>
      </w:r>
      <w:r w:rsidR="00564B0C" w:rsidRPr="00B63BD5">
        <w:rPr>
          <w:lang w:val="fr-CA"/>
        </w:rPr>
        <w:t>’</w:t>
      </w:r>
      <w:r w:rsidR="00D23BEC" w:rsidRPr="00B63BD5">
        <w:rPr>
          <w:lang w:val="fr-CA"/>
        </w:rPr>
        <w:t xml:space="preserve">utilisation future de la Facilité de crédit en question; </w:t>
      </w:r>
    </w:p>
    <w:p w14:paraId="3C84AC0F" w14:textId="2FCB2C0A" w:rsidR="002C6AD3" w:rsidRPr="00B63BD5" w:rsidRDefault="00D23BEC" w:rsidP="00404E07">
      <w:pPr>
        <w:pStyle w:val="04LOLglNew4"/>
        <w:rPr>
          <w:lang w:val="fr-CA"/>
        </w:rPr>
      </w:pPr>
      <w:r w:rsidRPr="00B63BD5">
        <w:rPr>
          <w:lang w:val="fr-CA"/>
        </w:rPr>
        <w:t>convertir</w:t>
      </w:r>
      <w:r w:rsidR="00814AAC" w:rsidRPr="00B63BD5">
        <w:rPr>
          <w:lang w:val="fr-CA"/>
        </w:rPr>
        <w:t xml:space="preserve"> la </w:t>
      </w:r>
      <w:r w:rsidRPr="00B63BD5">
        <w:rPr>
          <w:lang w:val="fr-CA"/>
        </w:rPr>
        <w:t xml:space="preserve">totalité ou </w:t>
      </w:r>
      <w:r w:rsidR="00814AAC" w:rsidRPr="00B63BD5">
        <w:rPr>
          <w:lang w:val="fr-CA"/>
        </w:rPr>
        <w:t xml:space="preserve">une </w:t>
      </w:r>
      <w:r w:rsidRPr="00B63BD5">
        <w:rPr>
          <w:lang w:val="fr-CA"/>
        </w:rPr>
        <w:t>partie</w:t>
      </w:r>
      <w:r w:rsidR="00814AAC" w:rsidRPr="00B63BD5">
        <w:rPr>
          <w:lang w:val="fr-CA"/>
        </w:rPr>
        <w:t xml:space="preserve"> de</w:t>
      </w:r>
      <w:r w:rsidRPr="00B63BD5">
        <w:rPr>
          <w:lang w:val="fr-CA"/>
        </w:rPr>
        <w:t xml:space="preserve"> la somme impayée aux termes de la Facilité de crédit en</w:t>
      </w:r>
      <w:r w:rsidR="002E592D" w:rsidRPr="00B63BD5">
        <w:rPr>
          <w:lang w:val="fr-CA"/>
        </w:rPr>
        <w:t> </w:t>
      </w:r>
      <w:r w:rsidRPr="00B63BD5">
        <w:rPr>
          <w:lang w:val="fr-CA"/>
        </w:rPr>
        <w:t>Dollars canadiens, auquel cas l</w:t>
      </w:r>
      <w:r w:rsidR="00564B0C" w:rsidRPr="00B63BD5">
        <w:rPr>
          <w:lang w:val="fr-CA"/>
        </w:rPr>
        <w:t>’</w:t>
      </w:r>
      <w:r w:rsidRPr="00B63BD5">
        <w:rPr>
          <w:lang w:val="fr-CA"/>
        </w:rPr>
        <w:t xml:space="preserve">intérêt </w:t>
      </w:r>
      <w:r w:rsidR="00814AAC" w:rsidRPr="00B63BD5">
        <w:rPr>
          <w:lang w:val="fr-CA"/>
        </w:rPr>
        <w:t xml:space="preserve">courra et sera payable </w:t>
      </w:r>
      <w:r w:rsidRPr="00B63BD5">
        <w:rPr>
          <w:lang w:val="fr-CA"/>
        </w:rPr>
        <w:t xml:space="preserve">sur la somme </w:t>
      </w:r>
      <w:r w:rsidR="00BA296F" w:rsidRPr="00B63BD5">
        <w:rPr>
          <w:lang w:val="fr-CA"/>
        </w:rPr>
        <w:t xml:space="preserve">ainsi </w:t>
      </w:r>
      <w:r w:rsidRPr="00B63BD5">
        <w:rPr>
          <w:lang w:val="fr-CA"/>
        </w:rPr>
        <w:t xml:space="preserve">convertie </w:t>
      </w:r>
      <w:r w:rsidR="00814AAC" w:rsidRPr="00B63BD5">
        <w:rPr>
          <w:lang w:val="fr-CA"/>
        </w:rPr>
        <w:t xml:space="preserve">au taux prévu </w:t>
      </w:r>
      <w:r w:rsidRPr="00B63BD5">
        <w:rPr>
          <w:lang w:val="fr-CA"/>
        </w:rPr>
        <w:t>dans la présente Lettre relative aux facilités</w:t>
      </w:r>
      <w:r w:rsidR="00814AAC" w:rsidRPr="00B63BD5">
        <w:rPr>
          <w:lang w:val="fr-CA"/>
        </w:rPr>
        <w:t xml:space="preserve"> </w:t>
      </w:r>
      <w:r w:rsidR="00B026FA" w:rsidRPr="00B63BD5">
        <w:rPr>
          <w:lang w:val="fr-CA"/>
        </w:rPr>
        <w:t>pour les</w:t>
      </w:r>
      <w:r w:rsidRPr="00B63BD5">
        <w:rPr>
          <w:lang w:val="fr-CA"/>
        </w:rPr>
        <w:t xml:space="preserve"> avances en Dollars canadiens </w:t>
      </w:r>
      <w:r w:rsidR="00BA296F" w:rsidRPr="00B63BD5">
        <w:rPr>
          <w:lang w:val="fr-CA"/>
        </w:rPr>
        <w:t>sur lesquelles l</w:t>
      </w:r>
      <w:r w:rsidR="00564B0C" w:rsidRPr="00B63BD5">
        <w:rPr>
          <w:lang w:val="fr-CA"/>
        </w:rPr>
        <w:t>’</w:t>
      </w:r>
      <w:r w:rsidR="00BA296F" w:rsidRPr="00B63BD5">
        <w:rPr>
          <w:lang w:val="fr-CA"/>
        </w:rPr>
        <w:t xml:space="preserve">intérêt est calculé en fonction du </w:t>
      </w:r>
      <w:r w:rsidRPr="00B63BD5">
        <w:rPr>
          <w:lang w:val="fr-CA"/>
        </w:rPr>
        <w:t xml:space="preserve">Taux préférentiel de la Banque. Si </w:t>
      </w:r>
      <w:r w:rsidR="00814AAC" w:rsidRPr="00B63BD5">
        <w:rPr>
          <w:lang w:val="fr-CA"/>
        </w:rPr>
        <w:t>aucun taux de ce genre n</w:t>
      </w:r>
      <w:r w:rsidR="00564B0C" w:rsidRPr="00B63BD5">
        <w:rPr>
          <w:lang w:val="fr-CA"/>
        </w:rPr>
        <w:t>’</w:t>
      </w:r>
      <w:r w:rsidR="00814AAC" w:rsidRPr="00B63BD5">
        <w:rPr>
          <w:lang w:val="fr-CA"/>
        </w:rPr>
        <w:t>est</w:t>
      </w:r>
      <w:r w:rsidR="002E592D" w:rsidRPr="00B63BD5">
        <w:rPr>
          <w:lang w:val="fr-CA"/>
        </w:rPr>
        <w:t> </w:t>
      </w:r>
      <w:r w:rsidR="00814AAC" w:rsidRPr="00B63BD5">
        <w:rPr>
          <w:lang w:val="fr-CA"/>
        </w:rPr>
        <w:t xml:space="preserve">prévu dans </w:t>
      </w:r>
      <w:r w:rsidRPr="00B63BD5">
        <w:rPr>
          <w:lang w:val="fr-CA"/>
        </w:rPr>
        <w:t>la présente Lettre relative aux facilités, l</w:t>
      </w:r>
      <w:r w:rsidR="00564B0C" w:rsidRPr="00B63BD5">
        <w:rPr>
          <w:lang w:val="fr-CA"/>
        </w:rPr>
        <w:t>’</w:t>
      </w:r>
      <w:r w:rsidR="00BA296F" w:rsidRPr="00B63BD5">
        <w:rPr>
          <w:lang w:val="fr-CA"/>
        </w:rPr>
        <w:t xml:space="preserve">intérêt </w:t>
      </w:r>
      <w:r w:rsidR="00814AAC" w:rsidRPr="00B63BD5">
        <w:rPr>
          <w:lang w:val="fr-CA"/>
        </w:rPr>
        <w:t xml:space="preserve">courra </w:t>
      </w:r>
      <w:r w:rsidR="00BA296F" w:rsidRPr="00B63BD5">
        <w:rPr>
          <w:lang w:val="fr-CA"/>
        </w:rPr>
        <w:t>sur l</w:t>
      </w:r>
      <w:r w:rsidRPr="00B63BD5">
        <w:rPr>
          <w:lang w:val="fr-CA"/>
        </w:rPr>
        <w:t xml:space="preserve">a somme ainsi convertie au Taux </w:t>
      </w:r>
      <w:r w:rsidR="00C50B6C" w:rsidRPr="00B63BD5">
        <w:rPr>
          <w:lang w:val="fr-CA"/>
        </w:rPr>
        <w:t>préférentiel de la Banque</w:t>
      </w:r>
      <w:r w:rsidRPr="00B63BD5">
        <w:rPr>
          <w:lang w:val="fr-CA"/>
        </w:rPr>
        <w:t xml:space="preserve"> majoré de 3</w:t>
      </w:r>
      <w:r w:rsidR="00AC4107" w:rsidRPr="00B63BD5">
        <w:rPr>
          <w:lang w:val="fr-CA"/>
        </w:rPr>
        <w:t xml:space="preserve"> </w:t>
      </w:r>
      <w:r w:rsidRPr="00B63BD5">
        <w:rPr>
          <w:lang w:val="fr-CA"/>
        </w:rPr>
        <w:t>% par année, calculé mensuellement et</w:t>
      </w:r>
      <w:r w:rsidR="003C7F9E" w:rsidRPr="00B63BD5">
        <w:rPr>
          <w:lang w:val="fr-CA"/>
        </w:rPr>
        <w:t> </w:t>
      </w:r>
      <w:r w:rsidR="00BA296F" w:rsidRPr="00B63BD5">
        <w:rPr>
          <w:lang w:val="fr-CA"/>
        </w:rPr>
        <w:t>exigible</w:t>
      </w:r>
      <w:r w:rsidRPr="00B63BD5">
        <w:rPr>
          <w:lang w:val="fr-CA"/>
        </w:rPr>
        <w:t xml:space="preserve"> le dernier jour de chaque mois, tant avant qu</w:t>
      </w:r>
      <w:r w:rsidR="00564B0C" w:rsidRPr="00B63BD5">
        <w:rPr>
          <w:lang w:val="fr-CA"/>
        </w:rPr>
        <w:t>’</w:t>
      </w:r>
      <w:r w:rsidRPr="00B63BD5">
        <w:rPr>
          <w:lang w:val="fr-CA"/>
        </w:rPr>
        <w:t>après une demande de paiement, un</w:t>
      </w:r>
      <w:r w:rsidR="003C7F9E" w:rsidRPr="00B63BD5">
        <w:rPr>
          <w:lang w:val="fr-CA"/>
        </w:rPr>
        <w:t> </w:t>
      </w:r>
      <w:r w:rsidRPr="00B63BD5">
        <w:rPr>
          <w:lang w:val="fr-CA"/>
        </w:rPr>
        <w:t>défaut, une échéance ou un jugement et jusqu</w:t>
      </w:r>
      <w:r w:rsidR="00564B0C" w:rsidRPr="00B63BD5">
        <w:rPr>
          <w:lang w:val="fr-CA"/>
        </w:rPr>
        <w:t>’</w:t>
      </w:r>
      <w:r w:rsidRPr="00B63BD5">
        <w:rPr>
          <w:lang w:val="fr-CA"/>
        </w:rPr>
        <w:t xml:space="preserve">au paiement intégral irrévocable; </w:t>
      </w:r>
    </w:p>
    <w:p w14:paraId="48C998F6" w14:textId="208F909A" w:rsidR="009926E7" w:rsidRPr="00B63BD5" w:rsidRDefault="00235BCF" w:rsidP="00404E07">
      <w:pPr>
        <w:pStyle w:val="04LOLglNew4"/>
        <w:rPr>
          <w:lang w:val="fr-CA"/>
        </w:rPr>
      </w:pPr>
      <w:r w:rsidRPr="00B63BD5">
        <w:rPr>
          <w:lang w:val="fr-CA"/>
        </w:rPr>
        <w:t>exiger que l</w:t>
      </w:r>
      <w:r w:rsidR="00564B0C" w:rsidRPr="00B63BD5">
        <w:rPr>
          <w:lang w:val="fr-CA"/>
        </w:rPr>
        <w:t>’</w:t>
      </w:r>
      <w:r w:rsidRPr="00B63BD5">
        <w:rPr>
          <w:lang w:val="fr-CA"/>
        </w:rPr>
        <w:t xml:space="preserve">Emprunteur </w:t>
      </w:r>
      <w:r w:rsidR="005E7847" w:rsidRPr="00B63BD5">
        <w:rPr>
          <w:lang w:val="fr-CA"/>
        </w:rPr>
        <w:t>rembourse</w:t>
      </w:r>
      <w:r w:rsidRPr="00B63BD5">
        <w:rPr>
          <w:lang w:val="fr-CA"/>
        </w:rPr>
        <w:t xml:space="preserve"> </w:t>
      </w:r>
      <w:r w:rsidR="00C84CDA" w:rsidRPr="00B63BD5">
        <w:rPr>
          <w:lang w:val="fr-CA"/>
        </w:rPr>
        <w:t>l</w:t>
      </w:r>
      <w:r w:rsidR="00564B0C" w:rsidRPr="00B63BD5">
        <w:rPr>
          <w:lang w:val="fr-CA"/>
        </w:rPr>
        <w:t>’</w:t>
      </w:r>
      <w:r w:rsidR="00C84CDA" w:rsidRPr="00B63BD5">
        <w:rPr>
          <w:lang w:val="fr-CA"/>
        </w:rPr>
        <w:t>excédent</w:t>
      </w:r>
      <w:r w:rsidRPr="00B63BD5">
        <w:rPr>
          <w:lang w:val="fr-CA"/>
        </w:rPr>
        <w:t xml:space="preserve">. </w:t>
      </w:r>
    </w:p>
    <w:p w14:paraId="78FDE337" w14:textId="4CAE2B1E" w:rsidR="00B55A97" w:rsidRPr="00B63BD5" w:rsidRDefault="00814AAC" w:rsidP="000B7739">
      <w:pPr>
        <w:pStyle w:val="04LOLglNew3"/>
        <w:rPr>
          <w:lang w:val="fr-CA"/>
        </w:rPr>
      </w:pPr>
      <w:r w:rsidRPr="00B63BD5">
        <w:rPr>
          <w:lang w:val="fr-CA"/>
        </w:rPr>
        <w:t xml:space="preserve">En ce qui concerne les </w:t>
      </w:r>
      <w:r w:rsidR="00235BCF" w:rsidRPr="00B63BD5">
        <w:rPr>
          <w:lang w:val="fr-CA"/>
        </w:rPr>
        <w:t xml:space="preserve">sommes </w:t>
      </w:r>
      <w:r w:rsidRPr="00B63BD5">
        <w:rPr>
          <w:lang w:val="fr-CA"/>
        </w:rPr>
        <w:t xml:space="preserve">payables </w:t>
      </w:r>
      <w:r w:rsidR="00235BCF" w:rsidRPr="00B63BD5">
        <w:rPr>
          <w:lang w:val="fr-CA"/>
        </w:rPr>
        <w:t>par l</w:t>
      </w:r>
      <w:r w:rsidR="00564B0C" w:rsidRPr="00B63BD5">
        <w:rPr>
          <w:lang w:val="fr-CA"/>
        </w:rPr>
        <w:t>’</w:t>
      </w:r>
      <w:r w:rsidR="00235BCF" w:rsidRPr="00B63BD5">
        <w:rPr>
          <w:lang w:val="fr-CA"/>
        </w:rPr>
        <w:t>Emprunteur aux termes des présentes, ou</w:t>
      </w:r>
      <w:r w:rsidR="003C7F9E" w:rsidRPr="00B63BD5">
        <w:rPr>
          <w:lang w:val="fr-CA"/>
        </w:rPr>
        <w:t> </w:t>
      </w:r>
      <w:r w:rsidR="00235BCF" w:rsidRPr="00B63BD5">
        <w:rPr>
          <w:lang w:val="fr-CA"/>
        </w:rPr>
        <w:t>une</w:t>
      </w:r>
      <w:r w:rsidR="003C7F9E" w:rsidRPr="00B63BD5">
        <w:rPr>
          <w:lang w:val="fr-CA"/>
        </w:rPr>
        <w:t> </w:t>
      </w:r>
      <w:r w:rsidR="003944E8" w:rsidRPr="00B63BD5">
        <w:rPr>
          <w:lang w:val="fr-CA"/>
        </w:rPr>
        <w:t>ou</w:t>
      </w:r>
      <w:r w:rsidR="003C7F9E" w:rsidRPr="00B63BD5">
        <w:rPr>
          <w:lang w:val="fr-CA"/>
        </w:rPr>
        <w:t> </w:t>
      </w:r>
      <w:r w:rsidR="003944E8" w:rsidRPr="00B63BD5">
        <w:rPr>
          <w:lang w:val="fr-CA"/>
        </w:rPr>
        <w:t>plusieurs tranches</w:t>
      </w:r>
      <w:r w:rsidR="00235BCF" w:rsidRPr="00B63BD5">
        <w:rPr>
          <w:lang w:val="fr-CA"/>
        </w:rPr>
        <w:t xml:space="preserve"> de celle</w:t>
      </w:r>
      <w:r w:rsidR="003944E8" w:rsidRPr="00B63BD5">
        <w:rPr>
          <w:lang w:val="fr-CA"/>
        </w:rPr>
        <w:t>s</w:t>
      </w:r>
      <w:r w:rsidR="00235BCF" w:rsidRPr="00B63BD5">
        <w:rPr>
          <w:lang w:val="fr-CA"/>
        </w:rPr>
        <w:noBreakHyphen/>
        <w:t>ci, qui sont payables dans une monnaie autre que le Dollar canadien (la</w:t>
      </w:r>
      <w:r w:rsidR="00AC4107" w:rsidRPr="00B63BD5">
        <w:rPr>
          <w:lang w:val="fr-CA"/>
        </w:rPr>
        <w:t xml:space="preserve"> </w:t>
      </w:r>
      <w:r w:rsidR="00235BCF" w:rsidRPr="00B63BD5">
        <w:rPr>
          <w:lang w:val="fr-CA"/>
        </w:rPr>
        <w:t>«</w:t>
      </w:r>
      <w:r w:rsidR="0094743F" w:rsidRPr="00B63BD5">
        <w:rPr>
          <w:lang w:val="fr-CA"/>
        </w:rPr>
        <w:t> </w:t>
      </w:r>
      <w:r w:rsidR="00235BCF" w:rsidRPr="00B63BD5">
        <w:rPr>
          <w:b/>
          <w:lang w:val="fr-CA"/>
        </w:rPr>
        <w:t>Dette</w:t>
      </w:r>
      <w:r w:rsidR="00235BCF" w:rsidRPr="00B63BD5">
        <w:rPr>
          <w:lang w:val="fr-CA"/>
        </w:rPr>
        <w:t xml:space="preserve"> </w:t>
      </w:r>
      <w:r w:rsidRPr="00B63BD5">
        <w:rPr>
          <w:b/>
          <w:lang w:val="fr-CA"/>
        </w:rPr>
        <w:t xml:space="preserve">en </w:t>
      </w:r>
      <w:r w:rsidR="00235BCF" w:rsidRPr="00B63BD5">
        <w:rPr>
          <w:b/>
          <w:lang w:val="fr-CA"/>
        </w:rPr>
        <w:t>monnaie étrangère</w:t>
      </w:r>
      <w:r w:rsidR="0094743F" w:rsidRPr="00B63BD5">
        <w:rPr>
          <w:lang w:val="fr-CA"/>
        </w:rPr>
        <w:t> </w:t>
      </w:r>
      <w:r w:rsidR="00235BCF" w:rsidRPr="00B63BD5">
        <w:rPr>
          <w:lang w:val="fr-CA"/>
        </w:rPr>
        <w:t>»), les dispositions suivantes s</w:t>
      </w:r>
      <w:r w:rsidR="00564B0C" w:rsidRPr="00B63BD5">
        <w:rPr>
          <w:lang w:val="fr-CA"/>
        </w:rPr>
        <w:t>’</w:t>
      </w:r>
      <w:r w:rsidR="00235BCF" w:rsidRPr="00B63BD5">
        <w:rPr>
          <w:lang w:val="fr-CA"/>
        </w:rPr>
        <w:t>appliquent</w:t>
      </w:r>
      <w:r w:rsidR="00AC4107" w:rsidRPr="00B63BD5">
        <w:rPr>
          <w:lang w:val="fr-CA"/>
        </w:rPr>
        <w:t xml:space="preserve"> </w:t>
      </w:r>
      <w:r w:rsidR="00235BCF" w:rsidRPr="00B63BD5">
        <w:rPr>
          <w:lang w:val="fr-CA"/>
        </w:rPr>
        <w:t xml:space="preserve">: </w:t>
      </w:r>
    </w:p>
    <w:p w14:paraId="3F02AA9E" w14:textId="154FCE0A" w:rsidR="00B55A97" w:rsidRPr="00B63BD5" w:rsidRDefault="0058002D" w:rsidP="00404E07">
      <w:pPr>
        <w:pStyle w:val="04LOLglNew4"/>
        <w:rPr>
          <w:lang w:val="fr-CA"/>
        </w:rPr>
      </w:pPr>
      <w:r w:rsidRPr="00B63BD5">
        <w:rPr>
          <w:lang w:val="fr-CA"/>
        </w:rPr>
        <w:t>l</w:t>
      </w:r>
      <w:r w:rsidR="00235BCF" w:rsidRPr="00B63BD5">
        <w:rPr>
          <w:lang w:val="fr-CA"/>
        </w:rPr>
        <w:t xml:space="preserve">a Dette </w:t>
      </w:r>
      <w:r w:rsidR="00814AAC" w:rsidRPr="00B63BD5">
        <w:rPr>
          <w:lang w:val="fr-CA"/>
        </w:rPr>
        <w:t xml:space="preserve">en </w:t>
      </w:r>
      <w:r w:rsidR="00235BCF" w:rsidRPr="00B63BD5">
        <w:rPr>
          <w:lang w:val="fr-CA"/>
        </w:rPr>
        <w:t>monnaie étrangère contractée aux termes des présentes doit être</w:t>
      </w:r>
      <w:r w:rsidR="003944E8" w:rsidRPr="00B63BD5">
        <w:rPr>
          <w:lang w:val="fr-CA"/>
        </w:rPr>
        <w:t xml:space="preserve"> remboursée en</w:t>
      </w:r>
      <w:r w:rsidR="003C7F9E" w:rsidRPr="00B63BD5">
        <w:rPr>
          <w:lang w:val="fr-CA"/>
        </w:rPr>
        <w:t> </w:t>
      </w:r>
      <w:r w:rsidR="00235BCF" w:rsidRPr="00B63BD5">
        <w:rPr>
          <w:lang w:val="fr-CA"/>
        </w:rPr>
        <w:t>fonds</w:t>
      </w:r>
      <w:r w:rsidR="003944E8" w:rsidRPr="00B63BD5">
        <w:rPr>
          <w:lang w:val="fr-CA"/>
        </w:rPr>
        <w:t xml:space="preserve"> </w:t>
      </w:r>
      <w:r w:rsidR="00235BCF" w:rsidRPr="00B63BD5">
        <w:rPr>
          <w:lang w:val="fr-CA"/>
        </w:rPr>
        <w:t xml:space="preserve">immédiatement </w:t>
      </w:r>
      <w:r w:rsidR="00814AAC" w:rsidRPr="00B63BD5">
        <w:rPr>
          <w:lang w:val="fr-CA"/>
        </w:rPr>
        <w:t xml:space="preserve">disponibles </w:t>
      </w:r>
      <w:r w:rsidR="00235BCF" w:rsidRPr="00B63BD5">
        <w:rPr>
          <w:lang w:val="fr-CA"/>
        </w:rPr>
        <w:t>dans la monnaie ayant cours légal dans le territoire</w:t>
      </w:r>
      <w:r w:rsidR="003944E8" w:rsidRPr="00B63BD5">
        <w:rPr>
          <w:lang w:val="fr-CA"/>
        </w:rPr>
        <w:t xml:space="preserve"> dans la</w:t>
      </w:r>
      <w:r w:rsidR="003C7F9E" w:rsidRPr="00B63BD5">
        <w:rPr>
          <w:lang w:val="fr-CA"/>
        </w:rPr>
        <w:t> </w:t>
      </w:r>
      <w:r w:rsidR="003944E8" w:rsidRPr="00B63BD5">
        <w:rPr>
          <w:lang w:val="fr-CA"/>
        </w:rPr>
        <w:t>monnaie duquel</w:t>
      </w:r>
      <w:r w:rsidR="00235BCF" w:rsidRPr="00B63BD5">
        <w:rPr>
          <w:lang w:val="fr-CA"/>
        </w:rPr>
        <w:t xml:space="preserve"> la Dette </w:t>
      </w:r>
      <w:r w:rsidR="00814AAC" w:rsidRPr="00B63BD5">
        <w:rPr>
          <w:lang w:val="fr-CA"/>
        </w:rPr>
        <w:t xml:space="preserve">en </w:t>
      </w:r>
      <w:r w:rsidR="00235BCF" w:rsidRPr="00B63BD5">
        <w:rPr>
          <w:lang w:val="fr-CA"/>
        </w:rPr>
        <w:t>monnaie étrangère est</w:t>
      </w:r>
      <w:r w:rsidR="003944E8" w:rsidRPr="00B63BD5">
        <w:rPr>
          <w:lang w:val="fr-CA"/>
        </w:rPr>
        <w:t xml:space="preserve"> payable</w:t>
      </w:r>
      <w:r w:rsidR="00814AAC" w:rsidRPr="00B63BD5">
        <w:rPr>
          <w:lang w:val="fr-CA"/>
        </w:rPr>
        <w:t>,</w:t>
      </w:r>
      <w:r w:rsidR="00235BCF" w:rsidRPr="00B63BD5">
        <w:rPr>
          <w:lang w:val="fr-CA"/>
        </w:rPr>
        <w:t xml:space="preserve"> sous la forme</w:t>
      </w:r>
      <w:r w:rsidR="003944E8" w:rsidRPr="00B63BD5">
        <w:rPr>
          <w:lang w:val="fr-CA"/>
        </w:rPr>
        <w:t xml:space="preserve"> utilis</w:t>
      </w:r>
      <w:r w:rsidR="00C84CDA" w:rsidRPr="00B63BD5">
        <w:rPr>
          <w:lang w:val="fr-CA"/>
        </w:rPr>
        <w:t>é</w:t>
      </w:r>
      <w:r w:rsidR="003944E8" w:rsidRPr="00B63BD5">
        <w:rPr>
          <w:lang w:val="fr-CA"/>
        </w:rPr>
        <w:t xml:space="preserve">e </w:t>
      </w:r>
      <w:r w:rsidR="00C84CDA" w:rsidRPr="00B63BD5">
        <w:rPr>
          <w:lang w:val="fr-CA"/>
        </w:rPr>
        <w:t xml:space="preserve">habituellement </w:t>
      </w:r>
      <w:r w:rsidR="00235BCF" w:rsidRPr="00B63BD5">
        <w:rPr>
          <w:lang w:val="fr-CA"/>
        </w:rPr>
        <w:t>au moment du remboursement aux fins du règlement des paiements internationaux à Vancouver, en Colombie</w:t>
      </w:r>
      <w:r w:rsidR="00235BCF" w:rsidRPr="00B63BD5">
        <w:rPr>
          <w:lang w:val="fr-CA"/>
        </w:rPr>
        <w:noBreakHyphen/>
        <w:t xml:space="preserve">Britannique, sans compensation, indemnisation ou </w:t>
      </w:r>
      <w:r w:rsidR="00814AAC" w:rsidRPr="00B63BD5">
        <w:rPr>
          <w:lang w:val="fr-CA"/>
        </w:rPr>
        <w:lastRenderedPageBreak/>
        <w:t>demande reconventionnelle</w:t>
      </w:r>
      <w:r w:rsidR="003944E8" w:rsidRPr="00B63BD5">
        <w:rPr>
          <w:lang w:val="fr-CA"/>
        </w:rPr>
        <w:t>,</w:t>
      </w:r>
      <w:r w:rsidR="00235BCF" w:rsidRPr="00B63BD5">
        <w:rPr>
          <w:lang w:val="fr-CA"/>
        </w:rPr>
        <w:t xml:space="preserve"> </w:t>
      </w:r>
      <w:r w:rsidR="00C84CDA" w:rsidRPr="00B63BD5">
        <w:rPr>
          <w:lang w:val="fr-CA"/>
        </w:rPr>
        <w:t xml:space="preserve">ces fonds devant être </w:t>
      </w:r>
      <w:r w:rsidR="00235BCF" w:rsidRPr="00B63BD5">
        <w:rPr>
          <w:lang w:val="fr-CA"/>
        </w:rPr>
        <w:t>libre</w:t>
      </w:r>
      <w:r w:rsidR="003944E8" w:rsidRPr="00B63BD5">
        <w:rPr>
          <w:lang w:val="fr-CA"/>
        </w:rPr>
        <w:t>s</w:t>
      </w:r>
      <w:r w:rsidR="00235BCF" w:rsidRPr="00B63BD5">
        <w:rPr>
          <w:lang w:val="fr-CA"/>
        </w:rPr>
        <w:t xml:space="preserve"> et quitte</w:t>
      </w:r>
      <w:r w:rsidR="003944E8" w:rsidRPr="00B63BD5">
        <w:rPr>
          <w:lang w:val="fr-CA"/>
        </w:rPr>
        <w:t>s</w:t>
      </w:r>
      <w:r w:rsidR="00235BCF" w:rsidRPr="00B63BD5">
        <w:rPr>
          <w:lang w:val="fr-CA"/>
        </w:rPr>
        <w:t xml:space="preserve"> des taxes et impôts, des déductions, des</w:t>
      </w:r>
      <w:r w:rsidR="003C7F9E" w:rsidRPr="00B63BD5">
        <w:rPr>
          <w:lang w:val="fr-CA"/>
        </w:rPr>
        <w:t> </w:t>
      </w:r>
      <w:r w:rsidR="00235BCF" w:rsidRPr="00B63BD5">
        <w:rPr>
          <w:lang w:val="fr-CA"/>
        </w:rPr>
        <w:t>charges et des retenues actuels et futurs</w:t>
      </w:r>
      <w:r w:rsidR="003944E8" w:rsidRPr="00B63BD5">
        <w:rPr>
          <w:lang w:val="fr-CA"/>
        </w:rPr>
        <w:t xml:space="preserve"> qui</w:t>
      </w:r>
      <w:r w:rsidR="00235BCF" w:rsidRPr="00B63BD5">
        <w:rPr>
          <w:lang w:val="fr-CA"/>
        </w:rPr>
        <w:t xml:space="preserve"> s</w:t>
      </w:r>
      <w:r w:rsidR="00564B0C" w:rsidRPr="00B63BD5">
        <w:rPr>
          <w:lang w:val="fr-CA"/>
        </w:rPr>
        <w:t>’</w:t>
      </w:r>
      <w:r w:rsidR="00235BCF" w:rsidRPr="00B63BD5">
        <w:rPr>
          <w:lang w:val="fr-CA"/>
        </w:rPr>
        <w:t>y rapport</w:t>
      </w:r>
      <w:r w:rsidR="003944E8" w:rsidRPr="00B63BD5">
        <w:rPr>
          <w:lang w:val="fr-CA"/>
        </w:rPr>
        <w:t>e</w:t>
      </w:r>
      <w:r w:rsidR="00235BCF" w:rsidRPr="00B63BD5">
        <w:rPr>
          <w:lang w:val="fr-CA"/>
        </w:rPr>
        <w:t>nt</w:t>
      </w:r>
      <w:r w:rsidRPr="00B63BD5">
        <w:rPr>
          <w:lang w:val="fr-CA"/>
        </w:rPr>
        <w:t>;</w:t>
      </w:r>
      <w:r w:rsidR="00235BCF" w:rsidRPr="00B63BD5">
        <w:rPr>
          <w:lang w:val="fr-CA"/>
        </w:rPr>
        <w:t xml:space="preserve"> </w:t>
      </w:r>
    </w:p>
    <w:p w14:paraId="64585021" w14:textId="5CC89432" w:rsidR="005E67A8" w:rsidRPr="00B63BD5" w:rsidRDefault="0058002D" w:rsidP="00404E07">
      <w:pPr>
        <w:pStyle w:val="04LOLglNew4"/>
        <w:rPr>
          <w:lang w:val="fr-CA"/>
        </w:rPr>
      </w:pPr>
      <w:r w:rsidRPr="00B63BD5">
        <w:rPr>
          <w:lang w:val="fr-CA"/>
        </w:rPr>
        <w:t>s</w:t>
      </w:r>
      <w:r w:rsidR="00235BCF" w:rsidRPr="00B63BD5">
        <w:rPr>
          <w:lang w:val="fr-CA"/>
        </w:rPr>
        <w:t>i l</w:t>
      </w:r>
      <w:r w:rsidR="00564B0C" w:rsidRPr="00B63BD5">
        <w:rPr>
          <w:lang w:val="fr-CA"/>
        </w:rPr>
        <w:t>’</w:t>
      </w:r>
      <w:r w:rsidR="00235BCF" w:rsidRPr="00B63BD5">
        <w:rPr>
          <w:lang w:val="fr-CA"/>
        </w:rPr>
        <w:t xml:space="preserve">Emprunteur </w:t>
      </w:r>
      <w:r w:rsidR="007F104E" w:rsidRPr="00B63BD5">
        <w:rPr>
          <w:lang w:val="fr-CA"/>
        </w:rPr>
        <w:t>fait</w:t>
      </w:r>
      <w:r w:rsidR="00235BCF" w:rsidRPr="00B63BD5">
        <w:rPr>
          <w:lang w:val="fr-CA"/>
        </w:rPr>
        <w:t xml:space="preserve"> un paiement à la Banque</w:t>
      </w:r>
      <w:r w:rsidR="00D757B9" w:rsidRPr="00B63BD5">
        <w:rPr>
          <w:lang w:val="fr-CA"/>
        </w:rPr>
        <w:t>,</w:t>
      </w:r>
      <w:r w:rsidR="00235BCF" w:rsidRPr="00B63BD5">
        <w:rPr>
          <w:lang w:val="fr-CA"/>
        </w:rPr>
        <w:t xml:space="preserve"> ou si </w:t>
      </w:r>
      <w:r w:rsidR="00D757B9" w:rsidRPr="00B63BD5">
        <w:rPr>
          <w:lang w:val="fr-CA"/>
        </w:rPr>
        <w:t xml:space="preserve">la Banque </w:t>
      </w:r>
      <w:r w:rsidR="00897E4E" w:rsidRPr="00B63BD5">
        <w:rPr>
          <w:lang w:val="fr-CA"/>
        </w:rPr>
        <w:t>affecte</w:t>
      </w:r>
      <w:r w:rsidR="00D757B9" w:rsidRPr="00B63BD5">
        <w:rPr>
          <w:lang w:val="fr-CA"/>
        </w:rPr>
        <w:t xml:space="preserve"> </w:t>
      </w:r>
      <w:r w:rsidR="00235BCF" w:rsidRPr="00B63BD5">
        <w:rPr>
          <w:lang w:val="fr-CA"/>
        </w:rPr>
        <w:t>une somme</w:t>
      </w:r>
      <w:r w:rsidR="00897E4E" w:rsidRPr="00B63BD5">
        <w:rPr>
          <w:lang w:val="fr-CA"/>
        </w:rPr>
        <w:t xml:space="preserve"> en diminution d</w:t>
      </w:r>
      <w:r w:rsidR="00564B0C" w:rsidRPr="00B63BD5">
        <w:rPr>
          <w:lang w:val="fr-CA"/>
        </w:rPr>
        <w:t>’</w:t>
      </w:r>
      <w:r w:rsidR="00897E4E" w:rsidRPr="00B63BD5">
        <w:rPr>
          <w:lang w:val="fr-CA"/>
        </w:rPr>
        <w:t>une autre somme</w:t>
      </w:r>
      <w:r w:rsidR="00D757B9" w:rsidRPr="00B63BD5">
        <w:rPr>
          <w:lang w:val="fr-CA"/>
        </w:rPr>
        <w:t>,</w:t>
      </w:r>
      <w:r w:rsidR="00235BCF" w:rsidRPr="00B63BD5">
        <w:rPr>
          <w:lang w:val="fr-CA"/>
        </w:rPr>
        <w:t xml:space="preserve"> en Dollars canadiens </w:t>
      </w:r>
      <w:r w:rsidR="00897E4E" w:rsidRPr="00B63BD5">
        <w:rPr>
          <w:lang w:val="fr-CA"/>
        </w:rPr>
        <w:t xml:space="preserve">dans une situation où </w:t>
      </w:r>
      <w:r w:rsidR="004D78AB" w:rsidRPr="00B63BD5">
        <w:rPr>
          <w:lang w:val="fr-CA"/>
        </w:rPr>
        <w:t>la</w:t>
      </w:r>
      <w:r w:rsidR="00D757B9" w:rsidRPr="00B63BD5">
        <w:rPr>
          <w:lang w:val="fr-CA"/>
        </w:rPr>
        <w:t xml:space="preserve"> d</w:t>
      </w:r>
      <w:r w:rsidR="00235BCF" w:rsidRPr="00B63BD5">
        <w:rPr>
          <w:lang w:val="fr-CA"/>
        </w:rPr>
        <w:t>ette</w:t>
      </w:r>
      <w:r w:rsidR="004D78AB" w:rsidRPr="00B63BD5">
        <w:rPr>
          <w:lang w:val="fr-CA"/>
        </w:rPr>
        <w:t xml:space="preserve"> pertinente</w:t>
      </w:r>
      <w:r w:rsidR="00D757B9" w:rsidRPr="00B63BD5">
        <w:rPr>
          <w:lang w:val="fr-CA"/>
        </w:rPr>
        <w:t xml:space="preserve"> </w:t>
      </w:r>
      <w:r w:rsidR="00897E4E" w:rsidRPr="00B63BD5">
        <w:rPr>
          <w:lang w:val="fr-CA"/>
        </w:rPr>
        <w:t xml:space="preserve">constitue </w:t>
      </w:r>
      <w:r w:rsidR="00235BCF" w:rsidRPr="00B63BD5">
        <w:rPr>
          <w:lang w:val="fr-CA"/>
        </w:rPr>
        <w:t>une</w:t>
      </w:r>
      <w:r w:rsidR="003C7F9E" w:rsidRPr="00B63BD5">
        <w:rPr>
          <w:lang w:val="fr-CA"/>
        </w:rPr>
        <w:t> </w:t>
      </w:r>
      <w:r w:rsidR="00235BCF" w:rsidRPr="00B63BD5">
        <w:rPr>
          <w:lang w:val="fr-CA"/>
        </w:rPr>
        <w:t xml:space="preserve">Dette </w:t>
      </w:r>
      <w:r w:rsidR="00897E4E" w:rsidRPr="00B63BD5">
        <w:rPr>
          <w:lang w:val="fr-CA"/>
        </w:rPr>
        <w:t xml:space="preserve">en </w:t>
      </w:r>
      <w:r w:rsidR="00235BCF" w:rsidRPr="00B63BD5">
        <w:rPr>
          <w:lang w:val="fr-CA"/>
        </w:rPr>
        <w:t xml:space="preserve">monnaie étrangère, </w:t>
      </w:r>
      <w:r w:rsidR="00D757B9" w:rsidRPr="00B63BD5">
        <w:rPr>
          <w:lang w:val="fr-CA"/>
        </w:rPr>
        <w:t>l</w:t>
      </w:r>
      <w:r w:rsidR="00235BCF" w:rsidRPr="00B63BD5">
        <w:rPr>
          <w:lang w:val="fr-CA"/>
        </w:rPr>
        <w:t xml:space="preserve">e paiement ou </w:t>
      </w:r>
      <w:r w:rsidR="00D757B9" w:rsidRPr="00B63BD5">
        <w:rPr>
          <w:lang w:val="fr-CA"/>
        </w:rPr>
        <w:t>la</w:t>
      </w:r>
      <w:r w:rsidR="00235BCF" w:rsidRPr="00B63BD5">
        <w:rPr>
          <w:lang w:val="fr-CA"/>
        </w:rPr>
        <w:t xml:space="preserve"> somme </w:t>
      </w:r>
      <w:r w:rsidR="00D757B9" w:rsidRPr="00B63BD5">
        <w:rPr>
          <w:lang w:val="fr-CA"/>
        </w:rPr>
        <w:t>en question</w:t>
      </w:r>
      <w:r w:rsidR="004D78AB" w:rsidRPr="00B63BD5">
        <w:rPr>
          <w:lang w:val="fr-CA"/>
        </w:rPr>
        <w:t xml:space="preserve"> réglera la dette </w:t>
      </w:r>
      <w:r w:rsidR="00235BCF" w:rsidRPr="00B63BD5">
        <w:rPr>
          <w:lang w:val="fr-CA"/>
        </w:rPr>
        <w:t>de</w:t>
      </w:r>
      <w:r w:rsidR="003C7F9E" w:rsidRPr="00B63BD5">
        <w:rPr>
          <w:lang w:val="fr-CA"/>
        </w:rPr>
        <w:t> </w:t>
      </w:r>
      <w:r w:rsidR="00235BCF" w:rsidRPr="00B63BD5">
        <w:rPr>
          <w:lang w:val="fr-CA"/>
        </w:rPr>
        <w:t>l</w:t>
      </w:r>
      <w:r w:rsidR="00564B0C" w:rsidRPr="00B63BD5">
        <w:rPr>
          <w:lang w:val="fr-CA"/>
        </w:rPr>
        <w:t>’</w:t>
      </w:r>
      <w:r w:rsidR="00235BCF" w:rsidRPr="00B63BD5">
        <w:rPr>
          <w:lang w:val="fr-CA"/>
        </w:rPr>
        <w:t xml:space="preserve">Emprunteur aux termes des présentes seulement dans la mesure où la Banque </w:t>
      </w:r>
      <w:r w:rsidR="00897E4E" w:rsidRPr="00B63BD5">
        <w:rPr>
          <w:lang w:val="fr-CA"/>
        </w:rPr>
        <w:t>est en mesure d</w:t>
      </w:r>
      <w:r w:rsidR="00564B0C" w:rsidRPr="00B63BD5">
        <w:rPr>
          <w:lang w:val="fr-CA"/>
        </w:rPr>
        <w:t>’</w:t>
      </w:r>
      <w:r w:rsidR="00C84CDA" w:rsidRPr="00B63BD5">
        <w:rPr>
          <w:lang w:val="fr-CA"/>
        </w:rPr>
        <w:t xml:space="preserve">acheter, au </w:t>
      </w:r>
      <w:r w:rsidR="00235BCF" w:rsidRPr="00B63BD5">
        <w:rPr>
          <w:lang w:val="fr-CA"/>
        </w:rPr>
        <w:t xml:space="preserve">cours du change </w:t>
      </w:r>
      <w:r w:rsidR="004D78AB" w:rsidRPr="00B63BD5">
        <w:rPr>
          <w:lang w:val="fr-CA"/>
        </w:rPr>
        <w:t>qu</w:t>
      </w:r>
      <w:r w:rsidR="00564B0C" w:rsidRPr="00B63BD5">
        <w:rPr>
          <w:lang w:val="fr-CA"/>
        </w:rPr>
        <w:t>’</w:t>
      </w:r>
      <w:r w:rsidR="004D78AB" w:rsidRPr="00B63BD5">
        <w:rPr>
          <w:lang w:val="fr-CA"/>
        </w:rPr>
        <w:t xml:space="preserve">elle applique </w:t>
      </w:r>
      <w:r w:rsidR="00897E4E" w:rsidRPr="00B63BD5">
        <w:rPr>
          <w:lang w:val="fr-CA"/>
        </w:rPr>
        <w:t xml:space="preserve">selon </w:t>
      </w:r>
      <w:r w:rsidR="00235BCF" w:rsidRPr="00B63BD5">
        <w:rPr>
          <w:lang w:val="fr-CA"/>
        </w:rPr>
        <w:t xml:space="preserve">ses pratiques habituelles, </w:t>
      </w:r>
      <w:r w:rsidR="004D78AB" w:rsidRPr="00B63BD5">
        <w:rPr>
          <w:lang w:val="fr-CA"/>
        </w:rPr>
        <w:t xml:space="preserve">la somme </w:t>
      </w:r>
      <w:r w:rsidR="00897E4E" w:rsidRPr="00B63BD5">
        <w:rPr>
          <w:lang w:val="fr-CA"/>
        </w:rPr>
        <w:t>en</w:t>
      </w:r>
      <w:r w:rsidR="003C7F9E" w:rsidRPr="00B63BD5">
        <w:rPr>
          <w:lang w:val="fr-CA"/>
        </w:rPr>
        <w:t> </w:t>
      </w:r>
      <w:r w:rsidR="002A4052" w:rsidRPr="00B63BD5">
        <w:rPr>
          <w:lang w:val="fr-CA"/>
        </w:rPr>
        <w:t xml:space="preserve">monnaie </w:t>
      </w:r>
      <w:r w:rsidR="00235BCF" w:rsidRPr="00B63BD5">
        <w:rPr>
          <w:lang w:val="fr-CA"/>
        </w:rPr>
        <w:t xml:space="preserve">étrangère pertinente </w:t>
      </w:r>
      <w:r w:rsidR="00897E4E" w:rsidRPr="00B63BD5">
        <w:rPr>
          <w:lang w:val="fr-CA"/>
        </w:rPr>
        <w:t xml:space="preserve">totale </w:t>
      </w:r>
      <w:r w:rsidR="00F70240" w:rsidRPr="00B63BD5">
        <w:rPr>
          <w:lang w:val="fr-CA"/>
        </w:rPr>
        <w:t xml:space="preserve">qui est </w:t>
      </w:r>
      <w:r w:rsidR="00235BCF" w:rsidRPr="00B63BD5">
        <w:rPr>
          <w:lang w:val="fr-CA"/>
        </w:rPr>
        <w:t xml:space="preserve">exigible </w:t>
      </w:r>
      <w:r w:rsidR="00897E4E" w:rsidRPr="00B63BD5">
        <w:rPr>
          <w:lang w:val="fr-CA"/>
        </w:rPr>
        <w:t xml:space="preserve">au moyen </w:t>
      </w:r>
      <w:r w:rsidR="00235BCF" w:rsidRPr="00B63BD5">
        <w:rPr>
          <w:lang w:val="fr-CA"/>
        </w:rPr>
        <w:t>de la somme en Dollars canadiens qu</w:t>
      </w:r>
      <w:r w:rsidR="00564B0C" w:rsidRPr="00B63BD5">
        <w:rPr>
          <w:lang w:val="fr-CA"/>
        </w:rPr>
        <w:t>’</w:t>
      </w:r>
      <w:r w:rsidR="00235BCF" w:rsidRPr="00B63BD5">
        <w:rPr>
          <w:lang w:val="fr-CA"/>
        </w:rPr>
        <w:t>elle a reçue à la date de réception et</w:t>
      </w:r>
      <w:r w:rsidR="004D78AB" w:rsidRPr="00B63BD5">
        <w:rPr>
          <w:lang w:val="fr-CA"/>
        </w:rPr>
        <w:t>, si la somme en Dollars canadiens n</w:t>
      </w:r>
      <w:r w:rsidR="00564B0C" w:rsidRPr="00B63BD5">
        <w:rPr>
          <w:lang w:val="fr-CA"/>
        </w:rPr>
        <w:t>’</w:t>
      </w:r>
      <w:r w:rsidR="004D78AB" w:rsidRPr="00B63BD5">
        <w:rPr>
          <w:lang w:val="fr-CA"/>
        </w:rPr>
        <w:t>est</w:t>
      </w:r>
      <w:r w:rsidR="003C7F9E" w:rsidRPr="00B63BD5">
        <w:rPr>
          <w:lang w:val="fr-CA"/>
        </w:rPr>
        <w:t> </w:t>
      </w:r>
      <w:r w:rsidR="004D78AB" w:rsidRPr="00B63BD5">
        <w:rPr>
          <w:lang w:val="fr-CA"/>
        </w:rPr>
        <w:t>pas</w:t>
      </w:r>
      <w:r w:rsidR="003C7F9E" w:rsidRPr="00B63BD5">
        <w:rPr>
          <w:lang w:val="fr-CA"/>
        </w:rPr>
        <w:t> </w:t>
      </w:r>
      <w:r w:rsidR="004D78AB" w:rsidRPr="00B63BD5">
        <w:rPr>
          <w:lang w:val="fr-CA"/>
        </w:rPr>
        <w:t>suffisante,</w:t>
      </w:r>
      <w:r w:rsidR="00235BCF" w:rsidRPr="00B63BD5">
        <w:rPr>
          <w:lang w:val="fr-CA"/>
        </w:rPr>
        <w:t xml:space="preserve"> l</w:t>
      </w:r>
      <w:r w:rsidR="00564B0C" w:rsidRPr="00B63BD5">
        <w:rPr>
          <w:lang w:val="fr-CA"/>
        </w:rPr>
        <w:t>’</w:t>
      </w:r>
      <w:r w:rsidR="00235BCF" w:rsidRPr="00B63BD5">
        <w:rPr>
          <w:lang w:val="fr-CA"/>
        </w:rPr>
        <w:t xml:space="preserve">Emprunteur </w:t>
      </w:r>
      <w:r w:rsidR="004D78AB" w:rsidRPr="00B63BD5">
        <w:rPr>
          <w:lang w:val="fr-CA"/>
        </w:rPr>
        <w:t>demeure</w:t>
      </w:r>
      <w:r w:rsidR="00897E4E" w:rsidRPr="00B63BD5">
        <w:rPr>
          <w:lang w:val="fr-CA"/>
        </w:rPr>
        <w:t>ra</w:t>
      </w:r>
      <w:r w:rsidR="00235BCF" w:rsidRPr="00B63BD5">
        <w:rPr>
          <w:lang w:val="fr-CA"/>
        </w:rPr>
        <w:t xml:space="preserve"> responsable envers la Banque de la différence entre</w:t>
      </w:r>
      <w:r w:rsidR="003C7F9E" w:rsidRPr="00B63BD5">
        <w:rPr>
          <w:lang w:val="fr-CA"/>
        </w:rPr>
        <w:t> </w:t>
      </w:r>
      <w:r w:rsidR="00235BCF" w:rsidRPr="00B63BD5">
        <w:rPr>
          <w:lang w:val="fr-CA"/>
        </w:rPr>
        <w:t>les deux</w:t>
      </w:r>
      <w:r w:rsidR="00AC4107" w:rsidRPr="00B63BD5">
        <w:rPr>
          <w:lang w:val="fr-CA"/>
        </w:rPr>
        <w:t xml:space="preserve"> </w:t>
      </w:r>
      <w:r w:rsidR="00235BCF" w:rsidRPr="00B63BD5">
        <w:rPr>
          <w:lang w:val="fr-CA"/>
        </w:rPr>
        <w:t>sommes (et de l</w:t>
      </w:r>
      <w:r w:rsidR="00564B0C" w:rsidRPr="00B63BD5">
        <w:rPr>
          <w:lang w:val="fr-CA"/>
        </w:rPr>
        <w:t>’</w:t>
      </w:r>
      <w:r w:rsidR="00235BCF" w:rsidRPr="00B63BD5">
        <w:rPr>
          <w:lang w:val="fr-CA"/>
        </w:rPr>
        <w:t>intérêt calculé et payable conformément aux modalités de la dette sous</w:t>
      </w:r>
      <w:r w:rsidR="00235BCF" w:rsidRPr="00B63BD5">
        <w:rPr>
          <w:lang w:val="fr-CA"/>
        </w:rPr>
        <w:noBreakHyphen/>
        <w:t xml:space="preserve">jacente pertinente) et il convient </w:t>
      </w:r>
      <w:r w:rsidR="00897E4E" w:rsidRPr="00B63BD5">
        <w:rPr>
          <w:lang w:val="fr-CA"/>
        </w:rPr>
        <w:t xml:space="preserve">par les présentes </w:t>
      </w:r>
      <w:r w:rsidR="00235BCF" w:rsidRPr="00B63BD5">
        <w:rPr>
          <w:lang w:val="fr-CA"/>
        </w:rPr>
        <w:t>d</w:t>
      </w:r>
      <w:r w:rsidR="00564B0C" w:rsidRPr="00B63BD5">
        <w:rPr>
          <w:lang w:val="fr-CA"/>
        </w:rPr>
        <w:t>’</w:t>
      </w:r>
      <w:r w:rsidR="00235BCF" w:rsidRPr="00B63BD5">
        <w:rPr>
          <w:lang w:val="fr-CA"/>
        </w:rPr>
        <w:t xml:space="preserve">indemniser la Banque à </w:t>
      </w:r>
      <w:r w:rsidR="004D78AB" w:rsidRPr="00B63BD5">
        <w:rPr>
          <w:lang w:val="fr-CA"/>
        </w:rPr>
        <w:t xml:space="preserve">cet </w:t>
      </w:r>
      <w:r w:rsidR="00235BCF" w:rsidRPr="00B63BD5">
        <w:rPr>
          <w:lang w:val="fr-CA"/>
        </w:rPr>
        <w:t>égard</w:t>
      </w:r>
      <w:r w:rsidRPr="00B63BD5">
        <w:rPr>
          <w:lang w:val="fr-CA"/>
        </w:rPr>
        <w:t>;</w:t>
      </w:r>
      <w:r w:rsidR="00235BCF" w:rsidRPr="00B63BD5">
        <w:rPr>
          <w:lang w:val="fr-CA"/>
        </w:rPr>
        <w:t xml:space="preserve"> </w:t>
      </w:r>
    </w:p>
    <w:p w14:paraId="2B06EEF0" w14:textId="0F56C12D" w:rsidR="00B55A97" w:rsidRPr="00B63BD5" w:rsidRDefault="0058002D" w:rsidP="00404E07">
      <w:pPr>
        <w:pStyle w:val="04LOLglNew4"/>
        <w:rPr>
          <w:lang w:val="fr-CA"/>
        </w:rPr>
      </w:pPr>
      <w:r w:rsidRPr="00B63BD5">
        <w:rPr>
          <w:lang w:val="fr-CA"/>
        </w:rPr>
        <w:t>l</w:t>
      </w:r>
      <w:r w:rsidR="00564B0C" w:rsidRPr="00B63BD5">
        <w:rPr>
          <w:lang w:val="fr-CA"/>
        </w:rPr>
        <w:t>’</w:t>
      </w:r>
      <w:r w:rsidR="00235BCF" w:rsidRPr="00B63BD5">
        <w:rPr>
          <w:lang w:val="fr-CA"/>
        </w:rPr>
        <w:t xml:space="preserve">Emprunteur doit indemniser la Banque et la tenir quitte des pertes </w:t>
      </w:r>
      <w:r w:rsidR="00897E4E" w:rsidRPr="00B63BD5">
        <w:rPr>
          <w:lang w:val="fr-CA"/>
        </w:rPr>
        <w:t>qu</w:t>
      </w:r>
      <w:r w:rsidR="00564B0C" w:rsidRPr="00B63BD5">
        <w:rPr>
          <w:lang w:val="fr-CA"/>
        </w:rPr>
        <w:t>’</w:t>
      </w:r>
      <w:r w:rsidR="00897E4E" w:rsidRPr="00B63BD5">
        <w:rPr>
          <w:lang w:val="fr-CA"/>
        </w:rPr>
        <w:t xml:space="preserve">elle pourrait subir </w:t>
      </w:r>
      <w:r w:rsidR="00235BCF" w:rsidRPr="00B63BD5">
        <w:rPr>
          <w:lang w:val="fr-CA"/>
        </w:rPr>
        <w:t>en raison de la fluctuation d</w:t>
      </w:r>
      <w:r w:rsidR="004D78AB" w:rsidRPr="00B63BD5">
        <w:rPr>
          <w:lang w:val="fr-CA"/>
        </w:rPr>
        <w:t xml:space="preserve">e la valeur </w:t>
      </w:r>
      <w:r w:rsidR="00235BCF" w:rsidRPr="00B63BD5">
        <w:rPr>
          <w:lang w:val="fr-CA"/>
        </w:rPr>
        <w:t xml:space="preserve">du Dollar canadien par rapport à la </w:t>
      </w:r>
      <w:r w:rsidR="002A4052" w:rsidRPr="00B63BD5">
        <w:rPr>
          <w:lang w:val="fr-CA"/>
        </w:rPr>
        <w:t xml:space="preserve">monnaie </w:t>
      </w:r>
      <w:r w:rsidR="00235BCF" w:rsidRPr="00B63BD5">
        <w:rPr>
          <w:lang w:val="fr-CA"/>
        </w:rPr>
        <w:t>étrangère pertinente entre la date</w:t>
      </w:r>
      <w:r w:rsidR="004D78AB" w:rsidRPr="00B63BD5">
        <w:rPr>
          <w:lang w:val="fr-CA"/>
        </w:rPr>
        <w:t xml:space="preserve"> à laquelle </w:t>
      </w:r>
      <w:r w:rsidR="00235BCF" w:rsidRPr="00B63BD5">
        <w:rPr>
          <w:lang w:val="fr-CA"/>
        </w:rPr>
        <w:t xml:space="preserve">la Dette </w:t>
      </w:r>
      <w:r w:rsidR="00897E4E" w:rsidRPr="00B63BD5">
        <w:rPr>
          <w:lang w:val="fr-CA"/>
        </w:rPr>
        <w:t xml:space="preserve">en </w:t>
      </w:r>
      <w:r w:rsidR="00235BCF" w:rsidRPr="00B63BD5">
        <w:rPr>
          <w:lang w:val="fr-CA"/>
        </w:rPr>
        <w:t>monnaie étrangère</w:t>
      </w:r>
      <w:r w:rsidR="004D78AB" w:rsidRPr="00B63BD5">
        <w:rPr>
          <w:lang w:val="fr-CA"/>
        </w:rPr>
        <w:t xml:space="preserve"> devient exigible</w:t>
      </w:r>
      <w:r w:rsidR="00235BCF" w:rsidRPr="00B63BD5">
        <w:rPr>
          <w:lang w:val="fr-CA"/>
        </w:rPr>
        <w:t xml:space="preserve"> et la date du remboursement intégral, définitif et irrévocable de celle</w:t>
      </w:r>
      <w:r w:rsidR="00235BCF" w:rsidRPr="00B63BD5">
        <w:rPr>
          <w:lang w:val="fr-CA"/>
        </w:rPr>
        <w:noBreakHyphen/>
        <w:t>ci à la Banque</w:t>
      </w:r>
      <w:r w:rsidRPr="00B63BD5">
        <w:rPr>
          <w:lang w:val="fr-CA"/>
        </w:rPr>
        <w:t>;</w:t>
      </w:r>
      <w:r w:rsidR="00235BCF" w:rsidRPr="00B63BD5">
        <w:rPr>
          <w:lang w:val="fr-CA"/>
        </w:rPr>
        <w:t xml:space="preserve"> </w:t>
      </w:r>
    </w:p>
    <w:p w14:paraId="440924B6" w14:textId="60581E69" w:rsidR="00B55A97" w:rsidRPr="00B63BD5" w:rsidRDefault="0058002D" w:rsidP="00404E07">
      <w:pPr>
        <w:pStyle w:val="04LOLglNew4"/>
        <w:rPr>
          <w:lang w:val="fr-CA"/>
        </w:rPr>
      </w:pPr>
      <w:r w:rsidRPr="00B63BD5">
        <w:rPr>
          <w:lang w:val="fr-CA"/>
        </w:rPr>
        <w:t>s</w:t>
      </w:r>
      <w:r w:rsidR="00564B0C" w:rsidRPr="00B63BD5">
        <w:rPr>
          <w:lang w:val="fr-CA"/>
        </w:rPr>
        <w:t>’</w:t>
      </w:r>
      <w:r w:rsidR="00897E4E" w:rsidRPr="00B63BD5">
        <w:rPr>
          <w:lang w:val="fr-CA"/>
        </w:rPr>
        <w:t>il est nécessaire, dans le but d</w:t>
      </w:r>
      <w:r w:rsidR="00564B0C" w:rsidRPr="00B63BD5">
        <w:rPr>
          <w:lang w:val="fr-CA"/>
        </w:rPr>
        <w:t>’</w:t>
      </w:r>
      <w:r w:rsidR="00897E4E" w:rsidRPr="00B63BD5">
        <w:rPr>
          <w:lang w:val="fr-CA"/>
        </w:rPr>
        <w:t xml:space="preserve">intenter des </w:t>
      </w:r>
      <w:r w:rsidR="00235BCF" w:rsidRPr="00B63BD5">
        <w:rPr>
          <w:lang w:val="fr-CA"/>
        </w:rPr>
        <w:t>poursuites</w:t>
      </w:r>
      <w:r w:rsidR="003E786D" w:rsidRPr="00B63BD5">
        <w:rPr>
          <w:lang w:val="fr-CA"/>
        </w:rPr>
        <w:t xml:space="preserve"> </w:t>
      </w:r>
      <w:r w:rsidR="00235BCF" w:rsidRPr="00B63BD5">
        <w:rPr>
          <w:lang w:val="fr-CA"/>
        </w:rPr>
        <w:t>à l</w:t>
      </w:r>
      <w:r w:rsidR="00564B0C" w:rsidRPr="00B63BD5">
        <w:rPr>
          <w:lang w:val="fr-CA"/>
        </w:rPr>
        <w:t>’</w:t>
      </w:r>
      <w:r w:rsidR="00235BCF" w:rsidRPr="00B63BD5">
        <w:rPr>
          <w:lang w:val="fr-CA"/>
        </w:rPr>
        <w:t>encontre de l</w:t>
      </w:r>
      <w:r w:rsidR="00564B0C" w:rsidRPr="00B63BD5">
        <w:rPr>
          <w:lang w:val="fr-CA"/>
        </w:rPr>
        <w:t>’</w:t>
      </w:r>
      <w:r w:rsidR="00235BCF" w:rsidRPr="00B63BD5">
        <w:rPr>
          <w:lang w:val="fr-CA"/>
        </w:rPr>
        <w:t xml:space="preserve">Emprunteur </w:t>
      </w:r>
      <w:r w:rsidR="003E786D" w:rsidRPr="00B63BD5">
        <w:rPr>
          <w:lang w:val="fr-CA"/>
        </w:rPr>
        <w:t>en vue</w:t>
      </w:r>
      <w:r w:rsidR="00235BCF" w:rsidRPr="00B63BD5">
        <w:rPr>
          <w:lang w:val="fr-CA"/>
        </w:rPr>
        <w:t xml:space="preserve"> de</w:t>
      </w:r>
      <w:r w:rsidR="003C7F9E" w:rsidRPr="00B63BD5">
        <w:rPr>
          <w:lang w:val="fr-CA"/>
        </w:rPr>
        <w:t> </w:t>
      </w:r>
      <w:r w:rsidR="00235BCF" w:rsidRPr="00B63BD5">
        <w:rPr>
          <w:lang w:val="fr-CA"/>
        </w:rPr>
        <w:t>le</w:t>
      </w:r>
      <w:r w:rsidR="003C7F9E" w:rsidRPr="00B63BD5">
        <w:rPr>
          <w:lang w:val="fr-CA"/>
        </w:rPr>
        <w:t> </w:t>
      </w:r>
      <w:r w:rsidR="00235BCF" w:rsidRPr="00B63BD5">
        <w:rPr>
          <w:lang w:val="fr-CA"/>
        </w:rPr>
        <w:t xml:space="preserve">contraindre à rembourser </w:t>
      </w:r>
      <w:r w:rsidR="00897E4E" w:rsidRPr="00B63BD5">
        <w:rPr>
          <w:lang w:val="fr-CA"/>
        </w:rPr>
        <w:t xml:space="preserve">les </w:t>
      </w:r>
      <w:r w:rsidR="00235BCF" w:rsidRPr="00B63BD5">
        <w:rPr>
          <w:lang w:val="fr-CA"/>
        </w:rPr>
        <w:t xml:space="preserve">dettes </w:t>
      </w:r>
      <w:r w:rsidR="00897E4E" w:rsidRPr="00B63BD5">
        <w:rPr>
          <w:lang w:val="fr-CA"/>
        </w:rPr>
        <w:t>qu</w:t>
      </w:r>
      <w:r w:rsidR="00564B0C" w:rsidRPr="00B63BD5">
        <w:rPr>
          <w:lang w:val="fr-CA"/>
        </w:rPr>
        <w:t>’</w:t>
      </w:r>
      <w:r w:rsidR="00897E4E" w:rsidRPr="00B63BD5">
        <w:rPr>
          <w:lang w:val="fr-CA"/>
        </w:rPr>
        <w:t xml:space="preserve">il a </w:t>
      </w:r>
      <w:r w:rsidR="00235BCF" w:rsidRPr="00B63BD5">
        <w:rPr>
          <w:lang w:val="fr-CA"/>
        </w:rPr>
        <w:t>contractées aux termes des Facilités de crédit, de</w:t>
      </w:r>
      <w:r w:rsidR="003C7F9E" w:rsidRPr="00B63BD5">
        <w:rPr>
          <w:lang w:val="fr-CA"/>
        </w:rPr>
        <w:t> </w:t>
      </w:r>
      <w:r w:rsidR="00235BCF" w:rsidRPr="00B63BD5">
        <w:rPr>
          <w:lang w:val="fr-CA"/>
        </w:rPr>
        <w:t xml:space="preserve">convertir une somme </w:t>
      </w:r>
      <w:r w:rsidR="00897E4E" w:rsidRPr="00B63BD5">
        <w:rPr>
          <w:lang w:val="fr-CA"/>
        </w:rPr>
        <w:t xml:space="preserve">en </w:t>
      </w:r>
      <w:r w:rsidR="002A4052" w:rsidRPr="00B63BD5">
        <w:rPr>
          <w:lang w:val="fr-CA"/>
        </w:rPr>
        <w:t xml:space="preserve">monnaie </w:t>
      </w:r>
      <w:r w:rsidR="00235BCF" w:rsidRPr="00B63BD5">
        <w:rPr>
          <w:lang w:val="fr-CA"/>
        </w:rPr>
        <w:t xml:space="preserve">étrangère </w:t>
      </w:r>
      <w:r w:rsidR="00897E4E" w:rsidRPr="00B63BD5">
        <w:rPr>
          <w:lang w:val="fr-CA"/>
        </w:rPr>
        <w:t xml:space="preserve">due aux termes des présentes </w:t>
      </w:r>
      <w:r w:rsidR="00235BCF" w:rsidRPr="00B63BD5">
        <w:rPr>
          <w:lang w:val="fr-CA"/>
        </w:rPr>
        <w:t xml:space="preserve">en Dollars canadiens, le cours du change utilisé </w:t>
      </w:r>
      <w:r w:rsidR="00897E4E" w:rsidRPr="00B63BD5">
        <w:rPr>
          <w:lang w:val="fr-CA"/>
        </w:rPr>
        <w:t xml:space="preserve">à cette fin sera le </w:t>
      </w:r>
      <w:r w:rsidR="00235BCF" w:rsidRPr="00B63BD5">
        <w:rPr>
          <w:lang w:val="fr-CA"/>
        </w:rPr>
        <w:t>cours du change auquel la Banque pourrait,</w:t>
      </w:r>
      <w:r w:rsidR="00897E4E" w:rsidRPr="00B63BD5">
        <w:rPr>
          <w:lang w:val="fr-CA"/>
        </w:rPr>
        <w:t xml:space="preserve"> selon ses </w:t>
      </w:r>
      <w:r w:rsidR="00235BCF" w:rsidRPr="00B63BD5">
        <w:rPr>
          <w:lang w:val="fr-CA"/>
        </w:rPr>
        <w:t xml:space="preserve">pratiques habituelles, acheter des Dollars canadiens </w:t>
      </w:r>
      <w:r w:rsidR="00897E4E" w:rsidRPr="00B63BD5">
        <w:rPr>
          <w:lang w:val="fr-CA"/>
        </w:rPr>
        <w:t xml:space="preserve">au moyen de la somme en </w:t>
      </w:r>
      <w:r w:rsidR="002A4052" w:rsidRPr="00B63BD5">
        <w:rPr>
          <w:lang w:val="fr-CA"/>
        </w:rPr>
        <w:t xml:space="preserve">monnaie </w:t>
      </w:r>
      <w:r w:rsidR="00235BCF" w:rsidRPr="00B63BD5">
        <w:rPr>
          <w:lang w:val="fr-CA"/>
        </w:rPr>
        <w:t>étrangère</w:t>
      </w:r>
      <w:r w:rsidR="00C50B6C" w:rsidRPr="00B63BD5">
        <w:rPr>
          <w:lang w:val="fr-CA"/>
        </w:rPr>
        <w:t xml:space="preserve"> réclamée comme étan</w:t>
      </w:r>
      <w:r w:rsidR="001E1971" w:rsidRPr="00B63BD5">
        <w:rPr>
          <w:lang w:val="fr-CA"/>
        </w:rPr>
        <w:t>t</w:t>
      </w:r>
      <w:r w:rsidR="00C50B6C" w:rsidRPr="00B63BD5">
        <w:rPr>
          <w:lang w:val="fr-CA"/>
        </w:rPr>
        <w:t xml:space="preserve"> </w:t>
      </w:r>
      <w:r w:rsidR="00235BCF" w:rsidRPr="00B63BD5">
        <w:rPr>
          <w:lang w:val="fr-CA"/>
        </w:rPr>
        <w:t xml:space="preserve">exigible aux termes des présentes le Jour ouvrable qui précède celui où ces </w:t>
      </w:r>
      <w:r w:rsidR="004E4DF9" w:rsidRPr="00B63BD5">
        <w:rPr>
          <w:lang w:val="fr-CA"/>
        </w:rPr>
        <w:t>poursuites</w:t>
      </w:r>
      <w:r w:rsidR="00235BCF" w:rsidRPr="00B63BD5">
        <w:rPr>
          <w:lang w:val="fr-CA"/>
        </w:rPr>
        <w:t xml:space="preserve"> sont intentées</w:t>
      </w:r>
      <w:r w:rsidRPr="00B63BD5">
        <w:rPr>
          <w:lang w:val="fr-CA"/>
        </w:rPr>
        <w:t>; et</w:t>
      </w:r>
      <w:r w:rsidR="00235BCF" w:rsidRPr="00B63BD5">
        <w:rPr>
          <w:lang w:val="fr-CA"/>
        </w:rPr>
        <w:t xml:space="preserve"> </w:t>
      </w:r>
    </w:p>
    <w:p w14:paraId="2DD22473" w14:textId="29FC99AB" w:rsidR="00A043DE" w:rsidRPr="00B63BD5" w:rsidRDefault="0058002D" w:rsidP="00404E07">
      <w:pPr>
        <w:pStyle w:val="04LOLglNew4"/>
        <w:rPr>
          <w:lang w:val="fr-CA"/>
        </w:rPr>
      </w:pPr>
      <w:r w:rsidRPr="00B63BD5">
        <w:rPr>
          <w:lang w:val="fr-CA"/>
        </w:rPr>
        <w:t>l</w:t>
      </w:r>
      <w:r w:rsidR="00564B0C" w:rsidRPr="00B63BD5">
        <w:rPr>
          <w:lang w:val="fr-CA"/>
        </w:rPr>
        <w:t>’</w:t>
      </w:r>
      <w:r w:rsidR="00F70240" w:rsidRPr="00B63BD5">
        <w:rPr>
          <w:lang w:val="fr-CA"/>
        </w:rPr>
        <w:t>o</w:t>
      </w:r>
      <w:r w:rsidR="002603D0" w:rsidRPr="00B63BD5">
        <w:rPr>
          <w:lang w:val="fr-CA"/>
        </w:rPr>
        <w:t>bligation</w:t>
      </w:r>
      <w:r w:rsidR="00C50B6C" w:rsidRPr="00B63BD5">
        <w:rPr>
          <w:lang w:val="fr-CA"/>
        </w:rPr>
        <w:t xml:space="preserve"> de</w:t>
      </w:r>
      <w:r w:rsidR="002603D0" w:rsidRPr="00B63BD5">
        <w:rPr>
          <w:lang w:val="fr-CA"/>
        </w:rPr>
        <w:t xml:space="preserve"> l</w:t>
      </w:r>
      <w:r w:rsidR="00564B0C" w:rsidRPr="00B63BD5">
        <w:rPr>
          <w:lang w:val="fr-CA"/>
        </w:rPr>
        <w:t>’</w:t>
      </w:r>
      <w:r w:rsidR="002603D0" w:rsidRPr="00B63BD5">
        <w:rPr>
          <w:lang w:val="fr-CA"/>
        </w:rPr>
        <w:t xml:space="preserve">Emprunteur relativement à une </w:t>
      </w:r>
      <w:r w:rsidR="00897E4E" w:rsidRPr="00B63BD5">
        <w:rPr>
          <w:lang w:val="fr-CA"/>
        </w:rPr>
        <w:t xml:space="preserve">telle </w:t>
      </w:r>
      <w:r w:rsidR="002603D0" w:rsidRPr="00B63BD5">
        <w:rPr>
          <w:lang w:val="fr-CA"/>
        </w:rPr>
        <w:t xml:space="preserve">somme </w:t>
      </w:r>
      <w:r w:rsidR="00F70240" w:rsidRPr="00B63BD5">
        <w:rPr>
          <w:lang w:val="fr-CA"/>
        </w:rPr>
        <w:t>qu</w:t>
      </w:r>
      <w:r w:rsidR="00564B0C" w:rsidRPr="00B63BD5">
        <w:rPr>
          <w:lang w:val="fr-CA"/>
        </w:rPr>
        <w:t>’</w:t>
      </w:r>
      <w:r w:rsidR="00F70240" w:rsidRPr="00B63BD5">
        <w:rPr>
          <w:lang w:val="fr-CA"/>
        </w:rPr>
        <w:t xml:space="preserve">il </w:t>
      </w:r>
      <w:r w:rsidR="002603D0" w:rsidRPr="00B63BD5">
        <w:rPr>
          <w:lang w:val="fr-CA"/>
        </w:rPr>
        <w:t>d</w:t>
      </w:r>
      <w:r w:rsidR="00F70240" w:rsidRPr="00B63BD5">
        <w:rPr>
          <w:lang w:val="fr-CA"/>
        </w:rPr>
        <w:t xml:space="preserve">oit </w:t>
      </w:r>
      <w:r w:rsidR="002603D0" w:rsidRPr="00B63BD5">
        <w:rPr>
          <w:lang w:val="fr-CA"/>
        </w:rPr>
        <w:t>à la Banque aux termes des</w:t>
      </w:r>
      <w:r w:rsidR="003C7F9E" w:rsidRPr="00B63BD5">
        <w:rPr>
          <w:lang w:val="fr-CA"/>
        </w:rPr>
        <w:t> </w:t>
      </w:r>
      <w:r w:rsidR="002603D0" w:rsidRPr="00B63BD5">
        <w:rPr>
          <w:lang w:val="fr-CA"/>
        </w:rPr>
        <w:t xml:space="preserve">présentes sera, nonobstant tout jugement exprimé en Dollars canadiens, </w:t>
      </w:r>
      <w:r w:rsidR="00897E4E" w:rsidRPr="00B63BD5">
        <w:rPr>
          <w:lang w:val="fr-CA"/>
        </w:rPr>
        <w:t xml:space="preserve">remplie </w:t>
      </w:r>
      <w:r w:rsidR="002603D0" w:rsidRPr="00B63BD5">
        <w:rPr>
          <w:lang w:val="fr-CA"/>
        </w:rPr>
        <w:t xml:space="preserve">seulement dans la mesure où le Jour ouvrable suivant </w:t>
      </w:r>
      <w:r w:rsidR="00897E4E" w:rsidRPr="00B63BD5">
        <w:rPr>
          <w:lang w:val="fr-CA"/>
        </w:rPr>
        <w:t xml:space="preserve">celui où elle a reçu </w:t>
      </w:r>
      <w:r w:rsidR="002603D0" w:rsidRPr="00B63BD5">
        <w:rPr>
          <w:lang w:val="fr-CA"/>
        </w:rPr>
        <w:t xml:space="preserve">une somme </w:t>
      </w:r>
      <w:r w:rsidR="00F70240" w:rsidRPr="00B63BD5">
        <w:rPr>
          <w:lang w:val="fr-CA"/>
        </w:rPr>
        <w:t>déclarée due</w:t>
      </w:r>
      <w:r w:rsidR="002603D0" w:rsidRPr="00B63BD5">
        <w:rPr>
          <w:lang w:val="fr-CA"/>
        </w:rPr>
        <w:t xml:space="preserve"> en Dollars canadiens</w:t>
      </w:r>
      <w:r w:rsidR="00897E4E" w:rsidRPr="00B63BD5">
        <w:rPr>
          <w:lang w:val="fr-CA"/>
        </w:rPr>
        <w:t xml:space="preserve"> dans le cadre d</w:t>
      </w:r>
      <w:r w:rsidR="00564B0C" w:rsidRPr="00B63BD5">
        <w:rPr>
          <w:lang w:val="fr-CA"/>
        </w:rPr>
        <w:t>’</w:t>
      </w:r>
      <w:r w:rsidR="00897E4E" w:rsidRPr="00B63BD5">
        <w:rPr>
          <w:lang w:val="fr-CA"/>
        </w:rPr>
        <w:t>un jugement</w:t>
      </w:r>
      <w:r w:rsidR="002603D0" w:rsidRPr="00B63BD5">
        <w:rPr>
          <w:lang w:val="fr-CA"/>
        </w:rPr>
        <w:t xml:space="preserve">, la Banque </w:t>
      </w:r>
      <w:r w:rsidR="00897E4E" w:rsidRPr="00B63BD5">
        <w:rPr>
          <w:lang w:val="fr-CA"/>
        </w:rPr>
        <w:t>est en mesure d</w:t>
      </w:r>
      <w:r w:rsidR="00564B0C" w:rsidRPr="00B63BD5">
        <w:rPr>
          <w:lang w:val="fr-CA"/>
        </w:rPr>
        <w:t>’</w:t>
      </w:r>
      <w:r w:rsidR="00897E4E" w:rsidRPr="00B63BD5">
        <w:rPr>
          <w:lang w:val="fr-CA"/>
        </w:rPr>
        <w:t xml:space="preserve">acheter, selon </w:t>
      </w:r>
      <w:r w:rsidR="002603D0" w:rsidRPr="00B63BD5">
        <w:rPr>
          <w:lang w:val="fr-CA"/>
        </w:rPr>
        <w:t xml:space="preserve">ses pratiques habituelles, </w:t>
      </w:r>
      <w:r w:rsidR="00897E4E" w:rsidRPr="00B63BD5">
        <w:rPr>
          <w:lang w:val="fr-CA"/>
        </w:rPr>
        <w:t xml:space="preserve">la somme en </w:t>
      </w:r>
      <w:r w:rsidR="002A4052" w:rsidRPr="00B63BD5">
        <w:rPr>
          <w:lang w:val="fr-CA"/>
        </w:rPr>
        <w:t xml:space="preserve">monnaie </w:t>
      </w:r>
      <w:r w:rsidR="002603D0" w:rsidRPr="00B63BD5">
        <w:rPr>
          <w:lang w:val="fr-CA"/>
        </w:rPr>
        <w:t xml:space="preserve">étrangère pertinente totale qui lui est due </w:t>
      </w:r>
      <w:r w:rsidR="00897E4E" w:rsidRPr="00B63BD5">
        <w:rPr>
          <w:lang w:val="fr-CA"/>
        </w:rPr>
        <w:t>au moyen de</w:t>
      </w:r>
      <w:r w:rsidR="003C7F9E" w:rsidRPr="00B63BD5">
        <w:rPr>
          <w:lang w:val="fr-CA"/>
        </w:rPr>
        <w:t> </w:t>
      </w:r>
      <w:r w:rsidR="00897E4E" w:rsidRPr="00B63BD5">
        <w:rPr>
          <w:lang w:val="fr-CA"/>
        </w:rPr>
        <w:t>la</w:t>
      </w:r>
      <w:r w:rsidR="003C7F9E" w:rsidRPr="00B63BD5">
        <w:rPr>
          <w:lang w:val="fr-CA"/>
        </w:rPr>
        <w:t> </w:t>
      </w:r>
      <w:r w:rsidR="00897E4E" w:rsidRPr="00B63BD5">
        <w:rPr>
          <w:lang w:val="fr-CA"/>
        </w:rPr>
        <w:t xml:space="preserve">somme en </w:t>
      </w:r>
      <w:r w:rsidR="002603D0" w:rsidRPr="00B63BD5">
        <w:rPr>
          <w:lang w:val="fr-CA"/>
        </w:rPr>
        <w:t>Dollars canadiens</w:t>
      </w:r>
      <w:r w:rsidR="00897E4E" w:rsidRPr="00B63BD5">
        <w:rPr>
          <w:lang w:val="fr-CA"/>
        </w:rPr>
        <w:t xml:space="preserve"> qu</w:t>
      </w:r>
      <w:r w:rsidR="00564B0C" w:rsidRPr="00B63BD5">
        <w:rPr>
          <w:lang w:val="fr-CA"/>
        </w:rPr>
        <w:t>’</w:t>
      </w:r>
      <w:r w:rsidR="00897E4E" w:rsidRPr="00B63BD5">
        <w:rPr>
          <w:lang w:val="fr-CA"/>
        </w:rPr>
        <w:t>elle a reçue</w:t>
      </w:r>
      <w:r w:rsidR="002603D0" w:rsidRPr="00B63BD5">
        <w:rPr>
          <w:lang w:val="fr-CA"/>
        </w:rPr>
        <w:t xml:space="preserve">; si la somme </w:t>
      </w:r>
      <w:r w:rsidR="00897E4E" w:rsidRPr="00B63BD5">
        <w:rPr>
          <w:lang w:val="fr-CA"/>
        </w:rPr>
        <w:t xml:space="preserve">en </w:t>
      </w:r>
      <w:r w:rsidR="002A4052" w:rsidRPr="00B63BD5">
        <w:rPr>
          <w:lang w:val="fr-CA"/>
        </w:rPr>
        <w:t xml:space="preserve">monnaie </w:t>
      </w:r>
      <w:r w:rsidR="002603D0" w:rsidRPr="00B63BD5">
        <w:rPr>
          <w:lang w:val="fr-CA"/>
        </w:rPr>
        <w:t xml:space="preserve">étrangère ainsi achetée est inférieure à </w:t>
      </w:r>
      <w:r w:rsidR="00F70240" w:rsidRPr="00B63BD5">
        <w:rPr>
          <w:lang w:val="fr-CA"/>
        </w:rPr>
        <w:t>la somme</w:t>
      </w:r>
      <w:r w:rsidR="006B2BF2" w:rsidRPr="00B63BD5">
        <w:rPr>
          <w:lang w:val="fr-CA"/>
        </w:rPr>
        <w:t xml:space="preserve">, exprimée en cette monnaie, qui est </w:t>
      </w:r>
      <w:r w:rsidR="002603D0" w:rsidRPr="00B63BD5">
        <w:rPr>
          <w:lang w:val="fr-CA"/>
        </w:rPr>
        <w:t>effectivement due à</w:t>
      </w:r>
      <w:r w:rsidR="003C7F9E" w:rsidRPr="00B63BD5">
        <w:rPr>
          <w:lang w:val="fr-CA"/>
        </w:rPr>
        <w:t> </w:t>
      </w:r>
      <w:r w:rsidR="002603D0" w:rsidRPr="00B63BD5">
        <w:rPr>
          <w:lang w:val="fr-CA"/>
        </w:rPr>
        <w:t>la</w:t>
      </w:r>
      <w:r w:rsidR="003C7F9E" w:rsidRPr="00B63BD5">
        <w:rPr>
          <w:lang w:val="fr-CA"/>
        </w:rPr>
        <w:t> </w:t>
      </w:r>
      <w:r w:rsidR="002603D0" w:rsidRPr="00B63BD5">
        <w:rPr>
          <w:lang w:val="fr-CA"/>
        </w:rPr>
        <w:t>Banque, l</w:t>
      </w:r>
      <w:r w:rsidR="00564B0C" w:rsidRPr="00B63BD5">
        <w:rPr>
          <w:lang w:val="fr-CA"/>
        </w:rPr>
        <w:t>’</w:t>
      </w:r>
      <w:r w:rsidR="002603D0" w:rsidRPr="00B63BD5">
        <w:rPr>
          <w:lang w:val="fr-CA"/>
        </w:rPr>
        <w:t>Emprunteur convient, à titre d</w:t>
      </w:r>
      <w:r w:rsidR="00564B0C" w:rsidRPr="00B63BD5">
        <w:rPr>
          <w:lang w:val="fr-CA"/>
        </w:rPr>
        <w:t>’</w:t>
      </w:r>
      <w:r w:rsidR="002603D0" w:rsidRPr="00B63BD5">
        <w:rPr>
          <w:lang w:val="fr-CA"/>
        </w:rPr>
        <w:t>obligation distincte et nonobstant un tel jugement, d</w:t>
      </w:r>
      <w:r w:rsidR="00564B0C" w:rsidRPr="00B63BD5">
        <w:rPr>
          <w:lang w:val="fr-CA"/>
        </w:rPr>
        <w:t>’</w:t>
      </w:r>
      <w:r w:rsidR="002603D0" w:rsidRPr="00B63BD5">
        <w:rPr>
          <w:lang w:val="fr-CA"/>
        </w:rPr>
        <w:t>indemniser la Banque d</w:t>
      </w:r>
      <w:r w:rsidR="00564B0C" w:rsidRPr="00B63BD5">
        <w:rPr>
          <w:lang w:val="fr-CA"/>
        </w:rPr>
        <w:t>’</w:t>
      </w:r>
      <w:r w:rsidR="002603D0" w:rsidRPr="00B63BD5">
        <w:rPr>
          <w:lang w:val="fr-CA"/>
        </w:rPr>
        <w:t>une telle perte et</w:t>
      </w:r>
      <w:r w:rsidR="00C84CDA" w:rsidRPr="00B63BD5">
        <w:rPr>
          <w:lang w:val="fr-CA"/>
        </w:rPr>
        <w:t>,</w:t>
      </w:r>
      <w:r w:rsidR="002603D0" w:rsidRPr="00B63BD5">
        <w:rPr>
          <w:lang w:val="fr-CA"/>
        </w:rPr>
        <w:t xml:space="preserve"> si la</w:t>
      </w:r>
      <w:r w:rsidR="007B7D5A" w:rsidRPr="00B63BD5">
        <w:rPr>
          <w:lang w:val="fr-CA"/>
        </w:rPr>
        <w:t xml:space="preserve"> </w:t>
      </w:r>
      <w:r w:rsidR="006B2BF2" w:rsidRPr="00B63BD5">
        <w:rPr>
          <w:lang w:val="fr-CA"/>
        </w:rPr>
        <w:t xml:space="preserve">somme en </w:t>
      </w:r>
      <w:r w:rsidR="002A4052" w:rsidRPr="00B63BD5">
        <w:rPr>
          <w:lang w:val="fr-CA"/>
        </w:rPr>
        <w:t xml:space="preserve">monnaie </w:t>
      </w:r>
      <w:r w:rsidR="002603D0" w:rsidRPr="00B63BD5">
        <w:rPr>
          <w:lang w:val="fr-CA"/>
        </w:rPr>
        <w:t>étrangère achetée dépasse</w:t>
      </w:r>
      <w:r w:rsidR="007B7D5A" w:rsidRPr="00B63BD5">
        <w:rPr>
          <w:lang w:val="fr-CA"/>
        </w:rPr>
        <w:t xml:space="preserve"> la somme</w:t>
      </w:r>
      <w:r w:rsidR="006B2BF2" w:rsidRPr="00B63BD5">
        <w:rPr>
          <w:lang w:val="fr-CA"/>
        </w:rPr>
        <w:t>, exprimée en cette monnaie,</w:t>
      </w:r>
      <w:r w:rsidR="002603D0" w:rsidRPr="00B63BD5">
        <w:rPr>
          <w:lang w:val="fr-CA"/>
        </w:rPr>
        <w:t xml:space="preserve"> qui lui est effectivement due, </w:t>
      </w:r>
      <w:r w:rsidR="00BA0510" w:rsidRPr="00B63BD5">
        <w:rPr>
          <w:lang w:val="fr-CA"/>
        </w:rPr>
        <w:t xml:space="preserve">la Banque </w:t>
      </w:r>
      <w:r w:rsidR="002603D0" w:rsidRPr="00B63BD5">
        <w:rPr>
          <w:lang w:val="fr-CA"/>
        </w:rPr>
        <w:t>convient de</w:t>
      </w:r>
      <w:r w:rsidR="003C7F9E" w:rsidRPr="00B63BD5">
        <w:rPr>
          <w:lang w:val="fr-CA"/>
        </w:rPr>
        <w:t> </w:t>
      </w:r>
      <w:r w:rsidR="002603D0" w:rsidRPr="00B63BD5">
        <w:rPr>
          <w:lang w:val="fr-CA"/>
        </w:rPr>
        <w:t>remettre à l</w:t>
      </w:r>
      <w:r w:rsidR="00564B0C" w:rsidRPr="00B63BD5">
        <w:rPr>
          <w:lang w:val="fr-CA"/>
        </w:rPr>
        <w:t>’</w:t>
      </w:r>
      <w:r w:rsidR="002603D0" w:rsidRPr="00B63BD5">
        <w:rPr>
          <w:lang w:val="fr-CA"/>
        </w:rPr>
        <w:t xml:space="preserve">Emprunteur </w:t>
      </w:r>
      <w:r w:rsidR="00BA0510" w:rsidRPr="00B63BD5">
        <w:rPr>
          <w:lang w:val="fr-CA"/>
        </w:rPr>
        <w:t>l</w:t>
      </w:r>
      <w:r w:rsidR="00564B0C" w:rsidRPr="00B63BD5">
        <w:rPr>
          <w:lang w:val="fr-CA"/>
        </w:rPr>
        <w:t>’</w:t>
      </w:r>
      <w:r w:rsidR="00BA0510" w:rsidRPr="00B63BD5">
        <w:rPr>
          <w:lang w:val="fr-CA"/>
        </w:rPr>
        <w:t>excédent auquel celui</w:t>
      </w:r>
      <w:r w:rsidR="00BA0510" w:rsidRPr="00B63BD5">
        <w:rPr>
          <w:lang w:val="fr-CA"/>
        </w:rPr>
        <w:noBreakHyphen/>
        <w:t xml:space="preserve">ci </w:t>
      </w:r>
      <w:r w:rsidR="002603D0" w:rsidRPr="00B63BD5">
        <w:rPr>
          <w:lang w:val="fr-CA"/>
        </w:rPr>
        <w:t xml:space="preserve">a droit. </w:t>
      </w:r>
    </w:p>
    <w:p w14:paraId="71CD0A72" w14:textId="6512AAC6" w:rsidR="0092673E" w:rsidRPr="00B63BD5" w:rsidRDefault="002603D0" w:rsidP="000B7739">
      <w:pPr>
        <w:pStyle w:val="04LOLglNew3"/>
        <w:rPr>
          <w:lang w:val="fr-CA"/>
        </w:rPr>
      </w:pPr>
      <w:r w:rsidRPr="00B63BD5">
        <w:rPr>
          <w:lang w:val="fr-CA"/>
        </w:rPr>
        <w:t>L</w:t>
      </w:r>
      <w:r w:rsidR="00564B0C" w:rsidRPr="00B63BD5">
        <w:rPr>
          <w:lang w:val="fr-CA"/>
        </w:rPr>
        <w:t>’</w:t>
      </w:r>
      <w:r w:rsidRPr="00B63BD5">
        <w:rPr>
          <w:lang w:val="fr-CA"/>
        </w:rPr>
        <w:t xml:space="preserve">Emprunteur confirme </w:t>
      </w:r>
      <w:r w:rsidR="00B44119" w:rsidRPr="00B63BD5">
        <w:rPr>
          <w:lang w:val="fr-CA"/>
        </w:rPr>
        <w:t>ce qui suit</w:t>
      </w:r>
      <w:r w:rsidR="00AC4107" w:rsidRPr="00B63BD5">
        <w:rPr>
          <w:lang w:val="fr-CA"/>
        </w:rPr>
        <w:t xml:space="preserve"> </w:t>
      </w:r>
      <w:r w:rsidR="00B44119" w:rsidRPr="00B63BD5">
        <w:rPr>
          <w:lang w:val="fr-CA"/>
        </w:rPr>
        <w:t>: (i)</w:t>
      </w:r>
      <w:r w:rsidR="00AC4107" w:rsidRPr="00B63BD5">
        <w:rPr>
          <w:lang w:val="fr-CA"/>
        </w:rPr>
        <w:t xml:space="preserve"> </w:t>
      </w:r>
      <w:r w:rsidRPr="00B63BD5">
        <w:rPr>
          <w:lang w:val="fr-CA"/>
        </w:rPr>
        <w:t>il n</w:t>
      </w:r>
      <w:r w:rsidR="00564B0C" w:rsidRPr="00B63BD5">
        <w:rPr>
          <w:lang w:val="fr-CA"/>
        </w:rPr>
        <w:t>’</w:t>
      </w:r>
      <w:r w:rsidRPr="00B63BD5">
        <w:rPr>
          <w:lang w:val="fr-CA"/>
        </w:rPr>
        <w:t>utilisera pas les sommes avancées</w:t>
      </w:r>
      <w:r w:rsidR="00B44119" w:rsidRPr="00B63BD5">
        <w:rPr>
          <w:lang w:val="fr-CA"/>
        </w:rPr>
        <w:t xml:space="preserve"> ni ne demandera d</w:t>
      </w:r>
      <w:r w:rsidR="00564B0C" w:rsidRPr="00B63BD5">
        <w:rPr>
          <w:lang w:val="fr-CA"/>
        </w:rPr>
        <w:t>’</w:t>
      </w:r>
      <w:r w:rsidR="00B44119" w:rsidRPr="00B63BD5">
        <w:rPr>
          <w:lang w:val="fr-CA"/>
        </w:rPr>
        <w:t>avances</w:t>
      </w:r>
      <w:r w:rsidRPr="00B63BD5">
        <w:rPr>
          <w:lang w:val="fr-CA"/>
        </w:rPr>
        <w:t xml:space="preserve"> </w:t>
      </w:r>
      <w:r w:rsidR="006B2BF2" w:rsidRPr="00B63BD5">
        <w:rPr>
          <w:lang w:val="fr-CA"/>
        </w:rPr>
        <w:t xml:space="preserve">sur les </w:t>
      </w:r>
      <w:r w:rsidRPr="00B63BD5">
        <w:rPr>
          <w:lang w:val="fr-CA"/>
        </w:rPr>
        <w:t>Facilités de crédit</w:t>
      </w:r>
      <w:r w:rsidR="00AE5281" w:rsidRPr="00B63BD5">
        <w:rPr>
          <w:lang w:val="fr-CA"/>
        </w:rPr>
        <w:t>, directement ou indirectement,</w:t>
      </w:r>
      <w:r w:rsidRPr="00B63BD5">
        <w:rPr>
          <w:lang w:val="fr-CA"/>
        </w:rPr>
        <w:t xml:space="preserve"> à des fins </w:t>
      </w:r>
      <w:r w:rsidR="00C6304C" w:rsidRPr="00B63BD5">
        <w:rPr>
          <w:lang w:val="fr-CA"/>
        </w:rPr>
        <w:t>illicites</w:t>
      </w:r>
      <w:r w:rsidR="00B44119" w:rsidRPr="00B63BD5">
        <w:rPr>
          <w:lang w:val="fr-CA"/>
        </w:rPr>
        <w:t xml:space="preserve"> ou </w:t>
      </w:r>
      <w:r w:rsidR="00ED0352" w:rsidRPr="00B63BD5">
        <w:rPr>
          <w:lang w:val="fr-CA"/>
        </w:rPr>
        <w:t>(</w:t>
      </w:r>
      <w:r w:rsidR="00B44119" w:rsidRPr="00B63BD5">
        <w:rPr>
          <w:lang w:val="fr-CA"/>
        </w:rPr>
        <w:t>a)</w:t>
      </w:r>
      <w:r w:rsidR="00AC4107" w:rsidRPr="00B63BD5">
        <w:rPr>
          <w:lang w:val="fr-CA"/>
        </w:rPr>
        <w:t xml:space="preserve"> </w:t>
      </w:r>
      <w:r w:rsidR="005E376E" w:rsidRPr="00B63BD5">
        <w:rPr>
          <w:lang w:val="fr-CA"/>
        </w:rPr>
        <w:t xml:space="preserve">pour financer des activités ou une entreprise de concert avec une personne ou dans un pays ou un territoire qui </w:t>
      </w:r>
      <w:r w:rsidR="00111EDE" w:rsidRPr="00B63BD5">
        <w:rPr>
          <w:lang w:val="fr-CA"/>
        </w:rPr>
        <w:t>fait l</w:t>
      </w:r>
      <w:r w:rsidR="00564B0C" w:rsidRPr="00B63BD5">
        <w:rPr>
          <w:lang w:val="fr-CA"/>
        </w:rPr>
        <w:t>’</w:t>
      </w:r>
      <w:r w:rsidR="00111EDE" w:rsidRPr="00B63BD5">
        <w:rPr>
          <w:lang w:val="fr-CA"/>
        </w:rPr>
        <w:t>objet ou est la cible de S</w:t>
      </w:r>
      <w:r w:rsidR="005E376E" w:rsidRPr="00B63BD5">
        <w:rPr>
          <w:lang w:val="fr-CA"/>
        </w:rPr>
        <w:t>anctions</w:t>
      </w:r>
      <w:r w:rsidR="00C50B6C" w:rsidRPr="00B63BD5">
        <w:rPr>
          <w:lang w:val="fr-CA"/>
        </w:rPr>
        <w:t>,</w:t>
      </w:r>
      <w:r w:rsidR="005E376E" w:rsidRPr="00B63BD5">
        <w:rPr>
          <w:lang w:val="fr-CA"/>
        </w:rPr>
        <w:t xml:space="preserve"> ou </w:t>
      </w:r>
      <w:r w:rsidR="00ED0352" w:rsidRPr="00B63BD5">
        <w:rPr>
          <w:lang w:val="fr-CA"/>
        </w:rPr>
        <w:t>(</w:t>
      </w:r>
      <w:r w:rsidR="005E376E" w:rsidRPr="00B63BD5">
        <w:rPr>
          <w:lang w:val="fr-CA"/>
        </w:rPr>
        <w:t>b)</w:t>
      </w:r>
      <w:r w:rsidR="00AC4107" w:rsidRPr="00B63BD5">
        <w:rPr>
          <w:lang w:val="fr-CA"/>
        </w:rPr>
        <w:t xml:space="preserve"> </w:t>
      </w:r>
      <w:r w:rsidR="005E376E" w:rsidRPr="00B63BD5">
        <w:rPr>
          <w:lang w:val="fr-CA"/>
        </w:rPr>
        <w:t>d</w:t>
      </w:r>
      <w:r w:rsidR="00564B0C" w:rsidRPr="00B63BD5">
        <w:rPr>
          <w:lang w:val="fr-CA"/>
        </w:rPr>
        <w:t>’</w:t>
      </w:r>
      <w:r w:rsidR="005E376E" w:rsidRPr="00B63BD5">
        <w:rPr>
          <w:lang w:val="fr-CA"/>
        </w:rPr>
        <w:t xml:space="preserve">une manière qui entraînerait </w:t>
      </w:r>
      <w:r w:rsidR="000805E6" w:rsidRPr="00B63BD5">
        <w:rPr>
          <w:lang w:val="fr-CA"/>
        </w:rPr>
        <w:t>la</w:t>
      </w:r>
      <w:r w:rsidR="005E376E" w:rsidRPr="00B63BD5">
        <w:rPr>
          <w:lang w:val="fr-CA"/>
        </w:rPr>
        <w:t xml:space="preserve"> violation des Sanctions par quelque personne que ce soit (y</w:t>
      </w:r>
      <w:r w:rsidR="00AC4107" w:rsidRPr="00B63BD5">
        <w:rPr>
          <w:lang w:val="fr-CA"/>
        </w:rPr>
        <w:t xml:space="preserve"> </w:t>
      </w:r>
      <w:r w:rsidR="005E376E" w:rsidRPr="00B63BD5">
        <w:rPr>
          <w:lang w:val="fr-CA"/>
        </w:rPr>
        <w:t>compris un prêteur, un conseiller ou une autre personne)</w:t>
      </w:r>
      <w:r w:rsidR="00C50B6C" w:rsidRPr="00B63BD5">
        <w:rPr>
          <w:lang w:val="fr-CA"/>
        </w:rPr>
        <w:t>,</w:t>
      </w:r>
      <w:r w:rsidR="005E376E" w:rsidRPr="00B63BD5">
        <w:rPr>
          <w:lang w:val="fr-CA"/>
        </w:rPr>
        <w:t xml:space="preserve"> et</w:t>
      </w:r>
      <w:r w:rsidR="003C7F9E" w:rsidRPr="00B63BD5">
        <w:rPr>
          <w:lang w:val="fr-CA"/>
        </w:rPr>
        <w:t> </w:t>
      </w:r>
      <w:r w:rsidR="005E376E" w:rsidRPr="00B63BD5">
        <w:rPr>
          <w:lang w:val="fr-CA"/>
        </w:rPr>
        <w:t>(ii)</w:t>
      </w:r>
      <w:r w:rsidR="003C7F9E" w:rsidRPr="00B63BD5">
        <w:rPr>
          <w:lang w:val="fr-CA"/>
        </w:rPr>
        <w:t> </w:t>
      </w:r>
      <w:r w:rsidRPr="00B63BD5">
        <w:rPr>
          <w:lang w:val="fr-CA"/>
        </w:rPr>
        <w:t>il</w:t>
      </w:r>
      <w:r w:rsidR="003C7F9E" w:rsidRPr="00B63BD5">
        <w:rPr>
          <w:lang w:val="fr-CA"/>
        </w:rPr>
        <w:t> </w:t>
      </w:r>
      <w:r w:rsidRPr="00B63BD5">
        <w:rPr>
          <w:lang w:val="fr-CA"/>
        </w:rPr>
        <w:t>ne</w:t>
      </w:r>
      <w:r w:rsidR="003C7F9E" w:rsidRPr="00B63BD5">
        <w:rPr>
          <w:lang w:val="fr-CA"/>
        </w:rPr>
        <w:t> </w:t>
      </w:r>
      <w:r w:rsidRPr="00B63BD5">
        <w:rPr>
          <w:lang w:val="fr-CA"/>
        </w:rPr>
        <w:t>remboursera pas les sommes qu</w:t>
      </w:r>
      <w:r w:rsidR="00564B0C" w:rsidRPr="00B63BD5">
        <w:rPr>
          <w:lang w:val="fr-CA"/>
        </w:rPr>
        <w:t>’</w:t>
      </w:r>
      <w:r w:rsidRPr="00B63BD5">
        <w:rPr>
          <w:lang w:val="fr-CA"/>
        </w:rPr>
        <w:t xml:space="preserve">il doit à la Banque </w:t>
      </w:r>
      <w:r w:rsidR="006B2BF2" w:rsidRPr="00B63BD5">
        <w:rPr>
          <w:lang w:val="fr-CA"/>
        </w:rPr>
        <w:t xml:space="preserve">au moyen </w:t>
      </w:r>
      <w:r w:rsidRPr="00B63BD5">
        <w:rPr>
          <w:lang w:val="fr-CA"/>
        </w:rPr>
        <w:t>de fonds provenant</w:t>
      </w:r>
      <w:r w:rsidR="00B44119" w:rsidRPr="00B63BD5">
        <w:rPr>
          <w:lang w:val="fr-CA"/>
        </w:rPr>
        <w:t>, directement ou indirectement,</w:t>
      </w:r>
      <w:r w:rsidRPr="00B63BD5">
        <w:rPr>
          <w:lang w:val="fr-CA"/>
        </w:rPr>
        <w:t xml:space="preserve"> d</w:t>
      </w:r>
      <w:r w:rsidR="00564B0C" w:rsidRPr="00B63BD5">
        <w:rPr>
          <w:lang w:val="fr-CA"/>
        </w:rPr>
        <w:t>’</w:t>
      </w:r>
      <w:r w:rsidRPr="00B63BD5">
        <w:rPr>
          <w:lang w:val="fr-CA"/>
        </w:rPr>
        <w:t xml:space="preserve">activités </w:t>
      </w:r>
      <w:r w:rsidR="00C6304C" w:rsidRPr="00B63BD5">
        <w:rPr>
          <w:lang w:val="fr-CA"/>
        </w:rPr>
        <w:t>illicites</w:t>
      </w:r>
      <w:r w:rsidRPr="00B63BD5">
        <w:rPr>
          <w:lang w:val="fr-CA"/>
        </w:rPr>
        <w:t xml:space="preserve"> ou </w:t>
      </w:r>
      <w:r w:rsidR="006B2BF2" w:rsidRPr="00B63BD5">
        <w:rPr>
          <w:lang w:val="fr-CA"/>
        </w:rPr>
        <w:t xml:space="preserve">punissables de </w:t>
      </w:r>
      <w:r w:rsidRPr="00B63BD5">
        <w:rPr>
          <w:lang w:val="fr-CA"/>
        </w:rPr>
        <w:t>sanctions</w:t>
      </w:r>
      <w:r w:rsidR="00B44119" w:rsidRPr="00B63BD5">
        <w:rPr>
          <w:lang w:val="fr-CA"/>
        </w:rPr>
        <w:t>;</w:t>
      </w:r>
      <w:r w:rsidR="005E376E" w:rsidRPr="00B63BD5">
        <w:rPr>
          <w:lang w:val="fr-CA"/>
        </w:rPr>
        <w:t xml:space="preserve"> toutefois, cet</w:t>
      </w:r>
      <w:r w:rsidR="003C7F9E" w:rsidRPr="00B63BD5">
        <w:rPr>
          <w:lang w:val="fr-CA"/>
        </w:rPr>
        <w:t> </w:t>
      </w:r>
      <w:r w:rsidR="005E376E" w:rsidRPr="00B63BD5">
        <w:rPr>
          <w:lang w:val="fr-CA"/>
        </w:rPr>
        <w:t>engagement ne s</w:t>
      </w:r>
      <w:r w:rsidR="00564B0C" w:rsidRPr="00B63BD5">
        <w:rPr>
          <w:lang w:val="fr-CA"/>
        </w:rPr>
        <w:t>’</w:t>
      </w:r>
      <w:r w:rsidR="005E376E" w:rsidRPr="00B63BD5">
        <w:rPr>
          <w:lang w:val="fr-CA"/>
        </w:rPr>
        <w:t>applique</w:t>
      </w:r>
      <w:r w:rsidR="00B2697E" w:rsidRPr="00B63BD5">
        <w:rPr>
          <w:lang w:val="fr-CA"/>
        </w:rPr>
        <w:t>ra</w:t>
      </w:r>
      <w:r w:rsidR="005E376E" w:rsidRPr="00B63BD5">
        <w:rPr>
          <w:lang w:val="fr-CA"/>
        </w:rPr>
        <w:t xml:space="preserve"> pas </w:t>
      </w:r>
      <w:r w:rsidR="00C66734" w:rsidRPr="00B63BD5">
        <w:rPr>
          <w:lang w:val="fr-CA"/>
        </w:rPr>
        <w:t xml:space="preserve">uniquement </w:t>
      </w:r>
      <w:r w:rsidR="00B2697E" w:rsidRPr="00B63BD5">
        <w:rPr>
          <w:lang w:val="fr-CA"/>
        </w:rPr>
        <w:t xml:space="preserve">dans certaines situations où une </w:t>
      </w:r>
      <w:r w:rsidR="005E376E" w:rsidRPr="00B63BD5">
        <w:rPr>
          <w:lang w:val="fr-CA"/>
        </w:rPr>
        <w:t xml:space="preserve">violation </w:t>
      </w:r>
      <w:r w:rsidR="00B2697E" w:rsidRPr="00B63BD5">
        <w:rPr>
          <w:lang w:val="fr-CA"/>
        </w:rPr>
        <w:t xml:space="preserve">pertinente </w:t>
      </w:r>
      <w:r w:rsidR="005E376E" w:rsidRPr="00B63BD5">
        <w:rPr>
          <w:lang w:val="fr-CA"/>
        </w:rPr>
        <w:t xml:space="preserve">de la </w:t>
      </w:r>
      <w:r w:rsidR="005E376E" w:rsidRPr="00B63BD5">
        <w:rPr>
          <w:i/>
          <w:lang w:val="fr-CA"/>
        </w:rPr>
        <w:t>Loi sur les mesures extraterritoriales étrangères</w:t>
      </w:r>
      <w:r w:rsidR="005E376E" w:rsidRPr="00B63BD5">
        <w:rPr>
          <w:lang w:val="fr-CA"/>
        </w:rPr>
        <w:t xml:space="preserve"> (Canada) ou d</w:t>
      </w:r>
      <w:r w:rsidR="00564B0C" w:rsidRPr="00B63BD5">
        <w:rPr>
          <w:lang w:val="fr-CA"/>
        </w:rPr>
        <w:t>’</w:t>
      </w:r>
      <w:r w:rsidR="000805E6" w:rsidRPr="00B63BD5">
        <w:rPr>
          <w:lang w:val="fr-CA"/>
        </w:rPr>
        <w:t>une loi ou d</w:t>
      </w:r>
      <w:r w:rsidR="00564B0C" w:rsidRPr="00B63BD5">
        <w:rPr>
          <w:lang w:val="fr-CA"/>
        </w:rPr>
        <w:t>’</w:t>
      </w:r>
      <w:r w:rsidR="000805E6" w:rsidRPr="00B63BD5">
        <w:rPr>
          <w:lang w:val="fr-CA"/>
        </w:rPr>
        <w:t>un règlement anti</w:t>
      </w:r>
      <w:r w:rsidR="000805E6" w:rsidRPr="00B63BD5">
        <w:rPr>
          <w:lang w:val="fr-CA"/>
        </w:rPr>
        <w:noBreakHyphen/>
      </w:r>
      <w:r w:rsidR="005E376E" w:rsidRPr="00B63BD5">
        <w:rPr>
          <w:lang w:val="fr-CA"/>
        </w:rPr>
        <w:t>boycottage applicable similaire</w:t>
      </w:r>
      <w:r w:rsidR="00B2697E" w:rsidRPr="00B63BD5">
        <w:rPr>
          <w:lang w:val="fr-CA"/>
        </w:rPr>
        <w:t xml:space="preserve"> est commise</w:t>
      </w:r>
      <w:r w:rsidR="005E376E" w:rsidRPr="00B63BD5">
        <w:rPr>
          <w:lang w:val="fr-CA"/>
        </w:rPr>
        <w:t>.</w:t>
      </w:r>
    </w:p>
    <w:p w14:paraId="43D04B76" w14:textId="28284C37" w:rsidR="00EE5B82" w:rsidRPr="00B63BD5" w:rsidRDefault="00EE5B82" w:rsidP="00632863">
      <w:pPr>
        <w:pStyle w:val="ListNumber"/>
        <w:spacing w:after="240"/>
        <w:ind w:left="709"/>
        <w:jc w:val="both"/>
        <w:rPr>
          <w:lang w:val="fr-CA"/>
        </w:rPr>
      </w:pPr>
      <w:r w:rsidRPr="00B63BD5">
        <w:rPr>
          <w:lang w:val="fr-CA"/>
        </w:rPr>
        <w:t>Questions d</w:t>
      </w:r>
      <w:r w:rsidR="00564B0C" w:rsidRPr="00B63BD5">
        <w:rPr>
          <w:lang w:val="fr-CA"/>
        </w:rPr>
        <w:t>’</w:t>
      </w:r>
      <w:r w:rsidRPr="00B63BD5">
        <w:rPr>
          <w:lang w:val="fr-CA"/>
        </w:rPr>
        <w:t>assurance</w:t>
      </w:r>
    </w:p>
    <w:p w14:paraId="76EF0CB8" w14:textId="6D151A9C" w:rsidR="00EE5B82" w:rsidRPr="000B7739" w:rsidRDefault="00EE5B82" w:rsidP="000C4154">
      <w:pPr>
        <w:pStyle w:val="04LOLglNew3"/>
        <w:numPr>
          <w:ilvl w:val="2"/>
          <w:numId w:val="46"/>
        </w:numPr>
        <w:rPr>
          <w:lang w:val="fr-CA"/>
        </w:rPr>
      </w:pPr>
      <w:bookmarkStart w:id="9" w:name="_Ref492023179"/>
      <w:r w:rsidRPr="000B7739">
        <w:rPr>
          <w:lang w:val="fr-CA"/>
        </w:rPr>
        <w:t>L</w:t>
      </w:r>
      <w:r w:rsidR="00564B0C" w:rsidRPr="000B7739">
        <w:rPr>
          <w:lang w:val="fr-CA"/>
        </w:rPr>
        <w:t>’</w:t>
      </w:r>
      <w:r w:rsidRPr="000B7739">
        <w:rPr>
          <w:lang w:val="fr-CA"/>
        </w:rPr>
        <w:t>Emprunteur et chaque Garant qui fournit une garantie à la Banque doivent souscrire et maintenir, auprès de sociétés d</w:t>
      </w:r>
      <w:r w:rsidR="00564B0C" w:rsidRPr="000B7739">
        <w:rPr>
          <w:lang w:val="fr-CA"/>
        </w:rPr>
        <w:t>’</w:t>
      </w:r>
      <w:r w:rsidRPr="000B7739">
        <w:rPr>
          <w:lang w:val="fr-CA"/>
        </w:rPr>
        <w:t>assurance adéquates et responsables, une assurance visant la totalité des Biens donnés en garantie contre les pertes ou les dommages découlant des risques et correspondant aux</w:t>
      </w:r>
      <w:r w:rsidR="003C7F9E" w:rsidRPr="000B7739">
        <w:rPr>
          <w:lang w:val="fr-CA"/>
        </w:rPr>
        <w:t> </w:t>
      </w:r>
      <w:r w:rsidRPr="000B7739">
        <w:rPr>
          <w:lang w:val="fr-CA"/>
        </w:rPr>
        <w:t>montants assurés par des Personnes se trouvant dans une situation semblable et exploitant des</w:t>
      </w:r>
      <w:r w:rsidR="003C7F9E" w:rsidRPr="000B7739">
        <w:rPr>
          <w:lang w:val="fr-CA"/>
        </w:rPr>
        <w:t> </w:t>
      </w:r>
      <w:r w:rsidRPr="000B7739">
        <w:rPr>
          <w:lang w:val="fr-CA"/>
        </w:rPr>
        <w:t>biens similaires. L</w:t>
      </w:r>
      <w:r w:rsidR="00564B0C" w:rsidRPr="000B7739">
        <w:rPr>
          <w:lang w:val="fr-CA"/>
        </w:rPr>
        <w:t>’</w:t>
      </w:r>
      <w:r w:rsidRPr="000B7739">
        <w:rPr>
          <w:lang w:val="fr-CA"/>
        </w:rPr>
        <w:t xml:space="preserve">Emprunteur et chaque Garant qui fournit une garantie à la Banque doivent aussi </w:t>
      </w:r>
      <w:r w:rsidRPr="000B7739">
        <w:rPr>
          <w:lang w:val="fr-CA"/>
        </w:rPr>
        <w:lastRenderedPageBreak/>
        <w:t>souscrire une assurance visant les autres risques (y compris les risques liés à la responsabilité de</w:t>
      </w:r>
      <w:r w:rsidR="003C7F9E" w:rsidRPr="000B7739">
        <w:rPr>
          <w:lang w:val="fr-CA"/>
        </w:rPr>
        <w:t> </w:t>
      </w:r>
      <w:r w:rsidRPr="000B7739">
        <w:rPr>
          <w:lang w:val="fr-CA"/>
        </w:rPr>
        <w:t>l</w:t>
      </w:r>
      <w:r w:rsidR="00564B0C" w:rsidRPr="000B7739">
        <w:rPr>
          <w:lang w:val="fr-CA"/>
        </w:rPr>
        <w:t>’</w:t>
      </w:r>
      <w:r w:rsidRPr="000B7739">
        <w:rPr>
          <w:lang w:val="fr-CA"/>
        </w:rPr>
        <w:t>employeur et à la responsabilité civile) qui sont habituellement assurés par des Personnes se</w:t>
      </w:r>
      <w:r w:rsidR="003C7F9E" w:rsidRPr="000B7739">
        <w:rPr>
          <w:lang w:val="fr-CA"/>
        </w:rPr>
        <w:t> </w:t>
      </w:r>
      <w:r w:rsidRPr="000B7739">
        <w:rPr>
          <w:lang w:val="fr-CA"/>
        </w:rPr>
        <w:t>trouvant dans une situation semblable et exerçant des activités similaires. L</w:t>
      </w:r>
      <w:r w:rsidR="00564B0C" w:rsidRPr="000B7739">
        <w:rPr>
          <w:lang w:val="fr-CA"/>
        </w:rPr>
        <w:t>’</w:t>
      </w:r>
      <w:r w:rsidRPr="000B7739">
        <w:rPr>
          <w:lang w:val="fr-CA"/>
        </w:rPr>
        <w:t>Emprunteur et chaque Garant qui fournit une garantie à la Banque doivent en tout temps maintenir une assurance visant ces</w:t>
      </w:r>
      <w:r w:rsidR="003C7F9E" w:rsidRPr="000B7739">
        <w:rPr>
          <w:lang w:val="fr-CA"/>
        </w:rPr>
        <w:t> </w:t>
      </w:r>
      <w:r w:rsidRPr="000B7739">
        <w:rPr>
          <w:lang w:val="fr-CA"/>
        </w:rPr>
        <w:t>biens ou faire en sorte qu</w:t>
      </w:r>
      <w:r w:rsidR="00564B0C" w:rsidRPr="000B7739">
        <w:rPr>
          <w:lang w:val="fr-CA"/>
        </w:rPr>
        <w:t>’</w:t>
      </w:r>
      <w:r w:rsidRPr="000B7739">
        <w:rPr>
          <w:lang w:val="fr-CA"/>
        </w:rPr>
        <w:t>ils soient assurés contre les risques pour lesquels d</w:t>
      </w:r>
      <w:r w:rsidR="00564B0C" w:rsidRPr="000B7739">
        <w:rPr>
          <w:lang w:val="fr-CA"/>
        </w:rPr>
        <w:t>’</w:t>
      </w:r>
      <w:r w:rsidRPr="000B7739">
        <w:rPr>
          <w:lang w:val="fr-CA"/>
        </w:rPr>
        <w:t>autres Personnes se</w:t>
      </w:r>
      <w:r w:rsidR="003C7F9E" w:rsidRPr="000B7739">
        <w:rPr>
          <w:lang w:val="fr-CA"/>
        </w:rPr>
        <w:t> </w:t>
      </w:r>
      <w:r w:rsidRPr="000B7739">
        <w:rPr>
          <w:lang w:val="fr-CA"/>
        </w:rPr>
        <w:t>trouvant dans une situation semblable souscrivent une assurance, y compris, dans tous les cas, les</w:t>
      </w:r>
      <w:r w:rsidR="003C7F9E" w:rsidRPr="000B7739">
        <w:rPr>
          <w:lang w:val="fr-CA"/>
        </w:rPr>
        <w:t> </w:t>
      </w:r>
      <w:r w:rsidRPr="000B7739">
        <w:rPr>
          <w:lang w:val="fr-CA"/>
        </w:rPr>
        <w:t>pertes ou les dommages causés par un incendie, un vol, un cambriolage, un larcin, une perte durant le transport et tout autre risque que la Banque peut établir. L</w:t>
      </w:r>
      <w:r w:rsidR="00564B0C" w:rsidRPr="000B7739">
        <w:rPr>
          <w:lang w:val="fr-CA"/>
        </w:rPr>
        <w:t>’</w:t>
      </w:r>
      <w:r w:rsidRPr="000B7739">
        <w:rPr>
          <w:lang w:val="fr-CA"/>
        </w:rPr>
        <w:t>Emprunteur doit, avant la première avance aux termes des présentes et à tout moment à la demande de la Banque, fournir à la Banque une</w:t>
      </w:r>
      <w:r w:rsidR="003C7F9E" w:rsidRPr="000B7739">
        <w:rPr>
          <w:lang w:val="fr-CA"/>
        </w:rPr>
        <w:t> </w:t>
      </w:r>
      <w:r w:rsidRPr="000B7739">
        <w:rPr>
          <w:lang w:val="fr-CA"/>
        </w:rPr>
        <w:t>attestation résumant la nature et la portée de l</w:t>
      </w:r>
      <w:r w:rsidR="00564B0C" w:rsidRPr="000B7739">
        <w:rPr>
          <w:lang w:val="fr-CA"/>
        </w:rPr>
        <w:t>’</w:t>
      </w:r>
      <w:r w:rsidRPr="000B7739">
        <w:rPr>
          <w:lang w:val="fr-CA"/>
        </w:rPr>
        <w:t>assurance souscrite en vertu du présent article. Nonobstant ce qui précède, toutes les assurances exigées dans les présentes sont souscrites selon des montants, aux termes de polices et auprès d</w:t>
      </w:r>
      <w:r w:rsidR="00564B0C" w:rsidRPr="000B7739">
        <w:rPr>
          <w:lang w:val="fr-CA"/>
        </w:rPr>
        <w:t>’</w:t>
      </w:r>
      <w:r w:rsidRPr="000B7739">
        <w:rPr>
          <w:lang w:val="fr-CA"/>
        </w:rPr>
        <w:t>assureurs acceptables pour la Banque, et toutes ces</w:t>
      </w:r>
      <w:r w:rsidR="003C7F9E" w:rsidRPr="000B7739">
        <w:rPr>
          <w:lang w:val="fr-CA"/>
        </w:rPr>
        <w:t> </w:t>
      </w:r>
      <w:r w:rsidRPr="000B7739">
        <w:rPr>
          <w:lang w:val="fr-CA"/>
        </w:rPr>
        <w:t>polices doivent contenir une clause usuelle de protection en faveur des créanciers hypothécaires et des clauses relatives au bénéficiaire des indemnités désignant la Banque à titre de bénéficiaire en</w:t>
      </w:r>
      <w:r w:rsidR="003C7F9E" w:rsidRPr="000B7739">
        <w:rPr>
          <w:lang w:val="fr-CA"/>
        </w:rPr>
        <w:t> </w:t>
      </w:r>
      <w:r w:rsidRPr="000B7739">
        <w:rPr>
          <w:lang w:val="fr-CA"/>
        </w:rPr>
        <w:t>cas de sinistre et créancier hypothécaire de premier rang, sous une forme acceptable pour</w:t>
      </w:r>
      <w:r w:rsidR="003C7F9E" w:rsidRPr="000B7739">
        <w:rPr>
          <w:lang w:val="fr-CA"/>
        </w:rPr>
        <w:t> </w:t>
      </w:r>
      <w:r w:rsidRPr="000B7739">
        <w:rPr>
          <w:lang w:val="fr-CA"/>
        </w:rPr>
        <w:t>la</w:t>
      </w:r>
      <w:r w:rsidR="003C7F9E" w:rsidRPr="000B7739">
        <w:rPr>
          <w:lang w:val="fr-CA"/>
        </w:rPr>
        <w:t> </w:t>
      </w:r>
      <w:r w:rsidRPr="000B7739">
        <w:rPr>
          <w:lang w:val="fr-CA"/>
        </w:rPr>
        <w:t>Banque. L</w:t>
      </w:r>
      <w:r w:rsidR="00564B0C" w:rsidRPr="000B7739">
        <w:rPr>
          <w:lang w:val="fr-CA"/>
        </w:rPr>
        <w:t>’</w:t>
      </w:r>
      <w:r w:rsidRPr="000B7739">
        <w:rPr>
          <w:lang w:val="fr-CA"/>
        </w:rPr>
        <w:t>Emprunteur et chaque Garant qui fournit une garantie à la Banque doivent payer ou</w:t>
      </w:r>
      <w:r w:rsidR="003C7F9E" w:rsidRPr="000B7739">
        <w:rPr>
          <w:lang w:val="fr-CA"/>
        </w:rPr>
        <w:t> </w:t>
      </w:r>
      <w:r w:rsidRPr="000B7739">
        <w:rPr>
          <w:lang w:val="fr-CA"/>
        </w:rPr>
        <w:t>faire en sorte que soient acquittées toutes les primes de cette assurance. L</w:t>
      </w:r>
      <w:r w:rsidR="00564B0C" w:rsidRPr="000B7739">
        <w:rPr>
          <w:lang w:val="fr-CA"/>
        </w:rPr>
        <w:t>’</w:t>
      </w:r>
      <w:r w:rsidRPr="000B7739">
        <w:rPr>
          <w:lang w:val="fr-CA"/>
        </w:rPr>
        <w:t>Emprunteur doit remettre chaque année à la Banque des attestations d</w:t>
      </w:r>
      <w:r w:rsidR="00564B0C" w:rsidRPr="000B7739">
        <w:rPr>
          <w:lang w:val="fr-CA"/>
        </w:rPr>
        <w:t>’</w:t>
      </w:r>
      <w:r w:rsidRPr="000B7739">
        <w:rPr>
          <w:lang w:val="fr-CA"/>
        </w:rPr>
        <w:t>assurance confirmant le respect des exigences qui</w:t>
      </w:r>
      <w:r w:rsidR="003C7F9E" w:rsidRPr="000B7739">
        <w:rPr>
          <w:lang w:val="fr-CA"/>
        </w:rPr>
        <w:t> </w:t>
      </w:r>
      <w:r w:rsidRPr="000B7739">
        <w:rPr>
          <w:lang w:val="fr-CA"/>
        </w:rPr>
        <w:t>précèdent et, à la demande de la Banque, des copies des polices d</w:t>
      </w:r>
      <w:r w:rsidR="00564B0C" w:rsidRPr="000B7739">
        <w:rPr>
          <w:lang w:val="fr-CA"/>
        </w:rPr>
        <w:t>’</w:t>
      </w:r>
      <w:r w:rsidRPr="000B7739">
        <w:rPr>
          <w:lang w:val="fr-CA"/>
        </w:rPr>
        <w:t>assurance. Toutes les</w:t>
      </w:r>
      <w:r w:rsidR="003C7F9E" w:rsidRPr="000B7739">
        <w:rPr>
          <w:lang w:val="fr-CA"/>
        </w:rPr>
        <w:t> </w:t>
      </w:r>
      <w:r w:rsidRPr="000B7739">
        <w:rPr>
          <w:lang w:val="fr-CA"/>
        </w:rPr>
        <w:t>assurances exigées dans les présentes doivent prévoir que toute indemnité est payable à la Banque en dépit de toute action ou négligence de la part de l</w:t>
      </w:r>
      <w:r w:rsidR="00564B0C" w:rsidRPr="000B7739">
        <w:rPr>
          <w:lang w:val="fr-CA"/>
        </w:rPr>
        <w:t>’</w:t>
      </w:r>
      <w:r w:rsidRPr="000B7739">
        <w:rPr>
          <w:lang w:val="fr-CA"/>
        </w:rPr>
        <w:t>assuré, et qu</w:t>
      </w:r>
      <w:r w:rsidR="00564B0C" w:rsidRPr="000B7739">
        <w:rPr>
          <w:lang w:val="fr-CA"/>
        </w:rPr>
        <w:t>’</w:t>
      </w:r>
      <w:r w:rsidRPr="000B7739">
        <w:rPr>
          <w:lang w:val="fr-CA"/>
        </w:rPr>
        <w:t>aucune annulation ou modification de celles-ci n</w:t>
      </w:r>
      <w:r w:rsidR="00564B0C" w:rsidRPr="000B7739">
        <w:rPr>
          <w:lang w:val="fr-CA"/>
        </w:rPr>
        <w:t>’</w:t>
      </w:r>
      <w:r w:rsidRPr="000B7739">
        <w:rPr>
          <w:lang w:val="fr-CA"/>
        </w:rPr>
        <w:t>entrera en vigueur avant la remise d</w:t>
      </w:r>
      <w:r w:rsidR="00564B0C" w:rsidRPr="000B7739">
        <w:rPr>
          <w:lang w:val="fr-CA"/>
        </w:rPr>
        <w:t>’</w:t>
      </w:r>
      <w:r w:rsidRPr="000B7739">
        <w:rPr>
          <w:lang w:val="fr-CA"/>
        </w:rPr>
        <w:t>un préavis écrit d</w:t>
      </w:r>
      <w:r w:rsidR="00564B0C" w:rsidRPr="000B7739">
        <w:rPr>
          <w:lang w:val="fr-CA"/>
        </w:rPr>
        <w:t>’</w:t>
      </w:r>
      <w:r w:rsidRPr="000B7739">
        <w:rPr>
          <w:lang w:val="fr-CA"/>
        </w:rPr>
        <w:t>au moins trente</w:t>
      </w:r>
      <w:r w:rsidR="00AC4107" w:rsidRPr="000B7739">
        <w:rPr>
          <w:lang w:val="fr-CA"/>
        </w:rPr>
        <w:t xml:space="preserve"> </w:t>
      </w:r>
      <w:r w:rsidRPr="000B7739">
        <w:rPr>
          <w:lang w:val="fr-CA"/>
        </w:rPr>
        <w:t>(30)</w:t>
      </w:r>
      <w:r w:rsidR="00AC4107" w:rsidRPr="000B7739">
        <w:rPr>
          <w:lang w:val="fr-CA"/>
        </w:rPr>
        <w:t xml:space="preserve"> </w:t>
      </w:r>
      <w:r w:rsidRPr="000B7739">
        <w:rPr>
          <w:lang w:val="fr-CA"/>
        </w:rPr>
        <w:t>jours à</w:t>
      </w:r>
      <w:r w:rsidR="003C7F9E" w:rsidRPr="000B7739">
        <w:rPr>
          <w:lang w:val="fr-CA"/>
        </w:rPr>
        <w:t> </w:t>
      </w:r>
      <w:r w:rsidRPr="000B7739">
        <w:rPr>
          <w:lang w:val="fr-CA"/>
        </w:rPr>
        <w:t>la</w:t>
      </w:r>
      <w:r w:rsidR="003C7F9E" w:rsidRPr="000B7739">
        <w:rPr>
          <w:lang w:val="fr-CA"/>
        </w:rPr>
        <w:t> </w:t>
      </w:r>
      <w:r w:rsidRPr="000B7739">
        <w:rPr>
          <w:lang w:val="fr-CA"/>
        </w:rPr>
        <w:t>Banque, à la satisfaction de la Banque à tous autres égards.</w:t>
      </w:r>
      <w:bookmarkEnd w:id="9"/>
    </w:p>
    <w:p w14:paraId="4BC7DCC3" w14:textId="22CFBECE" w:rsidR="00EE5B82" w:rsidRPr="00B63BD5" w:rsidRDefault="00EE5B82" w:rsidP="000B7739">
      <w:pPr>
        <w:pStyle w:val="04LOLglNew3"/>
        <w:rPr>
          <w:lang w:val="fr-CA"/>
        </w:rPr>
      </w:pPr>
      <w:bookmarkStart w:id="10" w:name="_Ref492023180"/>
      <w:r w:rsidRPr="00B63BD5">
        <w:rPr>
          <w:lang w:val="fr-CA"/>
        </w:rPr>
        <w:t>En cas de perte, de destruction ou de dommages touchant les Biens donnés en garantie ou une partie de ceux-ci, l</w:t>
      </w:r>
      <w:r w:rsidR="00564B0C" w:rsidRPr="00B63BD5">
        <w:rPr>
          <w:lang w:val="fr-CA"/>
        </w:rPr>
        <w:t>’</w:t>
      </w:r>
      <w:r w:rsidRPr="00B63BD5">
        <w:rPr>
          <w:lang w:val="fr-CA"/>
        </w:rPr>
        <w:t>Emprunteur doit en aviser sans tarder la Banque par écrit en décrivant la nature et l</w:t>
      </w:r>
      <w:r w:rsidR="00564B0C" w:rsidRPr="00B63BD5">
        <w:rPr>
          <w:lang w:val="fr-CA"/>
        </w:rPr>
        <w:t>’</w:t>
      </w:r>
      <w:r w:rsidRPr="00B63BD5">
        <w:rPr>
          <w:lang w:val="fr-CA"/>
        </w:rPr>
        <w:t>étendue de ces dommages ou de cette destruction. L</w:t>
      </w:r>
      <w:r w:rsidR="00564B0C" w:rsidRPr="00B63BD5">
        <w:rPr>
          <w:lang w:val="fr-CA"/>
        </w:rPr>
        <w:t>’</w:t>
      </w:r>
      <w:r w:rsidRPr="00B63BD5">
        <w:rPr>
          <w:lang w:val="fr-CA"/>
        </w:rPr>
        <w:t>Emprunteur et chaque Garant qui fournit une garantie à</w:t>
      </w:r>
      <w:r w:rsidR="003C7F9E" w:rsidRPr="00B63BD5">
        <w:rPr>
          <w:lang w:val="fr-CA"/>
        </w:rPr>
        <w:t> </w:t>
      </w:r>
      <w:r w:rsidRPr="00B63BD5">
        <w:rPr>
          <w:lang w:val="fr-CA"/>
        </w:rPr>
        <w:t>la</w:t>
      </w:r>
      <w:r w:rsidR="003C7F9E" w:rsidRPr="00B63BD5">
        <w:rPr>
          <w:lang w:val="fr-CA"/>
        </w:rPr>
        <w:t> </w:t>
      </w:r>
      <w:r w:rsidRPr="00B63BD5">
        <w:rPr>
          <w:lang w:val="fr-CA"/>
        </w:rPr>
        <w:t>Banque autorisent par les présentes la Banque à convenir d</w:t>
      </w:r>
      <w:r w:rsidR="00564B0C" w:rsidRPr="00B63BD5">
        <w:rPr>
          <w:lang w:val="fr-CA"/>
        </w:rPr>
        <w:t>’</w:t>
      </w:r>
      <w:r w:rsidRPr="00B63BD5">
        <w:rPr>
          <w:lang w:val="fr-CA"/>
        </w:rPr>
        <w:t>un compromis ou à procéder au</w:t>
      </w:r>
      <w:r w:rsidR="003C7F9E" w:rsidRPr="00B63BD5">
        <w:rPr>
          <w:lang w:val="fr-CA"/>
        </w:rPr>
        <w:t> </w:t>
      </w:r>
      <w:r w:rsidRPr="00B63BD5">
        <w:rPr>
          <w:lang w:val="fr-CA"/>
        </w:rPr>
        <w:t>rajustement ou au règlement de ces pertes aux termes de l</w:t>
      </w:r>
      <w:r w:rsidR="00564B0C" w:rsidRPr="00B63BD5">
        <w:rPr>
          <w:lang w:val="fr-CA"/>
        </w:rPr>
        <w:t>’</w:t>
      </w:r>
      <w:r w:rsidRPr="00B63BD5">
        <w:rPr>
          <w:lang w:val="fr-CA"/>
        </w:rPr>
        <w:t>assurance accordée et,</w:t>
      </w:r>
      <w:r w:rsidR="00C37E0A" w:rsidRPr="00B63BD5">
        <w:rPr>
          <w:lang w:val="fr-CA"/>
        </w:rPr>
        <w:t> </w:t>
      </w:r>
      <w:r w:rsidRPr="00B63BD5">
        <w:rPr>
          <w:lang w:val="fr-CA"/>
        </w:rPr>
        <w:t>par</w:t>
      </w:r>
      <w:r w:rsidR="00C37E0A" w:rsidRPr="00B63BD5">
        <w:rPr>
          <w:lang w:val="fr-CA"/>
        </w:rPr>
        <w:t> </w:t>
      </w:r>
      <w:r w:rsidRPr="00B63BD5">
        <w:rPr>
          <w:lang w:val="fr-CA"/>
        </w:rPr>
        <w:t>les</w:t>
      </w:r>
      <w:r w:rsidR="00C37E0A" w:rsidRPr="00B63BD5">
        <w:rPr>
          <w:lang w:val="fr-CA"/>
        </w:rPr>
        <w:t> </w:t>
      </w:r>
      <w:r w:rsidRPr="00B63BD5">
        <w:rPr>
          <w:lang w:val="fr-CA"/>
        </w:rPr>
        <w:t>présentes, désignent irrévocablement la Banque et chacun de ses représentants, dirigeants, mandataires et fondés de pouvoir, ainsi que toute autre Personne que la Banque peut désigner, à titre de mandataires dotés de tous les pouvoirs nécessaires pour effectuer ce rajustement, ce compromis ou ce règlement, pour approuver toute traite tirée par un assureur des Biens donnés en garantie ou</w:t>
      </w:r>
      <w:r w:rsidR="00C37E0A" w:rsidRPr="00B63BD5">
        <w:rPr>
          <w:lang w:val="fr-CA"/>
        </w:rPr>
        <w:t> </w:t>
      </w:r>
      <w:r w:rsidRPr="00B63BD5">
        <w:rPr>
          <w:lang w:val="fr-CA"/>
        </w:rPr>
        <w:t>d</w:t>
      </w:r>
      <w:r w:rsidR="00564B0C" w:rsidRPr="00B63BD5">
        <w:rPr>
          <w:lang w:val="fr-CA"/>
        </w:rPr>
        <w:t>’</w:t>
      </w:r>
      <w:r w:rsidRPr="00B63BD5">
        <w:rPr>
          <w:lang w:val="fr-CA"/>
        </w:rPr>
        <w:t>une partie de ceux-ci et pour faire tout ce qui est nécessaire à la réalisation de ces fins. Si</w:t>
      </w:r>
      <w:r w:rsidR="00C37E0A" w:rsidRPr="00B63BD5">
        <w:rPr>
          <w:lang w:val="fr-CA"/>
        </w:rPr>
        <w:t> </w:t>
      </w:r>
      <w:r w:rsidRPr="00B63BD5">
        <w:rPr>
          <w:lang w:val="fr-CA"/>
        </w:rPr>
        <w:t>l</w:t>
      </w:r>
      <w:r w:rsidR="00564B0C" w:rsidRPr="00B63BD5">
        <w:rPr>
          <w:lang w:val="fr-CA"/>
        </w:rPr>
        <w:t>’</w:t>
      </w:r>
      <w:r w:rsidRPr="00B63BD5">
        <w:rPr>
          <w:lang w:val="fr-CA"/>
        </w:rPr>
        <w:t>Emprunteur ou un Garant qui fournit une garantie à la Banque reçoit tout produit de cette assurance en cas de perte, de dommages ou de destruction, l</w:t>
      </w:r>
      <w:r w:rsidR="00564B0C" w:rsidRPr="00B63BD5">
        <w:rPr>
          <w:lang w:val="fr-CA"/>
        </w:rPr>
        <w:t>’</w:t>
      </w:r>
      <w:r w:rsidRPr="00B63BD5">
        <w:rPr>
          <w:lang w:val="fr-CA"/>
        </w:rPr>
        <w:t>Emprunteur ou ce Garant doit immédiatement rembourser ce produit à la Banque ou faire en sorte qu</w:t>
      </w:r>
      <w:r w:rsidR="00564B0C" w:rsidRPr="00B63BD5">
        <w:rPr>
          <w:lang w:val="fr-CA"/>
        </w:rPr>
        <w:t>’</w:t>
      </w:r>
      <w:r w:rsidRPr="00B63BD5">
        <w:rPr>
          <w:lang w:val="fr-CA"/>
        </w:rPr>
        <w:t>il lui soit remboursé. Le produit net</w:t>
      </w:r>
      <w:r w:rsidR="00C37E0A" w:rsidRPr="00B63BD5">
        <w:rPr>
          <w:lang w:val="fr-CA"/>
        </w:rPr>
        <w:t> </w:t>
      </w:r>
      <w:r w:rsidRPr="00B63BD5">
        <w:rPr>
          <w:lang w:val="fr-CA"/>
        </w:rPr>
        <w:t>de</w:t>
      </w:r>
      <w:r w:rsidR="00C37E0A" w:rsidRPr="00B63BD5">
        <w:rPr>
          <w:lang w:val="fr-CA"/>
        </w:rPr>
        <w:t> </w:t>
      </w:r>
      <w:r w:rsidRPr="00B63BD5">
        <w:rPr>
          <w:lang w:val="fr-CA"/>
        </w:rPr>
        <w:t>l</w:t>
      </w:r>
      <w:r w:rsidR="00564B0C" w:rsidRPr="00B63BD5">
        <w:rPr>
          <w:lang w:val="fr-CA"/>
        </w:rPr>
        <w:t>’</w:t>
      </w:r>
      <w:r w:rsidRPr="00B63BD5">
        <w:rPr>
          <w:lang w:val="fr-CA"/>
        </w:rPr>
        <w:t>assurance que la Banque reçoit aux termes des dispositions des présentes ou d</w:t>
      </w:r>
      <w:r w:rsidR="00564B0C" w:rsidRPr="00B63BD5">
        <w:rPr>
          <w:lang w:val="fr-CA"/>
        </w:rPr>
        <w:t>’</w:t>
      </w:r>
      <w:r w:rsidRPr="00B63BD5">
        <w:rPr>
          <w:lang w:val="fr-CA"/>
        </w:rPr>
        <w:t>une police d</w:t>
      </w:r>
      <w:r w:rsidR="00564B0C" w:rsidRPr="00B63BD5">
        <w:rPr>
          <w:lang w:val="fr-CA"/>
        </w:rPr>
        <w:t>’</w:t>
      </w:r>
      <w:r w:rsidRPr="00B63BD5">
        <w:rPr>
          <w:lang w:val="fr-CA"/>
        </w:rPr>
        <w:t>assurance couvrant les Biens donnés en garantie ou une partie de ceux-ci sera détenu à titre de</w:t>
      </w:r>
      <w:r w:rsidR="00C37E0A" w:rsidRPr="00B63BD5">
        <w:rPr>
          <w:lang w:val="fr-CA"/>
        </w:rPr>
        <w:t> </w:t>
      </w:r>
      <w:r w:rsidRPr="00B63BD5">
        <w:rPr>
          <w:lang w:val="fr-CA"/>
        </w:rPr>
        <w:t>garantie accessoire ou affecté à la réduction des obligations garanties aux termes des Documents de prêt, qu</w:t>
      </w:r>
      <w:r w:rsidR="00564B0C" w:rsidRPr="00B63BD5">
        <w:rPr>
          <w:lang w:val="fr-CA"/>
        </w:rPr>
        <w:t>’</w:t>
      </w:r>
      <w:r w:rsidRPr="00B63BD5">
        <w:rPr>
          <w:lang w:val="fr-CA"/>
        </w:rPr>
        <w:t>elles soient alors exigibles ou non, selon ce que la Banque peut établir à son entière discrétion. Si le produit de l</w:t>
      </w:r>
      <w:r w:rsidR="00564B0C" w:rsidRPr="00B63BD5">
        <w:rPr>
          <w:lang w:val="fr-CA"/>
        </w:rPr>
        <w:t>’</w:t>
      </w:r>
      <w:r w:rsidRPr="00B63BD5">
        <w:rPr>
          <w:lang w:val="fr-CA"/>
        </w:rPr>
        <w:t>assurance est remis à l</w:t>
      </w:r>
      <w:r w:rsidR="00564B0C" w:rsidRPr="00B63BD5">
        <w:rPr>
          <w:lang w:val="fr-CA"/>
        </w:rPr>
        <w:t>’</w:t>
      </w:r>
      <w:r w:rsidRPr="00B63BD5">
        <w:rPr>
          <w:lang w:val="fr-CA"/>
        </w:rPr>
        <w:t>Emprunteur ou à un Garant, l</w:t>
      </w:r>
      <w:r w:rsidR="00564B0C" w:rsidRPr="00B63BD5">
        <w:rPr>
          <w:lang w:val="fr-CA"/>
        </w:rPr>
        <w:t>’</w:t>
      </w:r>
      <w:r w:rsidRPr="00B63BD5">
        <w:rPr>
          <w:lang w:val="fr-CA"/>
        </w:rPr>
        <w:t>Emprunteur ou</w:t>
      </w:r>
      <w:r w:rsidR="00C37E0A" w:rsidRPr="00B63BD5">
        <w:rPr>
          <w:lang w:val="fr-CA"/>
        </w:rPr>
        <w:t> </w:t>
      </w:r>
      <w:r w:rsidRPr="00B63BD5">
        <w:rPr>
          <w:lang w:val="fr-CA"/>
        </w:rPr>
        <w:t>le</w:t>
      </w:r>
      <w:r w:rsidR="00C37E0A" w:rsidRPr="00B63BD5">
        <w:rPr>
          <w:lang w:val="fr-CA"/>
        </w:rPr>
        <w:t> </w:t>
      </w:r>
      <w:r w:rsidRPr="00B63BD5">
        <w:rPr>
          <w:lang w:val="fr-CA"/>
        </w:rPr>
        <w:t>Garant concerné doit, à ses frais, faire réparer ou remplacer rapidement les Biens donnés en</w:t>
      </w:r>
      <w:r w:rsidR="00C37E0A" w:rsidRPr="00B63BD5">
        <w:rPr>
          <w:lang w:val="fr-CA"/>
        </w:rPr>
        <w:t> </w:t>
      </w:r>
      <w:r w:rsidRPr="00B63BD5">
        <w:rPr>
          <w:lang w:val="fr-CA"/>
        </w:rPr>
        <w:t>garantie perdus, endommagés ou détruits (peu importe si le produit de l</w:t>
      </w:r>
      <w:r w:rsidR="00564B0C" w:rsidRPr="00B63BD5">
        <w:rPr>
          <w:lang w:val="fr-CA"/>
        </w:rPr>
        <w:t>’</w:t>
      </w:r>
      <w:r w:rsidRPr="00B63BD5">
        <w:rPr>
          <w:lang w:val="fr-CA"/>
        </w:rPr>
        <w:t>assurance, le cas échéant, versé en raison de ces dommages ou de cette destruction est suffisant à cette fin). Tout produit d</w:t>
      </w:r>
      <w:r w:rsidR="00564B0C" w:rsidRPr="00B63BD5">
        <w:rPr>
          <w:lang w:val="fr-CA"/>
        </w:rPr>
        <w:t>’</w:t>
      </w:r>
      <w:r w:rsidRPr="00B63BD5">
        <w:rPr>
          <w:lang w:val="fr-CA"/>
        </w:rPr>
        <w:t>assurance est assujetti aux Charges octroyées à la Banque aux termes des Documents de prêt.</w:t>
      </w:r>
      <w:bookmarkEnd w:id="10"/>
    </w:p>
    <w:p w14:paraId="621699DE" w14:textId="25AA42D9" w:rsidR="009926E7" w:rsidRPr="00B63BD5" w:rsidRDefault="002603D0" w:rsidP="00632863">
      <w:pPr>
        <w:pStyle w:val="ListNumber"/>
        <w:keepNext w:val="0"/>
        <w:widowControl w:val="0"/>
        <w:spacing w:after="240"/>
        <w:ind w:left="709"/>
        <w:jc w:val="both"/>
        <w:rPr>
          <w:lang w:val="fr-CA"/>
        </w:rPr>
      </w:pPr>
      <w:r w:rsidRPr="00B63BD5">
        <w:rPr>
          <w:lang w:val="fr-CA"/>
        </w:rPr>
        <w:t>Questions environnemental</w:t>
      </w:r>
      <w:r w:rsidR="00C50B6C" w:rsidRPr="00B63BD5">
        <w:rPr>
          <w:lang w:val="fr-CA"/>
        </w:rPr>
        <w:t>es</w:t>
      </w:r>
    </w:p>
    <w:p w14:paraId="7E80B4F7" w14:textId="01CBD3C7" w:rsidR="009926E7" w:rsidRPr="000B7739" w:rsidRDefault="002603D0" w:rsidP="000C4154">
      <w:pPr>
        <w:pStyle w:val="04LOLglNew3"/>
        <w:numPr>
          <w:ilvl w:val="2"/>
          <w:numId w:val="47"/>
        </w:numPr>
        <w:rPr>
          <w:lang w:val="fr-CA"/>
        </w:rPr>
      </w:pPr>
      <w:r w:rsidRPr="000B7739">
        <w:rPr>
          <w:lang w:val="fr-CA"/>
        </w:rPr>
        <w:t>À la connaissance de l</w:t>
      </w:r>
      <w:r w:rsidR="00564B0C" w:rsidRPr="000B7739">
        <w:rPr>
          <w:lang w:val="fr-CA"/>
        </w:rPr>
        <w:t>’</w:t>
      </w:r>
      <w:r w:rsidRPr="000B7739">
        <w:rPr>
          <w:lang w:val="fr-CA"/>
        </w:rPr>
        <w:t>Emprunteur</w:t>
      </w:r>
      <w:r w:rsidR="00F87B21" w:rsidRPr="000B7739">
        <w:rPr>
          <w:lang w:val="fr-CA"/>
        </w:rPr>
        <w:t>,</w:t>
      </w:r>
      <w:r w:rsidRPr="000B7739">
        <w:rPr>
          <w:lang w:val="fr-CA"/>
        </w:rPr>
        <w:t xml:space="preserve"> après enquête diligente, aucune substance réglementée, dangereuse ou toxique n</w:t>
      </w:r>
      <w:r w:rsidR="00564B0C" w:rsidRPr="000B7739">
        <w:rPr>
          <w:lang w:val="fr-CA"/>
        </w:rPr>
        <w:t>’</w:t>
      </w:r>
      <w:r w:rsidRPr="000B7739">
        <w:rPr>
          <w:lang w:val="fr-CA"/>
        </w:rPr>
        <w:t>est stockée sur ses terrains, dans ses installations ou dans ses locaux (les</w:t>
      </w:r>
      <w:r w:rsidR="00C37E0A" w:rsidRPr="000B7739">
        <w:rPr>
          <w:lang w:val="fr-CA"/>
        </w:rPr>
        <w:t> </w:t>
      </w:r>
      <w:r w:rsidRPr="000B7739">
        <w:rPr>
          <w:lang w:val="fr-CA"/>
        </w:rPr>
        <w:t>«</w:t>
      </w:r>
      <w:r w:rsidR="0094743F" w:rsidRPr="000B7739">
        <w:rPr>
          <w:lang w:val="fr-CA"/>
        </w:rPr>
        <w:t> </w:t>
      </w:r>
      <w:r w:rsidRPr="000B7739">
        <w:rPr>
          <w:b/>
          <w:lang w:val="fr-CA"/>
        </w:rPr>
        <w:t>L</w:t>
      </w:r>
      <w:r w:rsidR="006B2BF2" w:rsidRPr="000B7739">
        <w:rPr>
          <w:b/>
          <w:lang w:val="fr-CA"/>
        </w:rPr>
        <w:t>ieux</w:t>
      </w:r>
      <w:r w:rsidR="0094743F" w:rsidRPr="000B7739">
        <w:rPr>
          <w:lang w:val="fr-CA"/>
        </w:rPr>
        <w:t> </w:t>
      </w:r>
      <w:r w:rsidRPr="000B7739">
        <w:rPr>
          <w:lang w:val="fr-CA"/>
        </w:rPr>
        <w:t xml:space="preserve">») ou </w:t>
      </w:r>
      <w:r w:rsidR="00F87B21" w:rsidRPr="000B7739">
        <w:rPr>
          <w:lang w:val="fr-CA"/>
        </w:rPr>
        <w:t>sur une</w:t>
      </w:r>
      <w:r w:rsidRPr="000B7739">
        <w:rPr>
          <w:lang w:val="fr-CA"/>
        </w:rPr>
        <w:t xml:space="preserve"> propriété</w:t>
      </w:r>
      <w:r w:rsidR="00F87B21" w:rsidRPr="000B7739">
        <w:rPr>
          <w:lang w:val="fr-CA"/>
        </w:rPr>
        <w:t xml:space="preserve"> adjacente</w:t>
      </w:r>
      <w:r w:rsidR="006B2BF2" w:rsidRPr="000B7739">
        <w:rPr>
          <w:lang w:val="fr-CA"/>
        </w:rPr>
        <w:t>,</w:t>
      </w:r>
      <w:r w:rsidRPr="000B7739">
        <w:rPr>
          <w:lang w:val="fr-CA"/>
        </w:rPr>
        <w:t xml:space="preserve"> </w:t>
      </w:r>
      <w:r w:rsidR="00F87B21" w:rsidRPr="000B7739">
        <w:rPr>
          <w:lang w:val="fr-CA"/>
        </w:rPr>
        <w:t>ni</w:t>
      </w:r>
      <w:r w:rsidRPr="000B7739">
        <w:rPr>
          <w:lang w:val="fr-CA"/>
        </w:rPr>
        <w:t xml:space="preserve"> n</w:t>
      </w:r>
      <w:r w:rsidR="00564B0C" w:rsidRPr="000B7739">
        <w:rPr>
          <w:lang w:val="fr-CA"/>
        </w:rPr>
        <w:t>’</w:t>
      </w:r>
      <w:r w:rsidRPr="000B7739">
        <w:rPr>
          <w:lang w:val="fr-CA"/>
        </w:rPr>
        <w:t xml:space="preserve">a été stockée </w:t>
      </w:r>
      <w:r w:rsidR="00F87B21" w:rsidRPr="000B7739">
        <w:rPr>
          <w:lang w:val="fr-CA"/>
        </w:rPr>
        <w:t>ou</w:t>
      </w:r>
      <w:r w:rsidRPr="000B7739">
        <w:rPr>
          <w:lang w:val="fr-CA"/>
        </w:rPr>
        <w:t xml:space="preserve"> utilisée </w:t>
      </w:r>
      <w:r w:rsidR="006B2BF2" w:rsidRPr="000B7739">
        <w:rPr>
          <w:lang w:val="fr-CA"/>
        </w:rPr>
        <w:t>sur les Lieux</w:t>
      </w:r>
      <w:r w:rsidR="00F87B21" w:rsidRPr="000B7739">
        <w:rPr>
          <w:lang w:val="fr-CA"/>
        </w:rPr>
        <w:t>,</w:t>
      </w:r>
      <w:r w:rsidRPr="000B7739">
        <w:rPr>
          <w:lang w:val="fr-CA"/>
        </w:rPr>
        <w:t xml:space="preserve"> dans</w:t>
      </w:r>
      <w:r w:rsidR="00C37E0A" w:rsidRPr="000B7739">
        <w:rPr>
          <w:lang w:val="fr-CA"/>
        </w:rPr>
        <w:t> </w:t>
      </w:r>
      <w:r w:rsidR="006B2BF2" w:rsidRPr="000B7739">
        <w:rPr>
          <w:lang w:val="fr-CA"/>
        </w:rPr>
        <w:t>l</w:t>
      </w:r>
      <w:r w:rsidR="00564B0C" w:rsidRPr="000B7739">
        <w:rPr>
          <w:lang w:val="fr-CA"/>
        </w:rPr>
        <w:t>’</w:t>
      </w:r>
      <w:r w:rsidR="006B2BF2" w:rsidRPr="000B7739">
        <w:rPr>
          <w:lang w:val="fr-CA"/>
        </w:rPr>
        <w:t xml:space="preserve">entreprise </w:t>
      </w:r>
      <w:r w:rsidR="00F87B21" w:rsidRPr="000B7739">
        <w:rPr>
          <w:lang w:val="fr-CA"/>
        </w:rPr>
        <w:t>de</w:t>
      </w:r>
      <w:r w:rsidRPr="000B7739">
        <w:rPr>
          <w:lang w:val="fr-CA"/>
        </w:rPr>
        <w:t xml:space="preserve"> l</w:t>
      </w:r>
      <w:r w:rsidR="00564B0C" w:rsidRPr="000B7739">
        <w:rPr>
          <w:lang w:val="fr-CA"/>
        </w:rPr>
        <w:t>’</w:t>
      </w:r>
      <w:r w:rsidRPr="000B7739">
        <w:rPr>
          <w:lang w:val="fr-CA"/>
        </w:rPr>
        <w:t xml:space="preserve">Emprunteur ou sur </w:t>
      </w:r>
      <w:r w:rsidR="00F87B21" w:rsidRPr="000B7739">
        <w:rPr>
          <w:lang w:val="fr-CA"/>
        </w:rPr>
        <w:t>une</w:t>
      </w:r>
      <w:r w:rsidRPr="000B7739">
        <w:rPr>
          <w:lang w:val="fr-CA"/>
        </w:rPr>
        <w:t xml:space="preserve"> propriété</w:t>
      </w:r>
      <w:r w:rsidR="00F87B21" w:rsidRPr="000B7739">
        <w:rPr>
          <w:lang w:val="fr-CA"/>
        </w:rPr>
        <w:t xml:space="preserve"> adjacente</w:t>
      </w:r>
      <w:r w:rsidRPr="000B7739">
        <w:rPr>
          <w:lang w:val="fr-CA"/>
        </w:rPr>
        <w:t xml:space="preserve"> avant qu</w:t>
      </w:r>
      <w:r w:rsidR="00564B0C" w:rsidRPr="000B7739">
        <w:rPr>
          <w:lang w:val="fr-CA"/>
        </w:rPr>
        <w:t>’</w:t>
      </w:r>
      <w:r w:rsidR="00C84CDA" w:rsidRPr="000B7739">
        <w:rPr>
          <w:lang w:val="fr-CA"/>
        </w:rPr>
        <w:t xml:space="preserve">il </w:t>
      </w:r>
      <w:r w:rsidRPr="000B7739">
        <w:rPr>
          <w:lang w:val="fr-CA"/>
        </w:rPr>
        <w:t>ne devienne propriétaire des L</w:t>
      </w:r>
      <w:r w:rsidR="00AA4C3C" w:rsidRPr="000B7739">
        <w:rPr>
          <w:lang w:val="fr-CA"/>
        </w:rPr>
        <w:t>ieux</w:t>
      </w:r>
      <w:r w:rsidR="00F87B21" w:rsidRPr="000B7739">
        <w:rPr>
          <w:lang w:val="fr-CA"/>
        </w:rPr>
        <w:t xml:space="preserve"> ou n</w:t>
      </w:r>
      <w:r w:rsidR="00564B0C" w:rsidRPr="000B7739">
        <w:rPr>
          <w:lang w:val="fr-CA"/>
        </w:rPr>
        <w:t>’</w:t>
      </w:r>
      <w:r w:rsidR="00F87B21" w:rsidRPr="000B7739">
        <w:rPr>
          <w:lang w:val="fr-CA"/>
        </w:rPr>
        <w:t xml:space="preserve">en prenne </w:t>
      </w:r>
      <w:r w:rsidR="006B2BF2" w:rsidRPr="000B7739">
        <w:rPr>
          <w:lang w:val="fr-CA"/>
        </w:rPr>
        <w:t xml:space="preserve">la </w:t>
      </w:r>
      <w:r w:rsidR="00F87B21" w:rsidRPr="000B7739">
        <w:rPr>
          <w:lang w:val="fr-CA"/>
        </w:rPr>
        <w:t>possession</w:t>
      </w:r>
      <w:r w:rsidR="006B2BF2" w:rsidRPr="000B7739">
        <w:rPr>
          <w:lang w:val="fr-CA"/>
        </w:rPr>
        <w:t xml:space="preserve"> ou le contrôle</w:t>
      </w:r>
      <w:r w:rsidRPr="000B7739">
        <w:rPr>
          <w:lang w:val="fr-CA"/>
        </w:rPr>
        <w:t>. L</w:t>
      </w:r>
      <w:r w:rsidR="00564B0C" w:rsidRPr="000B7739">
        <w:rPr>
          <w:lang w:val="fr-CA"/>
        </w:rPr>
        <w:t>’</w:t>
      </w:r>
      <w:r w:rsidRPr="000B7739">
        <w:rPr>
          <w:lang w:val="fr-CA"/>
        </w:rPr>
        <w:t xml:space="preserve">Emprunteur convient de </w:t>
      </w:r>
      <w:r w:rsidR="002F5E17" w:rsidRPr="000B7739">
        <w:rPr>
          <w:lang w:val="fr-CA"/>
        </w:rPr>
        <w:t>donner un avis écrit à la Banque dès qu</w:t>
      </w:r>
      <w:r w:rsidR="00564B0C" w:rsidRPr="000B7739">
        <w:rPr>
          <w:lang w:val="fr-CA"/>
        </w:rPr>
        <w:t>’</w:t>
      </w:r>
      <w:r w:rsidR="002F5E17" w:rsidRPr="000B7739">
        <w:rPr>
          <w:lang w:val="fr-CA"/>
        </w:rPr>
        <w:t>il prend connaissance du fait que les L</w:t>
      </w:r>
      <w:r w:rsidR="006B2BF2" w:rsidRPr="000B7739">
        <w:rPr>
          <w:lang w:val="fr-CA"/>
        </w:rPr>
        <w:t xml:space="preserve">ieux </w:t>
      </w:r>
      <w:r w:rsidR="002F5E17" w:rsidRPr="000B7739">
        <w:rPr>
          <w:lang w:val="fr-CA"/>
        </w:rPr>
        <w:t xml:space="preserve">ou </w:t>
      </w:r>
      <w:r w:rsidR="00F87B21" w:rsidRPr="000B7739">
        <w:rPr>
          <w:lang w:val="fr-CA"/>
        </w:rPr>
        <w:t>une</w:t>
      </w:r>
      <w:r w:rsidR="002F5E17" w:rsidRPr="000B7739">
        <w:rPr>
          <w:lang w:val="fr-CA"/>
        </w:rPr>
        <w:t xml:space="preserve"> propriété</w:t>
      </w:r>
      <w:r w:rsidR="00F87B21" w:rsidRPr="000B7739">
        <w:rPr>
          <w:lang w:val="fr-CA"/>
        </w:rPr>
        <w:t xml:space="preserve"> adjacente </w:t>
      </w:r>
      <w:r w:rsidR="002F5E17" w:rsidRPr="000B7739">
        <w:rPr>
          <w:lang w:val="fr-CA"/>
        </w:rPr>
        <w:t>ont</w:t>
      </w:r>
      <w:r w:rsidR="00C37E0A" w:rsidRPr="000B7739">
        <w:rPr>
          <w:lang w:val="fr-CA"/>
        </w:rPr>
        <w:t> </w:t>
      </w:r>
      <w:r w:rsidR="002F5E17" w:rsidRPr="000B7739">
        <w:rPr>
          <w:lang w:val="fr-CA"/>
        </w:rPr>
        <w:t>été</w:t>
      </w:r>
      <w:r w:rsidR="00C37E0A" w:rsidRPr="000B7739">
        <w:rPr>
          <w:lang w:val="fr-CA"/>
        </w:rPr>
        <w:t> </w:t>
      </w:r>
      <w:r w:rsidR="002F5E17" w:rsidRPr="000B7739">
        <w:rPr>
          <w:lang w:val="fr-CA"/>
        </w:rPr>
        <w:t>ou</w:t>
      </w:r>
      <w:r w:rsidR="00C37E0A" w:rsidRPr="000B7739">
        <w:rPr>
          <w:lang w:val="fr-CA"/>
        </w:rPr>
        <w:t> </w:t>
      </w:r>
      <w:r w:rsidR="002F5E17" w:rsidRPr="000B7739">
        <w:rPr>
          <w:lang w:val="fr-CA"/>
        </w:rPr>
        <w:t xml:space="preserve">sont contaminés </w:t>
      </w:r>
      <w:r w:rsidR="00F87B21" w:rsidRPr="000B7739">
        <w:rPr>
          <w:lang w:val="fr-CA"/>
        </w:rPr>
        <w:t>par des</w:t>
      </w:r>
      <w:r w:rsidR="002F5E17" w:rsidRPr="000B7739">
        <w:rPr>
          <w:lang w:val="fr-CA"/>
        </w:rPr>
        <w:t xml:space="preserve"> </w:t>
      </w:r>
      <w:r w:rsidR="00F87B21" w:rsidRPr="000B7739">
        <w:rPr>
          <w:lang w:val="fr-CA"/>
        </w:rPr>
        <w:t>s</w:t>
      </w:r>
      <w:r w:rsidR="002F5E17" w:rsidRPr="000B7739">
        <w:rPr>
          <w:lang w:val="fr-CA"/>
        </w:rPr>
        <w:t>ubstances réglementées, dangereuses ou toxiques. L</w:t>
      </w:r>
      <w:r w:rsidR="00564B0C" w:rsidRPr="000B7739">
        <w:rPr>
          <w:lang w:val="fr-CA"/>
        </w:rPr>
        <w:t>’</w:t>
      </w:r>
      <w:r w:rsidR="002F5E17" w:rsidRPr="000B7739">
        <w:rPr>
          <w:lang w:val="fr-CA"/>
        </w:rPr>
        <w:t>Emprunteur ne doit</w:t>
      </w:r>
      <w:r w:rsidR="00F87B21" w:rsidRPr="000B7739">
        <w:rPr>
          <w:lang w:val="fr-CA"/>
        </w:rPr>
        <w:t xml:space="preserve"> pas</w:t>
      </w:r>
      <w:r w:rsidR="002F5E17" w:rsidRPr="000B7739">
        <w:rPr>
          <w:lang w:val="fr-CA"/>
        </w:rPr>
        <w:t xml:space="preserve"> permettre qu</w:t>
      </w:r>
      <w:r w:rsidR="00F87B21" w:rsidRPr="000B7739">
        <w:rPr>
          <w:lang w:val="fr-CA"/>
        </w:rPr>
        <w:t xml:space="preserve">e </w:t>
      </w:r>
      <w:r w:rsidR="006B2BF2" w:rsidRPr="000B7739">
        <w:rPr>
          <w:lang w:val="fr-CA"/>
        </w:rPr>
        <w:t>d</w:t>
      </w:r>
      <w:r w:rsidR="00F87B21" w:rsidRPr="000B7739">
        <w:rPr>
          <w:lang w:val="fr-CA"/>
        </w:rPr>
        <w:t xml:space="preserve">es </w:t>
      </w:r>
      <w:r w:rsidR="002F5E17" w:rsidRPr="000B7739">
        <w:rPr>
          <w:lang w:val="fr-CA"/>
        </w:rPr>
        <w:t>activité</w:t>
      </w:r>
      <w:r w:rsidR="00F87B21" w:rsidRPr="000B7739">
        <w:rPr>
          <w:lang w:val="fr-CA"/>
        </w:rPr>
        <w:t>s</w:t>
      </w:r>
      <w:r w:rsidR="002F5E17" w:rsidRPr="000B7739">
        <w:rPr>
          <w:lang w:val="fr-CA"/>
        </w:rPr>
        <w:t xml:space="preserve"> </w:t>
      </w:r>
      <w:r w:rsidR="006B2BF2" w:rsidRPr="000B7739">
        <w:rPr>
          <w:lang w:val="fr-CA"/>
        </w:rPr>
        <w:t>susceptibles d</w:t>
      </w:r>
      <w:r w:rsidR="00564B0C" w:rsidRPr="000B7739">
        <w:rPr>
          <w:lang w:val="fr-CA"/>
        </w:rPr>
        <w:t>’</w:t>
      </w:r>
      <w:r w:rsidR="006B2BF2" w:rsidRPr="000B7739">
        <w:rPr>
          <w:lang w:val="fr-CA"/>
        </w:rPr>
        <w:t>entraîner</w:t>
      </w:r>
      <w:r w:rsidR="002F5E17" w:rsidRPr="000B7739">
        <w:rPr>
          <w:lang w:val="fr-CA"/>
        </w:rPr>
        <w:t xml:space="preserve">, directement ou indirectement, </w:t>
      </w:r>
      <w:r w:rsidR="00C84CDA" w:rsidRPr="000B7739">
        <w:rPr>
          <w:lang w:val="fr-CA"/>
        </w:rPr>
        <w:t>la</w:t>
      </w:r>
      <w:r w:rsidR="00C37E0A" w:rsidRPr="000B7739">
        <w:rPr>
          <w:lang w:val="fr-CA"/>
        </w:rPr>
        <w:t> </w:t>
      </w:r>
      <w:r w:rsidR="00C84CDA" w:rsidRPr="000B7739">
        <w:rPr>
          <w:lang w:val="fr-CA"/>
        </w:rPr>
        <w:t xml:space="preserve">contamination </w:t>
      </w:r>
      <w:r w:rsidR="006B2BF2" w:rsidRPr="000B7739">
        <w:rPr>
          <w:lang w:val="fr-CA"/>
        </w:rPr>
        <w:t xml:space="preserve">des Lieux </w:t>
      </w:r>
      <w:r w:rsidR="002F5E17" w:rsidRPr="000B7739">
        <w:rPr>
          <w:lang w:val="fr-CA"/>
        </w:rPr>
        <w:t xml:space="preserve">ou </w:t>
      </w:r>
      <w:r w:rsidR="00C84CDA" w:rsidRPr="000B7739">
        <w:rPr>
          <w:lang w:val="fr-CA"/>
        </w:rPr>
        <w:t xml:space="preserve">de </w:t>
      </w:r>
      <w:r w:rsidR="00651B14" w:rsidRPr="000B7739">
        <w:rPr>
          <w:lang w:val="fr-CA"/>
        </w:rPr>
        <w:t xml:space="preserve">toute </w:t>
      </w:r>
      <w:r w:rsidR="002F5E17" w:rsidRPr="000B7739">
        <w:rPr>
          <w:lang w:val="fr-CA"/>
        </w:rPr>
        <w:t>autre</w:t>
      </w:r>
      <w:r w:rsidR="00651B14" w:rsidRPr="000B7739">
        <w:rPr>
          <w:lang w:val="fr-CA"/>
        </w:rPr>
        <w:t xml:space="preserve"> propriété</w:t>
      </w:r>
      <w:r w:rsidR="002F5E17" w:rsidRPr="000B7739">
        <w:rPr>
          <w:lang w:val="fr-CA"/>
        </w:rPr>
        <w:t xml:space="preserve"> par des substances réglementées, dangereuses ou toxiques</w:t>
      </w:r>
      <w:r w:rsidR="006B2BF2" w:rsidRPr="000B7739">
        <w:rPr>
          <w:lang w:val="fr-CA"/>
        </w:rPr>
        <w:t xml:space="preserve"> soient exercées sur les Lieux</w:t>
      </w:r>
      <w:r w:rsidR="002F5E17" w:rsidRPr="000B7739">
        <w:rPr>
          <w:lang w:val="fr-CA"/>
        </w:rPr>
        <w:t>. Aux fins de la présente Lettre relative aux facilités, le terme «</w:t>
      </w:r>
      <w:r w:rsidR="0094743F" w:rsidRPr="000B7739">
        <w:rPr>
          <w:lang w:val="fr-CA"/>
        </w:rPr>
        <w:t> </w:t>
      </w:r>
      <w:r w:rsidR="002F5E17" w:rsidRPr="000B7739">
        <w:rPr>
          <w:lang w:val="fr-CA"/>
        </w:rPr>
        <w:t>substances réglementées, dangereuses ou toxiques</w:t>
      </w:r>
      <w:r w:rsidR="0094743F" w:rsidRPr="000B7739">
        <w:rPr>
          <w:lang w:val="fr-CA"/>
        </w:rPr>
        <w:t> </w:t>
      </w:r>
      <w:r w:rsidR="002F5E17" w:rsidRPr="000B7739">
        <w:rPr>
          <w:lang w:val="fr-CA"/>
        </w:rPr>
        <w:t xml:space="preserve">» désigne </w:t>
      </w:r>
      <w:r w:rsidR="00651B14" w:rsidRPr="000B7739">
        <w:rPr>
          <w:lang w:val="fr-CA"/>
        </w:rPr>
        <w:t>des</w:t>
      </w:r>
      <w:r w:rsidR="002F5E17" w:rsidRPr="000B7739">
        <w:rPr>
          <w:lang w:val="fr-CA"/>
        </w:rPr>
        <w:t xml:space="preserve"> substance</w:t>
      </w:r>
      <w:r w:rsidR="00651B14" w:rsidRPr="000B7739">
        <w:rPr>
          <w:lang w:val="fr-CA"/>
        </w:rPr>
        <w:t>s</w:t>
      </w:r>
      <w:r w:rsidR="002F5E17" w:rsidRPr="000B7739">
        <w:rPr>
          <w:lang w:val="fr-CA"/>
        </w:rPr>
        <w:t xml:space="preserve"> qui s</w:t>
      </w:r>
      <w:r w:rsidR="00651B14" w:rsidRPr="000B7739">
        <w:rPr>
          <w:lang w:val="fr-CA"/>
        </w:rPr>
        <w:t>on</w:t>
      </w:r>
      <w:r w:rsidR="002F5E17" w:rsidRPr="000B7739">
        <w:rPr>
          <w:lang w:val="fr-CA"/>
        </w:rPr>
        <w:t>t définie</w:t>
      </w:r>
      <w:r w:rsidR="00651B14" w:rsidRPr="000B7739">
        <w:rPr>
          <w:lang w:val="fr-CA"/>
        </w:rPr>
        <w:t>s</w:t>
      </w:r>
      <w:r w:rsidR="002F5E17" w:rsidRPr="000B7739">
        <w:rPr>
          <w:lang w:val="fr-CA"/>
        </w:rPr>
        <w:t xml:space="preserve"> </w:t>
      </w:r>
      <w:r w:rsidR="002F5E17" w:rsidRPr="000B7739">
        <w:rPr>
          <w:lang w:val="fr-CA"/>
        </w:rPr>
        <w:lastRenderedPageBreak/>
        <w:t>ou</w:t>
      </w:r>
      <w:r w:rsidR="00C37E0A" w:rsidRPr="000B7739">
        <w:rPr>
          <w:lang w:val="fr-CA"/>
        </w:rPr>
        <w:t> </w:t>
      </w:r>
      <w:r w:rsidR="002F5E17" w:rsidRPr="000B7739">
        <w:rPr>
          <w:lang w:val="fr-CA"/>
        </w:rPr>
        <w:t>désignée</w:t>
      </w:r>
      <w:r w:rsidR="00651B14" w:rsidRPr="000B7739">
        <w:rPr>
          <w:lang w:val="fr-CA"/>
        </w:rPr>
        <w:t>s</w:t>
      </w:r>
      <w:r w:rsidR="002F5E17" w:rsidRPr="000B7739">
        <w:rPr>
          <w:lang w:val="fr-CA"/>
        </w:rPr>
        <w:t xml:space="preserve"> </w:t>
      </w:r>
      <w:r w:rsidR="00651B14" w:rsidRPr="000B7739">
        <w:rPr>
          <w:lang w:val="fr-CA"/>
        </w:rPr>
        <w:t>comme</w:t>
      </w:r>
      <w:r w:rsidR="002F5E17" w:rsidRPr="000B7739">
        <w:rPr>
          <w:lang w:val="fr-CA"/>
        </w:rPr>
        <w:t xml:space="preserve"> </w:t>
      </w:r>
      <w:r w:rsidR="006B2BF2" w:rsidRPr="000B7739">
        <w:rPr>
          <w:lang w:val="fr-CA"/>
        </w:rPr>
        <w:t xml:space="preserve">étant </w:t>
      </w:r>
      <w:r w:rsidR="002F5E17" w:rsidRPr="000B7739">
        <w:rPr>
          <w:lang w:val="fr-CA"/>
        </w:rPr>
        <w:t>de</w:t>
      </w:r>
      <w:r w:rsidR="00651B14" w:rsidRPr="000B7739">
        <w:rPr>
          <w:lang w:val="fr-CA"/>
        </w:rPr>
        <w:t>s</w:t>
      </w:r>
      <w:r w:rsidR="002F5E17" w:rsidRPr="000B7739">
        <w:rPr>
          <w:lang w:val="fr-CA"/>
        </w:rPr>
        <w:t xml:space="preserve"> déchet</w:t>
      </w:r>
      <w:r w:rsidR="00651B14" w:rsidRPr="000B7739">
        <w:rPr>
          <w:lang w:val="fr-CA"/>
        </w:rPr>
        <w:t>s</w:t>
      </w:r>
      <w:r w:rsidR="002F5E17" w:rsidRPr="000B7739">
        <w:rPr>
          <w:lang w:val="fr-CA"/>
        </w:rPr>
        <w:t xml:space="preserve"> dangereux ou toxique</w:t>
      </w:r>
      <w:r w:rsidR="00651B14" w:rsidRPr="000B7739">
        <w:rPr>
          <w:lang w:val="fr-CA"/>
        </w:rPr>
        <w:t>s</w:t>
      </w:r>
      <w:r w:rsidR="002F5E17" w:rsidRPr="000B7739">
        <w:rPr>
          <w:lang w:val="fr-CA"/>
        </w:rPr>
        <w:t>, de</w:t>
      </w:r>
      <w:r w:rsidR="00651B14" w:rsidRPr="000B7739">
        <w:rPr>
          <w:lang w:val="fr-CA"/>
        </w:rPr>
        <w:t>s</w:t>
      </w:r>
      <w:r w:rsidR="002F5E17" w:rsidRPr="000B7739">
        <w:rPr>
          <w:lang w:val="fr-CA"/>
        </w:rPr>
        <w:t xml:space="preserve"> matière</w:t>
      </w:r>
      <w:r w:rsidR="00651B14" w:rsidRPr="000B7739">
        <w:rPr>
          <w:lang w:val="fr-CA"/>
        </w:rPr>
        <w:t>s</w:t>
      </w:r>
      <w:r w:rsidR="002F5E17" w:rsidRPr="000B7739">
        <w:rPr>
          <w:lang w:val="fr-CA"/>
        </w:rPr>
        <w:t xml:space="preserve"> dangereuse</w:t>
      </w:r>
      <w:r w:rsidR="00651B14" w:rsidRPr="000B7739">
        <w:rPr>
          <w:lang w:val="fr-CA"/>
        </w:rPr>
        <w:t>s</w:t>
      </w:r>
      <w:r w:rsidR="002F5E17" w:rsidRPr="000B7739">
        <w:rPr>
          <w:lang w:val="fr-CA"/>
        </w:rPr>
        <w:t xml:space="preserve"> ou toxique</w:t>
      </w:r>
      <w:r w:rsidR="00651B14" w:rsidRPr="000B7739">
        <w:rPr>
          <w:lang w:val="fr-CA"/>
        </w:rPr>
        <w:t>s ou</w:t>
      </w:r>
      <w:r w:rsidR="002F5E17" w:rsidRPr="000B7739">
        <w:rPr>
          <w:lang w:val="fr-CA"/>
        </w:rPr>
        <w:t xml:space="preserve"> de</w:t>
      </w:r>
      <w:r w:rsidR="00651B14" w:rsidRPr="000B7739">
        <w:rPr>
          <w:lang w:val="fr-CA"/>
        </w:rPr>
        <w:t>s</w:t>
      </w:r>
      <w:r w:rsidR="002F5E17" w:rsidRPr="000B7739">
        <w:rPr>
          <w:lang w:val="fr-CA"/>
        </w:rPr>
        <w:t xml:space="preserve"> substance</w:t>
      </w:r>
      <w:r w:rsidR="00651B14" w:rsidRPr="000B7739">
        <w:rPr>
          <w:lang w:val="fr-CA"/>
        </w:rPr>
        <w:t>s</w:t>
      </w:r>
      <w:r w:rsidR="002F5E17" w:rsidRPr="000B7739">
        <w:rPr>
          <w:lang w:val="fr-CA"/>
        </w:rPr>
        <w:t xml:space="preserve"> dangereuse</w:t>
      </w:r>
      <w:r w:rsidR="00651B14" w:rsidRPr="000B7739">
        <w:rPr>
          <w:lang w:val="fr-CA"/>
        </w:rPr>
        <w:t>s</w:t>
      </w:r>
      <w:r w:rsidR="002F5E17" w:rsidRPr="000B7739">
        <w:rPr>
          <w:lang w:val="fr-CA"/>
        </w:rPr>
        <w:t>, toxique</w:t>
      </w:r>
      <w:r w:rsidR="00651B14" w:rsidRPr="000B7739">
        <w:rPr>
          <w:lang w:val="fr-CA"/>
        </w:rPr>
        <w:t>s</w:t>
      </w:r>
      <w:r w:rsidR="002F5E17" w:rsidRPr="000B7739">
        <w:rPr>
          <w:lang w:val="fr-CA"/>
        </w:rPr>
        <w:t xml:space="preserve"> ou radioactive</w:t>
      </w:r>
      <w:r w:rsidR="00651B14" w:rsidRPr="000B7739">
        <w:rPr>
          <w:lang w:val="fr-CA"/>
        </w:rPr>
        <w:t>s,</w:t>
      </w:r>
      <w:r w:rsidR="002F5E17" w:rsidRPr="000B7739">
        <w:rPr>
          <w:lang w:val="fr-CA"/>
        </w:rPr>
        <w:t xml:space="preserve"> ou un terme similaire, </w:t>
      </w:r>
      <w:r w:rsidR="00C50B6C" w:rsidRPr="000B7739">
        <w:rPr>
          <w:lang w:val="fr-CA"/>
        </w:rPr>
        <w:t>en vertu de</w:t>
      </w:r>
      <w:r w:rsidR="000405BE" w:rsidRPr="000B7739">
        <w:rPr>
          <w:lang w:val="fr-CA"/>
        </w:rPr>
        <w:t> </w:t>
      </w:r>
      <w:r w:rsidR="00C50B6C" w:rsidRPr="000B7739">
        <w:rPr>
          <w:lang w:val="fr-CA"/>
        </w:rPr>
        <w:t>toute</w:t>
      </w:r>
      <w:r w:rsidR="000405BE" w:rsidRPr="000B7739">
        <w:rPr>
          <w:lang w:val="fr-CA"/>
        </w:rPr>
        <w:t> </w:t>
      </w:r>
      <w:r w:rsidR="002F5E17" w:rsidRPr="000B7739">
        <w:rPr>
          <w:lang w:val="fr-CA"/>
        </w:rPr>
        <w:t xml:space="preserve">Exigence juridique qui est actuellement </w:t>
      </w:r>
      <w:r w:rsidR="00C84CDA" w:rsidRPr="000B7739">
        <w:rPr>
          <w:lang w:val="fr-CA"/>
        </w:rPr>
        <w:t xml:space="preserve">en vigueur ou le </w:t>
      </w:r>
      <w:r w:rsidR="002F5E17" w:rsidRPr="000B7739">
        <w:rPr>
          <w:lang w:val="fr-CA"/>
        </w:rPr>
        <w:t>sera à l</w:t>
      </w:r>
      <w:r w:rsidR="00564B0C" w:rsidRPr="000B7739">
        <w:rPr>
          <w:lang w:val="fr-CA"/>
        </w:rPr>
        <w:t>’</w:t>
      </w:r>
      <w:r w:rsidR="002F5E17" w:rsidRPr="000B7739">
        <w:rPr>
          <w:lang w:val="fr-CA"/>
        </w:rPr>
        <w:t xml:space="preserve">avenir, ou </w:t>
      </w:r>
      <w:r w:rsidR="00651B14" w:rsidRPr="000B7739">
        <w:rPr>
          <w:lang w:val="fr-CA"/>
        </w:rPr>
        <w:t>des</w:t>
      </w:r>
      <w:r w:rsidR="002F5E17" w:rsidRPr="000B7739">
        <w:rPr>
          <w:lang w:val="fr-CA"/>
        </w:rPr>
        <w:t xml:space="preserve"> substance</w:t>
      </w:r>
      <w:r w:rsidR="00651B14" w:rsidRPr="000B7739">
        <w:rPr>
          <w:lang w:val="fr-CA"/>
        </w:rPr>
        <w:t>s</w:t>
      </w:r>
      <w:r w:rsidR="002F5E17" w:rsidRPr="000B7739">
        <w:rPr>
          <w:lang w:val="fr-CA"/>
        </w:rPr>
        <w:t xml:space="preserve"> ou</w:t>
      </w:r>
      <w:r w:rsidR="000405BE" w:rsidRPr="000B7739">
        <w:rPr>
          <w:lang w:val="fr-CA"/>
        </w:rPr>
        <w:t> </w:t>
      </w:r>
      <w:r w:rsidR="00651B14" w:rsidRPr="000B7739">
        <w:rPr>
          <w:lang w:val="fr-CA"/>
        </w:rPr>
        <w:t>des</w:t>
      </w:r>
      <w:r w:rsidR="000405BE" w:rsidRPr="000B7739">
        <w:rPr>
          <w:lang w:val="fr-CA"/>
        </w:rPr>
        <w:t> </w:t>
      </w:r>
      <w:r w:rsidR="002F5E17" w:rsidRPr="000B7739">
        <w:rPr>
          <w:lang w:val="fr-CA"/>
        </w:rPr>
        <w:t>matière</w:t>
      </w:r>
      <w:r w:rsidR="00651B14" w:rsidRPr="000B7739">
        <w:rPr>
          <w:lang w:val="fr-CA"/>
        </w:rPr>
        <w:t>s</w:t>
      </w:r>
      <w:r w:rsidR="002F5E17" w:rsidRPr="000B7739">
        <w:rPr>
          <w:lang w:val="fr-CA"/>
        </w:rPr>
        <w:t xml:space="preserve"> dont l</w:t>
      </w:r>
      <w:r w:rsidR="00564B0C" w:rsidRPr="000B7739">
        <w:rPr>
          <w:lang w:val="fr-CA"/>
        </w:rPr>
        <w:t>’</w:t>
      </w:r>
      <w:r w:rsidR="002F5E17" w:rsidRPr="000B7739">
        <w:rPr>
          <w:lang w:val="fr-CA"/>
        </w:rPr>
        <w:t>utilisation ou l</w:t>
      </w:r>
      <w:r w:rsidR="00564B0C" w:rsidRPr="000B7739">
        <w:rPr>
          <w:lang w:val="fr-CA"/>
        </w:rPr>
        <w:t>’</w:t>
      </w:r>
      <w:r w:rsidR="002F5E17" w:rsidRPr="000B7739">
        <w:rPr>
          <w:lang w:val="fr-CA"/>
        </w:rPr>
        <w:t xml:space="preserve">élimination est réglementée par une telle Exigence juridique. </w:t>
      </w:r>
    </w:p>
    <w:p w14:paraId="2AAB6B9B" w14:textId="15E7EC0E" w:rsidR="009926E7" w:rsidRPr="00B63BD5" w:rsidRDefault="004246DC" w:rsidP="000B7739">
      <w:pPr>
        <w:pStyle w:val="04LOLglNew3"/>
        <w:rPr>
          <w:lang w:val="fr-CA"/>
        </w:rPr>
      </w:pPr>
      <w:r w:rsidRPr="00B63BD5">
        <w:rPr>
          <w:lang w:val="fr-CA"/>
        </w:rPr>
        <w:t>L</w:t>
      </w:r>
      <w:r w:rsidR="00564B0C" w:rsidRPr="00B63BD5">
        <w:rPr>
          <w:lang w:val="fr-CA"/>
        </w:rPr>
        <w:t>’</w:t>
      </w:r>
      <w:r w:rsidRPr="00B63BD5">
        <w:rPr>
          <w:lang w:val="fr-CA"/>
        </w:rPr>
        <w:t xml:space="preserve">Emprunteur doit se conformer sans délai à toutes les Exigences juridiques </w:t>
      </w:r>
      <w:r w:rsidR="00FF2681" w:rsidRPr="00B63BD5">
        <w:rPr>
          <w:lang w:val="fr-CA"/>
        </w:rPr>
        <w:t xml:space="preserve">régissant </w:t>
      </w:r>
      <w:r w:rsidRPr="00B63BD5">
        <w:rPr>
          <w:lang w:val="fr-CA"/>
        </w:rPr>
        <w:t>l</w:t>
      </w:r>
      <w:r w:rsidR="00564B0C" w:rsidRPr="00B63BD5">
        <w:rPr>
          <w:lang w:val="fr-CA"/>
        </w:rPr>
        <w:t>’</w:t>
      </w:r>
      <w:r w:rsidRPr="00B63BD5">
        <w:rPr>
          <w:lang w:val="fr-CA"/>
        </w:rPr>
        <w:t>utilisation, la</w:t>
      </w:r>
      <w:r w:rsidR="000405BE" w:rsidRPr="00B63BD5">
        <w:rPr>
          <w:lang w:val="fr-CA"/>
        </w:rPr>
        <w:t> </w:t>
      </w:r>
      <w:r w:rsidRPr="00B63BD5">
        <w:rPr>
          <w:lang w:val="fr-CA"/>
        </w:rPr>
        <w:t xml:space="preserve">collecte, </w:t>
      </w:r>
      <w:r w:rsidR="00FF2681" w:rsidRPr="00B63BD5">
        <w:rPr>
          <w:lang w:val="fr-CA"/>
        </w:rPr>
        <w:t>le</w:t>
      </w:r>
      <w:r w:rsidRPr="00B63BD5">
        <w:rPr>
          <w:lang w:val="fr-CA"/>
        </w:rPr>
        <w:t xml:space="preserve"> stockage, </w:t>
      </w:r>
      <w:r w:rsidR="00FF2681" w:rsidRPr="00B63BD5">
        <w:rPr>
          <w:lang w:val="fr-CA"/>
        </w:rPr>
        <w:t>le</w:t>
      </w:r>
      <w:r w:rsidRPr="00B63BD5">
        <w:rPr>
          <w:lang w:val="fr-CA"/>
        </w:rPr>
        <w:t xml:space="preserve"> traitement, </w:t>
      </w:r>
      <w:r w:rsidR="00FF2681" w:rsidRPr="00B63BD5">
        <w:rPr>
          <w:lang w:val="fr-CA"/>
        </w:rPr>
        <w:t>le</w:t>
      </w:r>
      <w:r w:rsidRPr="00B63BD5">
        <w:rPr>
          <w:lang w:val="fr-CA"/>
        </w:rPr>
        <w:t xml:space="preserve"> contrôle, l</w:t>
      </w:r>
      <w:r w:rsidR="00564B0C" w:rsidRPr="00B63BD5">
        <w:rPr>
          <w:lang w:val="fr-CA"/>
        </w:rPr>
        <w:t>’</w:t>
      </w:r>
      <w:r w:rsidRPr="00B63BD5">
        <w:rPr>
          <w:lang w:val="fr-CA"/>
        </w:rPr>
        <w:t xml:space="preserve">élimination ou </w:t>
      </w:r>
      <w:r w:rsidR="00FF2681" w:rsidRPr="00B63BD5">
        <w:rPr>
          <w:lang w:val="fr-CA"/>
        </w:rPr>
        <w:t>le</w:t>
      </w:r>
      <w:r w:rsidRPr="00B63BD5">
        <w:rPr>
          <w:lang w:val="fr-CA"/>
        </w:rPr>
        <w:t xml:space="preserve"> nettoyage de substances réglementées, dangereuses ou toxiques </w:t>
      </w:r>
      <w:r w:rsidR="006B2BF2" w:rsidRPr="00B63BD5">
        <w:rPr>
          <w:lang w:val="fr-CA"/>
        </w:rPr>
        <w:t xml:space="preserve">sur ou dans les Lieux ou </w:t>
      </w:r>
      <w:r w:rsidR="00FF2681" w:rsidRPr="00B63BD5">
        <w:rPr>
          <w:lang w:val="fr-CA"/>
        </w:rPr>
        <w:t>en dessus</w:t>
      </w:r>
      <w:r w:rsidRPr="00B63BD5">
        <w:rPr>
          <w:lang w:val="fr-CA"/>
        </w:rPr>
        <w:t xml:space="preserve"> ou en</w:t>
      </w:r>
      <w:r w:rsidR="00FF2681" w:rsidRPr="00B63BD5">
        <w:rPr>
          <w:lang w:val="fr-CA"/>
        </w:rPr>
        <w:t xml:space="preserve"> </w:t>
      </w:r>
      <w:r w:rsidRPr="00B63BD5">
        <w:rPr>
          <w:lang w:val="fr-CA"/>
        </w:rPr>
        <w:t>dessous de ceux</w:t>
      </w:r>
      <w:r w:rsidRPr="00B63BD5">
        <w:rPr>
          <w:lang w:val="fr-CA"/>
        </w:rPr>
        <w:noBreakHyphen/>
        <w:t>ci</w:t>
      </w:r>
      <w:r w:rsidR="00143E2B" w:rsidRPr="00B63BD5">
        <w:rPr>
          <w:lang w:val="fr-CA"/>
        </w:rPr>
        <w:t>,</w:t>
      </w:r>
      <w:r w:rsidRPr="00B63BD5">
        <w:rPr>
          <w:lang w:val="fr-CA"/>
        </w:rPr>
        <w:t xml:space="preserve"> ou sur </w:t>
      </w:r>
      <w:r w:rsidR="006B2BF2" w:rsidRPr="00B63BD5">
        <w:rPr>
          <w:lang w:val="fr-CA"/>
        </w:rPr>
        <w:t xml:space="preserve">ou dans </w:t>
      </w:r>
      <w:r w:rsidR="00143E2B" w:rsidRPr="00B63BD5">
        <w:rPr>
          <w:lang w:val="fr-CA"/>
        </w:rPr>
        <w:t xml:space="preserve">une </w:t>
      </w:r>
      <w:r w:rsidRPr="00B63BD5">
        <w:rPr>
          <w:lang w:val="fr-CA"/>
        </w:rPr>
        <w:t xml:space="preserve">propriété </w:t>
      </w:r>
      <w:r w:rsidR="00143E2B" w:rsidRPr="00B63BD5">
        <w:rPr>
          <w:lang w:val="fr-CA"/>
        </w:rPr>
        <w:t>adjacente</w:t>
      </w:r>
      <w:r w:rsidR="006B2BF2" w:rsidRPr="00B63BD5">
        <w:rPr>
          <w:lang w:val="fr-CA"/>
        </w:rPr>
        <w:t xml:space="preserve"> ou </w:t>
      </w:r>
      <w:r w:rsidR="00143E2B" w:rsidRPr="00B63BD5">
        <w:rPr>
          <w:lang w:val="fr-CA"/>
        </w:rPr>
        <w:t xml:space="preserve">en dessus ou en dessous </w:t>
      </w:r>
      <w:r w:rsidRPr="00B63BD5">
        <w:rPr>
          <w:lang w:val="fr-CA"/>
        </w:rPr>
        <w:t>de celle</w:t>
      </w:r>
      <w:r w:rsidRPr="00B63BD5">
        <w:rPr>
          <w:lang w:val="fr-CA"/>
        </w:rPr>
        <w:noBreakHyphen/>
        <w:t>ci</w:t>
      </w:r>
      <w:r w:rsidR="00143E2B" w:rsidRPr="00B63BD5">
        <w:rPr>
          <w:lang w:val="fr-CA"/>
        </w:rPr>
        <w:t xml:space="preserve"> </w:t>
      </w:r>
      <w:r w:rsidR="006B2BF2" w:rsidRPr="00B63BD5">
        <w:rPr>
          <w:lang w:val="fr-CA"/>
        </w:rPr>
        <w:t xml:space="preserve">qui devient </w:t>
      </w:r>
      <w:r w:rsidRPr="00B63BD5">
        <w:rPr>
          <w:lang w:val="fr-CA"/>
        </w:rPr>
        <w:t>contaminé</w:t>
      </w:r>
      <w:r w:rsidR="006B2BF2" w:rsidRPr="00B63BD5">
        <w:rPr>
          <w:lang w:val="fr-CA"/>
        </w:rPr>
        <w:t>e</w:t>
      </w:r>
      <w:r w:rsidRPr="00B63BD5">
        <w:rPr>
          <w:lang w:val="fr-CA"/>
        </w:rPr>
        <w:t xml:space="preserve"> par des substances réglementées, dangereuses ou toxiques en raison de</w:t>
      </w:r>
      <w:r w:rsidR="00143E2B" w:rsidRPr="00B63BD5">
        <w:rPr>
          <w:lang w:val="fr-CA"/>
        </w:rPr>
        <w:t xml:space="preserve"> travaux de</w:t>
      </w:r>
      <w:r w:rsidRPr="00B63BD5">
        <w:rPr>
          <w:lang w:val="fr-CA"/>
        </w:rPr>
        <w:t xml:space="preserve"> construction</w:t>
      </w:r>
      <w:r w:rsidR="00143E2B" w:rsidRPr="00B63BD5">
        <w:rPr>
          <w:lang w:val="fr-CA"/>
        </w:rPr>
        <w:t xml:space="preserve"> </w:t>
      </w:r>
      <w:r w:rsidR="006B2BF2" w:rsidRPr="00B63BD5">
        <w:rPr>
          <w:lang w:val="fr-CA"/>
        </w:rPr>
        <w:t>effectués ou d</w:t>
      </w:r>
      <w:r w:rsidR="00564B0C" w:rsidRPr="00B63BD5">
        <w:rPr>
          <w:lang w:val="fr-CA"/>
        </w:rPr>
        <w:t>’</w:t>
      </w:r>
      <w:r w:rsidR="006B2BF2" w:rsidRPr="00B63BD5">
        <w:rPr>
          <w:lang w:val="fr-CA"/>
        </w:rPr>
        <w:t xml:space="preserve">activités </w:t>
      </w:r>
      <w:r w:rsidR="00143E2B" w:rsidRPr="00B63BD5">
        <w:rPr>
          <w:lang w:val="fr-CA"/>
        </w:rPr>
        <w:t>d</w:t>
      </w:r>
      <w:r w:rsidR="00564B0C" w:rsidRPr="00B63BD5">
        <w:rPr>
          <w:lang w:val="fr-CA"/>
        </w:rPr>
        <w:t>’</w:t>
      </w:r>
      <w:r w:rsidRPr="00B63BD5">
        <w:rPr>
          <w:lang w:val="fr-CA"/>
        </w:rPr>
        <w:t>exploitation ou d</w:t>
      </w:r>
      <w:r w:rsidR="00564B0C" w:rsidRPr="00B63BD5">
        <w:rPr>
          <w:lang w:val="fr-CA"/>
        </w:rPr>
        <w:t>’</w:t>
      </w:r>
      <w:r w:rsidRPr="00B63BD5">
        <w:rPr>
          <w:lang w:val="fr-CA"/>
        </w:rPr>
        <w:t xml:space="preserve">autres activités </w:t>
      </w:r>
      <w:r w:rsidR="00143E2B" w:rsidRPr="00B63BD5">
        <w:rPr>
          <w:lang w:val="fr-CA"/>
        </w:rPr>
        <w:t>e</w:t>
      </w:r>
      <w:r w:rsidRPr="00B63BD5">
        <w:rPr>
          <w:lang w:val="fr-CA"/>
        </w:rPr>
        <w:t xml:space="preserve">xercées </w:t>
      </w:r>
      <w:r w:rsidR="006B2BF2" w:rsidRPr="00B63BD5">
        <w:rPr>
          <w:lang w:val="fr-CA"/>
        </w:rPr>
        <w:t>sur les Lieux, ou en raison de</w:t>
      </w:r>
      <w:r w:rsidR="000405BE" w:rsidRPr="00B63BD5">
        <w:rPr>
          <w:lang w:val="fr-CA"/>
        </w:rPr>
        <w:t> </w:t>
      </w:r>
      <w:r w:rsidR="006B2BF2" w:rsidRPr="00B63BD5">
        <w:rPr>
          <w:lang w:val="fr-CA"/>
        </w:rPr>
        <w:t>la</w:t>
      </w:r>
      <w:r w:rsidR="000405BE" w:rsidRPr="00B63BD5">
        <w:rPr>
          <w:lang w:val="fr-CA"/>
        </w:rPr>
        <w:t> </w:t>
      </w:r>
      <w:r w:rsidR="006B2BF2" w:rsidRPr="00B63BD5">
        <w:rPr>
          <w:lang w:val="fr-CA"/>
        </w:rPr>
        <w:t xml:space="preserve">contamination des Lieux, </w:t>
      </w:r>
      <w:r w:rsidRPr="00B63BD5">
        <w:rPr>
          <w:lang w:val="fr-CA"/>
        </w:rPr>
        <w:t xml:space="preserve">ou </w:t>
      </w:r>
      <w:r w:rsidR="00C84CDA" w:rsidRPr="00B63BD5">
        <w:rPr>
          <w:lang w:val="fr-CA"/>
        </w:rPr>
        <w:t>d</w:t>
      </w:r>
      <w:r w:rsidR="00564B0C" w:rsidRPr="00B63BD5">
        <w:rPr>
          <w:lang w:val="fr-CA"/>
        </w:rPr>
        <w:t>’</w:t>
      </w:r>
      <w:r w:rsidRPr="00B63BD5">
        <w:rPr>
          <w:lang w:val="fr-CA"/>
        </w:rPr>
        <w:t>améliorations</w:t>
      </w:r>
      <w:r w:rsidR="00143E2B" w:rsidRPr="00B63BD5">
        <w:rPr>
          <w:lang w:val="fr-CA"/>
        </w:rPr>
        <w:t xml:space="preserve"> qui </w:t>
      </w:r>
      <w:r w:rsidR="00C84CDA" w:rsidRPr="00B63BD5">
        <w:rPr>
          <w:lang w:val="fr-CA"/>
        </w:rPr>
        <w:t xml:space="preserve">y </w:t>
      </w:r>
      <w:r w:rsidR="00143E2B" w:rsidRPr="00B63BD5">
        <w:rPr>
          <w:lang w:val="fr-CA"/>
        </w:rPr>
        <w:t>sont</w:t>
      </w:r>
      <w:r w:rsidRPr="00B63BD5">
        <w:rPr>
          <w:lang w:val="fr-CA"/>
        </w:rPr>
        <w:t xml:space="preserve"> apportées. La Banque peut</w:t>
      </w:r>
      <w:r w:rsidR="00926693" w:rsidRPr="00B63BD5">
        <w:rPr>
          <w:lang w:val="fr-CA"/>
        </w:rPr>
        <w:t>, sans y être tenue,</w:t>
      </w:r>
      <w:r w:rsidR="00143E2B" w:rsidRPr="00B63BD5">
        <w:rPr>
          <w:lang w:val="fr-CA"/>
        </w:rPr>
        <w:t xml:space="preserve"> </w:t>
      </w:r>
      <w:r w:rsidRPr="00B63BD5">
        <w:rPr>
          <w:lang w:val="fr-CA"/>
        </w:rPr>
        <w:t xml:space="preserve">entrer </w:t>
      </w:r>
      <w:r w:rsidR="006B2BF2" w:rsidRPr="00B63BD5">
        <w:rPr>
          <w:lang w:val="fr-CA"/>
        </w:rPr>
        <w:t xml:space="preserve">sur les Lieux </w:t>
      </w:r>
      <w:r w:rsidR="00143E2B" w:rsidRPr="00B63BD5">
        <w:rPr>
          <w:lang w:val="fr-CA"/>
        </w:rPr>
        <w:t>et</w:t>
      </w:r>
      <w:r w:rsidRPr="00B63BD5">
        <w:rPr>
          <w:lang w:val="fr-CA"/>
        </w:rPr>
        <w:t xml:space="preserve"> prendre les mesures et engager les frais</w:t>
      </w:r>
      <w:r w:rsidR="00143E2B" w:rsidRPr="00B63BD5">
        <w:rPr>
          <w:lang w:val="fr-CA"/>
        </w:rPr>
        <w:t xml:space="preserve"> qui sont</w:t>
      </w:r>
      <w:r w:rsidRPr="00B63BD5">
        <w:rPr>
          <w:lang w:val="fr-CA"/>
        </w:rPr>
        <w:t xml:space="preserve"> nécessaires pour assurer </w:t>
      </w:r>
      <w:r w:rsidR="00143E2B" w:rsidRPr="00B63BD5">
        <w:rPr>
          <w:lang w:val="fr-CA"/>
        </w:rPr>
        <w:t>la</w:t>
      </w:r>
      <w:r w:rsidRPr="00B63BD5">
        <w:rPr>
          <w:lang w:val="fr-CA"/>
        </w:rPr>
        <w:t xml:space="preserve"> conformité </w:t>
      </w:r>
      <w:r w:rsidR="00143E2B" w:rsidRPr="00B63BD5">
        <w:rPr>
          <w:lang w:val="fr-CA"/>
        </w:rPr>
        <w:t>aux Exigences juridiques</w:t>
      </w:r>
      <w:r w:rsidR="00C84CDA" w:rsidRPr="00B63BD5">
        <w:rPr>
          <w:lang w:val="fr-CA"/>
        </w:rPr>
        <w:t>,</w:t>
      </w:r>
      <w:r w:rsidR="00143E2B" w:rsidRPr="00B63BD5">
        <w:rPr>
          <w:lang w:val="fr-CA"/>
        </w:rPr>
        <w:t xml:space="preserve"> </w:t>
      </w:r>
      <w:r w:rsidRPr="00B63BD5">
        <w:rPr>
          <w:lang w:val="fr-CA"/>
        </w:rPr>
        <w:t>s</w:t>
      </w:r>
      <w:r w:rsidR="00143E2B" w:rsidRPr="00B63BD5">
        <w:rPr>
          <w:lang w:val="fr-CA"/>
        </w:rPr>
        <w:t>elon ce</w:t>
      </w:r>
      <w:r w:rsidRPr="00B63BD5">
        <w:rPr>
          <w:lang w:val="fr-CA"/>
        </w:rPr>
        <w:t xml:space="preserve"> </w:t>
      </w:r>
      <w:r w:rsidR="00143E2B" w:rsidRPr="00B63BD5">
        <w:rPr>
          <w:lang w:val="fr-CA"/>
        </w:rPr>
        <w:t>qu</w:t>
      </w:r>
      <w:r w:rsidR="00564B0C" w:rsidRPr="00B63BD5">
        <w:rPr>
          <w:lang w:val="fr-CA"/>
        </w:rPr>
        <w:t>’</w:t>
      </w:r>
      <w:r w:rsidRPr="00B63BD5">
        <w:rPr>
          <w:lang w:val="fr-CA"/>
        </w:rPr>
        <w:t xml:space="preserve">elle </w:t>
      </w:r>
      <w:r w:rsidR="00143E2B" w:rsidRPr="00B63BD5">
        <w:rPr>
          <w:lang w:val="fr-CA"/>
        </w:rPr>
        <w:t>j</w:t>
      </w:r>
      <w:r w:rsidRPr="00B63BD5">
        <w:rPr>
          <w:lang w:val="fr-CA"/>
        </w:rPr>
        <w:t>uge souhaitable</w:t>
      </w:r>
      <w:r w:rsidR="00926693" w:rsidRPr="00B63BD5">
        <w:rPr>
          <w:lang w:val="fr-CA"/>
        </w:rPr>
        <w:t>,</w:t>
      </w:r>
      <w:r w:rsidRPr="00B63BD5">
        <w:rPr>
          <w:lang w:val="fr-CA"/>
        </w:rPr>
        <w:t xml:space="preserve"> et</w:t>
      </w:r>
      <w:r w:rsidR="00003BDE" w:rsidRPr="00B63BD5">
        <w:rPr>
          <w:lang w:val="fr-CA"/>
        </w:rPr>
        <w:t>,</w:t>
      </w:r>
      <w:r w:rsidRPr="00B63BD5">
        <w:rPr>
          <w:lang w:val="fr-CA"/>
        </w:rPr>
        <w:t xml:space="preserve"> </w:t>
      </w:r>
      <w:r w:rsidR="00C07CA0" w:rsidRPr="00B63BD5">
        <w:rPr>
          <w:lang w:val="fr-CA"/>
        </w:rPr>
        <w:t xml:space="preserve">le cas échéant, </w:t>
      </w:r>
      <w:r w:rsidRPr="00B63BD5">
        <w:rPr>
          <w:lang w:val="fr-CA"/>
        </w:rPr>
        <w:t>l</w:t>
      </w:r>
      <w:r w:rsidR="00564B0C" w:rsidRPr="00B63BD5">
        <w:rPr>
          <w:lang w:val="fr-CA"/>
        </w:rPr>
        <w:t>’</w:t>
      </w:r>
      <w:r w:rsidRPr="00B63BD5">
        <w:rPr>
          <w:lang w:val="fr-CA"/>
        </w:rPr>
        <w:t>Emprunteur</w:t>
      </w:r>
      <w:r w:rsidR="00926693" w:rsidRPr="00B63BD5">
        <w:rPr>
          <w:lang w:val="fr-CA"/>
        </w:rPr>
        <w:t xml:space="preserve"> doit</w:t>
      </w:r>
      <w:r w:rsidRPr="00B63BD5">
        <w:rPr>
          <w:lang w:val="fr-CA"/>
        </w:rPr>
        <w:t xml:space="preserve"> </w:t>
      </w:r>
      <w:r w:rsidR="00C07CA0" w:rsidRPr="00B63BD5">
        <w:rPr>
          <w:lang w:val="fr-CA"/>
        </w:rPr>
        <w:t xml:space="preserve">lui </w:t>
      </w:r>
      <w:r w:rsidRPr="00B63BD5">
        <w:rPr>
          <w:lang w:val="fr-CA"/>
        </w:rPr>
        <w:t xml:space="preserve">rembourser sur demande </w:t>
      </w:r>
      <w:r w:rsidR="00C07CA0" w:rsidRPr="00B63BD5">
        <w:rPr>
          <w:lang w:val="fr-CA"/>
        </w:rPr>
        <w:t xml:space="preserve">le plein montant de tous </w:t>
      </w:r>
      <w:r w:rsidR="00C84CDA" w:rsidRPr="00B63BD5">
        <w:rPr>
          <w:lang w:val="fr-CA"/>
        </w:rPr>
        <w:t xml:space="preserve">les </w:t>
      </w:r>
      <w:r w:rsidRPr="00B63BD5">
        <w:rPr>
          <w:lang w:val="fr-CA"/>
        </w:rPr>
        <w:t xml:space="preserve">frais </w:t>
      </w:r>
      <w:r w:rsidR="00C84CDA" w:rsidRPr="00B63BD5">
        <w:rPr>
          <w:lang w:val="fr-CA"/>
        </w:rPr>
        <w:t>que celle</w:t>
      </w:r>
      <w:r w:rsidR="00C84CDA" w:rsidRPr="00B63BD5">
        <w:rPr>
          <w:lang w:val="fr-CA"/>
        </w:rPr>
        <w:noBreakHyphen/>
        <w:t xml:space="preserve">ci a </w:t>
      </w:r>
      <w:r w:rsidRPr="00B63BD5">
        <w:rPr>
          <w:lang w:val="fr-CA"/>
        </w:rPr>
        <w:t xml:space="preserve">engagés </w:t>
      </w:r>
      <w:r w:rsidR="00C07CA0" w:rsidRPr="00B63BD5">
        <w:rPr>
          <w:lang w:val="fr-CA"/>
        </w:rPr>
        <w:t>à de telles fins de conformité</w:t>
      </w:r>
      <w:r w:rsidRPr="00B63BD5">
        <w:rPr>
          <w:lang w:val="fr-CA"/>
        </w:rPr>
        <w:t xml:space="preserve">. </w:t>
      </w:r>
    </w:p>
    <w:p w14:paraId="0D4BE72A" w14:textId="352B8B3B" w:rsidR="004246DC" w:rsidRPr="00B63BD5" w:rsidRDefault="004246DC" w:rsidP="000B7739">
      <w:pPr>
        <w:pStyle w:val="04LOLglNew3"/>
        <w:rPr>
          <w:lang w:val="fr-CA"/>
        </w:rPr>
      </w:pPr>
      <w:r w:rsidRPr="00B63BD5">
        <w:rPr>
          <w:lang w:val="fr-CA"/>
        </w:rPr>
        <w:t>Les biens de l</w:t>
      </w:r>
      <w:r w:rsidR="00564B0C" w:rsidRPr="00B63BD5">
        <w:rPr>
          <w:lang w:val="fr-CA"/>
        </w:rPr>
        <w:t>’</w:t>
      </w:r>
      <w:r w:rsidRPr="00B63BD5">
        <w:rPr>
          <w:lang w:val="fr-CA"/>
        </w:rPr>
        <w:t xml:space="preserve">Emprunteur qui sont actuellement </w:t>
      </w:r>
      <w:r w:rsidR="00C84CDA" w:rsidRPr="00B63BD5">
        <w:rPr>
          <w:lang w:val="fr-CA"/>
        </w:rPr>
        <w:t xml:space="preserve">grevés </w:t>
      </w:r>
      <w:r w:rsidRPr="00B63BD5">
        <w:rPr>
          <w:lang w:val="fr-CA"/>
        </w:rPr>
        <w:t xml:space="preserve">ou </w:t>
      </w:r>
      <w:r w:rsidR="00C84CDA" w:rsidRPr="00B63BD5">
        <w:rPr>
          <w:lang w:val="fr-CA"/>
        </w:rPr>
        <w:t xml:space="preserve">le </w:t>
      </w:r>
      <w:r w:rsidRPr="00B63BD5">
        <w:rPr>
          <w:lang w:val="fr-CA"/>
        </w:rPr>
        <w:t>seront à l</w:t>
      </w:r>
      <w:r w:rsidR="00564B0C" w:rsidRPr="00B63BD5">
        <w:rPr>
          <w:lang w:val="fr-CA"/>
        </w:rPr>
        <w:t>’</w:t>
      </w:r>
      <w:r w:rsidRPr="00B63BD5">
        <w:rPr>
          <w:lang w:val="fr-CA"/>
        </w:rPr>
        <w:t xml:space="preserve">avenir </w:t>
      </w:r>
      <w:r w:rsidR="00C07CA0" w:rsidRPr="00B63BD5">
        <w:rPr>
          <w:lang w:val="fr-CA"/>
        </w:rPr>
        <w:t xml:space="preserve">par un ou </w:t>
      </w:r>
      <w:r w:rsidRPr="00B63BD5">
        <w:rPr>
          <w:lang w:val="fr-CA"/>
        </w:rPr>
        <w:t>plusieurs des</w:t>
      </w:r>
      <w:r w:rsidR="000405BE" w:rsidRPr="00B63BD5">
        <w:rPr>
          <w:lang w:val="fr-CA"/>
        </w:rPr>
        <w:t> </w:t>
      </w:r>
      <w:r w:rsidRPr="00B63BD5">
        <w:rPr>
          <w:lang w:val="fr-CA"/>
        </w:rPr>
        <w:t xml:space="preserve">Documents de prêt sont par les présentes hypothéqués </w:t>
      </w:r>
      <w:r w:rsidR="00C07CA0" w:rsidRPr="00B63BD5">
        <w:rPr>
          <w:lang w:val="fr-CA"/>
        </w:rPr>
        <w:t xml:space="preserve">de nouveau </w:t>
      </w:r>
      <w:r w:rsidR="00926693" w:rsidRPr="00B63BD5">
        <w:rPr>
          <w:lang w:val="fr-CA"/>
        </w:rPr>
        <w:t xml:space="preserve">et grevés </w:t>
      </w:r>
      <w:r w:rsidRPr="00B63BD5">
        <w:rPr>
          <w:lang w:val="fr-CA"/>
        </w:rPr>
        <w:t>en faveur de</w:t>
      </w:r>
      <w:r w:rsidR="000405BE" w:rsidRPr="00B63BD5">
        <w:rPr>
          <w:lang w:val="fr-CA"/>
        </w:rPr>
        <w:t> </w:t>
      </w:r>
      <w:r w:rsidRPr="00B63BD5">
        <w:rPr>
          <w:lang w:val="fr-CA"/>
        </w:rPr>
        <w:t>la</w:t>
      </w:r>
      <w:r w:rsidR="000405BE" w:rsidRPr="00B63BD5">
        <w:rPr>
          <w:lang w:val="fr-CA"/>
        </w:rPr>
        <w:t> </w:t>
      </w:r>
      <w:r w:rsidRPr="00B63BD5">
        <w:rPr>
          <w:lang w:val="fr-CA"/>
        </w:rPr>
        <w:t xml:space="preserve">Banque, et la Banque </w:t>
      </w:r>
      <w:r w:rsidR="00C84CDA" w:rsidRPr="00B63BD5">
        <w:rPr>
          <w:lang w:val="fr-CA"/>
        </w:rPr>
        <w:t xml:space="preserve">détient </w:t>
      </w:r>
      <w:r w:rsidRPr="00B63BD5">
        <w:rPr>
          <w:lang w:val="fr-CA"/>
        </w:rPr>
        <w:t xml:space="preserve">une </w:t>
      </w:r>
      <w:r w:rsidR="004C4158" w:rsidRPr="00B63BD5">
        <w:rPr>
          <w:lang w:val="fr-CA"/>
        </w:rPr>
        <w:t xml:space="preserve">Charge </w:t>
      </w:r>
      <w:r w:rsidRPr="00B63BD5">
        <w:rPr>
          <w:lang w:val="fr-CA"/>
        </w:rPr>
        <w:t xml:space="preserve">sur </w:t>
      </w:r>
      <w:r w:rsidR="00926693" w:rsidRPr="00B63BD5">
        <w:rPr>
          <w:lang w:val="fr-CA"/>
        </w:rPr>
        <w:t>ce</w:t>
      </w:r>
      <w:r w:rsidRPr="00B63BD5">
        <w:rPr>
          <w:lang w:val="fr-CA"/>
        </w:rPr>
        <w:t>s éléments d</w:t>
      </w:r>
      <w:r w:rsidR="00564B0C" w:rsidRPr="00B63BD5">
        <w:rPr>
          <w:lang w:val="fr-CA"/>
        </w:rPr>
        <w:t>’</w:t>
      </w:r>
      <w:r w:rsidRPr="00B63BD5">
        <w:rPr>
          <w:lang w:val="fr-CA"/>
        </w:rPr>
        <w:t xml:space="preserve">actif </w:t>
      </w:r>
      <w:r w:rsidR="00C84CDA" w:rsidRPr="00B63BD5">
        <w:rPr>
          <w:lang w:val="fr-CA"/>
        </w:rPr>
        <w:t xml:space="preserve">à titre de </w:t>
      </w:r>
      <w:r w:rsidR="00926693" w:rsidRPr="00B63BD5">
        <w:rPr>
          <w:lang w:val="fr-CA"/>
        </w:rPr>
        <w:t>garantie du</w:t>
      </w:r>
      <w:r w:rsidR="000405BE" w:rsidRPr="00B63BD5">
        <w:rPr>
          <w:lang w:val="fr-CA"/>
        </w:rPr>
        <w:t> </w:t>
      </w:r>
      <w:r w:rsidRPr="00B63BD5">
        <w:rPr>
          <w:lang w:val="fr-CA"/>
        </w:rPr>
        <w:t>remboursement de tels frais et de l</w:t>
      </w:r>
      <w:r w:rsidR="00564B0C" w:rsidRPr="00B63BD5">
        <w:rPr>
          <w:lang w:val="fr-CA"/>
        </w:rPr>
        <w:t>’</w:t>
      </w:r>
      <w:r w:rsidRPr="00B63BD5">
        <w:rPr>
          <w:lang w:val="fr-CA"/>
        </w:rPr>
        <w:t>intérêt sur ceux</w:t>
      </w:r>
      <w:r w:rsidRPr="00B63BD5">
        <w:rPr>
          <w:lang w:val="fr-CA"/>
        </w:rPr>
        <w:noBreakHyphen/>
        <w:t>ci, comme si ces</w:t>
      </w:r>
      <w:r w:rsidR="00926693" w:rsidRPr="00B63BD5">
        <w:rPr>
          <w:lang w:val="fr-CA"/>
        </w:rPr>
        <w:t xml:space="preserve"> </w:t>
      </w:r>
      <w:r w:rsidRPr="00B63BD5">
        <w:rPr>
          <w:lang w:val="fr-CA"/>
        </w:rPr>
        <w:t xml:space="preserve">frais </w:t>
      </w:r>
      <w:r w:rsidR="00C07CA0" w:rsidRPr="00B63BD5">
        <w:rPr>
          <w:lang w:val="fr-CA"/>
        </w:rPr>
        <w:t xml:space="preserve">avaient initialement fait </w:t>
      </w:r>
      <w:r w:rsidRPr="00B63BD5">
        <w:rPr>
          <w:lang w:val="fr-CA"/>
        </w:rPr>
        <w:t xml:space="preserve">partie des Facilités de crédit. </w:t>
      </w:r>
    </w:p>
    <w:p w14:paraId="33EFDF2B" w14:textId="0173C5F4" w:rsidR="002872C5" w:rsidRPr="00B63BD5" w:rsidRDefault="004246DC" w:rsidP="00632863">
      <w:pPr>
        <w:pStyle w:val="ListNumber"/>
        <w:spacing w:after="240"/>
        <w:ind w:left="709"/>
        <w:jc w:val="both"/>
        <w:rPr>
          <w:lang w:val="fr-CA"/>
        </w:rPr>
      </w:pPr>
      <w:r w:rsidRPr="00B63BD5">
        <w:rPr>
          <w:lang w:val="fr-CA"/>
        </w:rPr>
        <w:t>Indemnisation relative</w:t>
      </w:r>
      <w:r w:rsidR="00D0377A" w:rsidRPr="00B63BD5">
        <w:rPr>
          <w:lang w:val="fr-CA"/>
        </w:rPr>
        <w:t xml:space="preserve"> à l</w:t>
      </w:r>
      <w:r w:rsidR="00564B0C" w:rsidRPr="00B63BD5">
        <w:rPr>
          <w:lang w:val="fr-CA"/>
        </w:rPr>
        <w:t>’</w:t>
      </w:r>
      <w:r w:rsidR="00D0377A" w:rsidRPr="00B63BD5">
        <w:rPr>
          <w:lang w:val="fr-CA"/>
        </w:rPr>
        <w:t xml:space="preserve">augmentation des </w:t>
      </w:r>
      <w:r w:rsidR="00CE3FCB" w:rsidRPr="00B63BD5">
        <w:rPr>
          <w:lang w:val="fr-CA"/>
        </w:rPr>
        <w:t>frais</w:t>
      </w:r>
      <w:r w:rsidRPr="00B63BD5">
        <w:rPr>
          <w:lang w:val="fr-CA"/>
        </w:rPr>
        <w:t xml:space="preserve"> </w:t>
      </w:r>
    </w:p>
    <w:p w14:paraId="14515535" w14:textId="7F649913" w:rsidR="002872C5" w:rsidRPr="00B63BD5" w:rsidRDefault="004246DC" w:rsidP="00632863">
      <w:pPr>
        <w:spacing w:after="240"/>
        <w:jc w:val="both"/>
        <w:rPr>
          <w:lang w:val="fr-CA"/>
        </w:rPr>
      </w:pPr>
      <w:r w:rsidRPr="00B63BD5">
        <w:rPr>
          <w:lang w:val="fr-CA"/>
        </w:rPr>
        <w:t>Si une modification apportée aux Exigences juridiques applicables ou à l</w:t>
      </w:r>
      <w:r w:rsidR="00564B0C" w:rsidRPr="00B63BD5">
        <w:rPr>
          <w:lang w:val="fr-CA"/>
        </w:rPr>
        <w:t>’</w:t>
      </w:r>
      <w:r w:rsidR="006808D7" w:rsidRPr="00B63BD5">
        <w:rPr>
          <w:lang w:val="fr-CA"/>
        </w:rPr>
        <w:t>interprétation ou à l</w:t>
      </w:r>
      <w:r w:rsidR="00564B0C" w:rsidRPr="00B63BD5">
        <w:rPr>
          <w:lang w:val="fr-CA"/>
        </w:rPr>
        <w:t>’</w:t>
      </w:r>
      <w:r w:rsidR="006808D7" w:rsidRPr="00B63BD5">
        <w:rPr>
          <w:lang w:val="fr-CA"/>
        </w:rPr>
        <w:t>administration de</w:t>
      </w:r>
      <w:r w:rsidR="000405BE" w:rsidRPr="00B63BD5">
        <w:rPr>
          <w:lang w:val="fr-CA"/>
        </w:rPr>
        <w:t> </w:t>
      </w:r>
      <w:r w:rsidR="006808D7" w:rsidRPr="00B63BD5">
        <w:rPr>
          <w:lang w:val="fr-CA"/>
        </w:rPr>
        <w:t>l</w:t>
      </w:r>
      <w:r w:rsidR="00564B0C" w:rsidRPr="00B63BD5">
        <w:rPr>
          <w:lang w:val="fr-CA"/>
        </w:rPr>
        <w:t>’</w:t>
      </w:r>
      <w:r w:rsidR="006808D7" w:rsidRPr="00B63BD5">
        <w:rPr>
          <w:lang w:val="fr-CA"/>
        </w:rPr>
        <w:t>une ou l</w:t>
      </w:r>
      <w:r w:rsidR="00564B0C" w:rsidRPr="00B63BD5">
        <w:rPr>
          <w:lang w:val="fr-CA"/>
        </w:rPr>
        <w:t>’</w:t>
      </w:r>
      <w:r w:rsidR="006808D7" w:rsidRPr="00B63BD5">
        <w:rPr>
          <w:lang w:val="fr-CA"/>
        </w:rPr>
        <w:t>autre de</w:t>
      </w:r>
      <w:r w:rsidRPr="00B63BD5">
        <w:rPr>
          <w:lang w:val="fr-CA"/>
        </w:rPr>
        <w:t xml:space="preserve"> celles</w:t>
      </w:r>
      <w:r w:rsidRPr="00B63BD5">
        <w:rPr>
          <w:lang w:val="fr-CA"/>
        </w:rPr>
        <w:noBreakHyphen/>
        <w:t xml:space="preserve">ci par une Autorité gouvernementale ou </w:t>
      </w:r>
      <w:r w:rsidR="006808D7" w:rsidRPr="00B63BD5">
        <w:rPr>
          <w:lang w:val="fr-CA"/>
        </w:rPr>
        <w:t>le fait que</w:t>
      </w:r>
      <w:r w:rsidRPr="00B63BD5">
        <w:rPr>
          <w:lang w:val="fr-CA"/>
        </w:rPr>
        <w:t xml:space="preserve"> la Banque </w:t>
      </w:r>
      <w:r w:rsidR="00D0377A" w:rsidRPr="00B63BD5">
        <w:rPr>
          <w:lang w:val="fr-CA"/>
        </w:rPr>
        <w:t xml:space="preserve">doive </w:t>
      </w:r>
      <w:r w:rsidRPr="00B63BD5">
        <w:rPr>
          <w:lang w:val="fr-CA"/>
        </w:rPr>
        <w:t>se conforme</w:t>
      </w:r>
      <w:r w:rsidR="00D0377A" w:rsidRPr="00B63BD5">
        <w:rPr>
          <w:lang w:val="fr-CA"/>
        </w:rPr>
        <w:t>r</w:t>
      </w:r>
      <w:r w:rsidRPr="00B63BD5">
        <w:rPr>
          <w:lang w:val="fr-CA"/>
        </w:rPr>
        <w:t xml:space="preserve"> à</w:t>
      </w:r>
      <w:r w:rsidR="000405BE" w:rsidRPr="00B63BD5">
        <w:rPr>
          <w:lang w:val="fr-CA"/>
        </w:rPr>
        <w:t> </w:t>
      </w:r>
      <w:r w:rsidRPr="00B63BD5">
        <w:rPr>
          <w:lang w:val="fr-CA"/>
        </w:rPr>
        <w:t>une demande (ayant force de loi ou non) émanant d</w:t>
      </w:r>
      <w:r w:rsidR="00564B0C" w:rsidRPr="00B63BD5">
        <w:rPr>
          <w:lang w:val="fr-CA"/>
        </w:rPr>
        <w:t>’</w:t>
      </w:r>
      <w:r w:rsidRPr="00B63BD5">
        <w:rPr>
          <w:lang w:val="fr-CA"/>
        </w:rPr>
        <w:t>une banque centrale pertinente</w:t>
      </w:r>
      <w:r w:rsidR="006808D7" w:rsidRPr="00B63BD5">
        <w:rPr>
          <w:lang w:val="fr-CA"/>
        </w:rPr>
        <w:t>,</w:t>
      </w:r>
      <w:r w:rsidRPr="00B63BD5">
        <w:rPr>
          <w:lang w:val="fr-CA"/>
        </w:rPr>
        <w:t xml:space="preserve"> d</w:t>
      </w:r>
      <w:r w:rsidR="00564B0C" w:rsidRPr="00B63BD5">
        <w:rPr>
          <w:lang w:val="fr-CA"/>
        </w:rPr>
        <w:t>’</w:t>
      </w:r>
      <w:r w:rsidRPr="00B63BD5">
        <w:rPr>
          <w:lang w:val="fr-CA"/>
        </w:rPr>
        <w:t xml:space="preserve">un autre </w:t>
      </w:r>
      <w:r w:rsidR="00D0377A" w:rsidRPr="00B63BD5">
        <w:rPr>
          <w:lang w:val="fr-CA"/>
        </w:rPr>
        <w:t xml:space="preserve">organisme </w:t>
      </w:r>
      <w:r w:rsidRPr="00B63BD5">
        <w:rPr>
          <w:lang w:val="fr-CA"/>
        </w:rPr>
        <w:t>comparable ou d</w:t>
      </w:r>
      <w:r w:rsidR="00564B0C" w:rsidRPr="00B63BD5">
        <w:rPr>
          <w:lang w:val="fr-CA"/>
        </w:rPr>
        <w:t>’</w:t>
      </w:r>
      <w:r w:rsidRPr="00B63BD5">
        <w:rPr>
          <w:lang w:val="fr-CA"/>
        </w:rPr>
        <w:t xml:space="preserve">une Autorité gouvernementale change le </w:t>
      </w:r>
      <w:r w:rsidR="00D0377A" w:rsidRPr="00B63BD5">
        <w:rPr>
          <w:lang w:val="fr-CA"/>
        </w:rPr>
        <w:t xml:space="preserve">mode </w:t>
      </w:r>
      <w:r w:rsidRPr="00B63BD5">
        <w:rPr>
          <w:lang w:val="fr-CA"/>
        </w:rPr>
        <w:t>d</w:t>
      </w:r>
      <w:r w:rsidR="00564B0C" w:rsidRPr="00B63BD5">
        <w:rPr>
          <w:lang w:val="fr-CA"/>
        </w:rPr>
        <w:t>’</w:t>
      </w:r>
      <w:r w:rsidRPr="00B63BD5">
        <w:rPr>
          <w:lang w:val="fr-CA"/>
        </w:rPr>
        <w:t xml:space="preserve">imposition </w:t>
      </w:r>
      <w:r w:rsidR="006F45B8" w:rsidRPr="00B63BD5">
        <w:rPr>
          <w:lang w:val="fr-CA"/>
        </w:rPr>
        <w:t>auquel sont assujetti</w:t>
      </w:r>
      <w:r w:rsidR="00C84CDA" w:rsidRPr="00B63BD5">
        <w:rPr>
          <w:lang w:val="fr-CA"/>
        </w:rPr>
        <w:t>s</w:t>
      </w:r>
      <w:r w:rsidR="006F45B8" w:rsidRPr="00B63BD5">
        <w:rPr>
          <w:lang w:val="fr-CA"/>
        </w:rPr>
        <w:t xml:space="preserve"> les</w:t>
      </w:r>
      <w:r w:rsidR="000405BE" w:rsidRPr="00B63BD5">
        <w:rPr>
          <w:lang w:val="fr-CA"/>
        </w:rPr>
        <w:t> </w:t>
      </w:r>
      <w:r w:rsidRPr="00B63BD5">
        <w:rPr>
          <w:lang w:val="fr-CA"/>
        </w:rPr>
        <w:t>paiements</w:t>
      </w:r>
      <w:r w:rsidR="00954A5E" w:rsidRPr="00B63BD5">
        <w:rPr>
          <w:lang w:val="fr-CA"/>
        </w:rPr>
        <w:t xml:space="preserve"> faits à la Banque, qu</w:t>
      </w:r>
      <w:r w:rsidR="00564B0C" w:rsidRPr="00B63BD5">
        <w:rPr>
          <w:lang w:val="fr-CA"/>
        </w:rPr>
        <w:t>’</w:t>
      </w:r>
      <w:r w:rsidR="00954A5E" w:rsidRPr="00B63BD5">
        <w:rPr>
          <w:lang w:val="fr-CA"/>
        </w:rPr>
        <w:t>il s</w:t>
      </w:r>
      <w:r w:rsidR="00564B0C" w:rsidRPr="00B63BD5">
        <w:rPr>
          <w:lang w:val="fr-CA"/>
        </w:rPr>
        <w:t>’</w:t>
      </w:r>
      <w:r w:rsidR="00954A5E" w:rsidRPr="00B63BD5">
        <w:rPr>
          <w:lang w:val="fr-CA"/>
        </w:rPr>
        <w:t>agisse du remboursement du capital des Prêts ou d</w:t>
      </w:r>
      <w:r w:rsidR="00564B0C" w:rsidRPr="00B63BD5">
        <w:rPr>
          <w:lang w:val="fr-CA"/>
        </w:rPr>
        <w:t>’</w:t>
      </w:r>
      <w:r w:rsidR="00C84CDA" w:rsidRPr="00B63BD5">
        <w:rPr>
          <w:lang w:val="fr-CA"/>
        </w:rPr>
        <w:t xml:space="preserve">autres </w:t>
      </w:r>
      <w:r w:rsidR="00954A5E" w:rsidRPr="00B63BD5">
        <w:rPr>
          <w:lang w:val="fr-CA"/>
        </w:rPr>
        <w:t>somme</w:t>
      </w:r>
      <w:r w:rsidR="00C84CDA" w:rsidRPr="00B63BD5">
        <w:rPr>
          <w:lang w:val="fr-CA"/>
        </w:rPr>
        <w:t>s</w:t>
      </w:r>
      <w:r w:rsidR="00954A5E" w:rsidRPr="00B63BD5">
        <w:rPr>
          <w:lang w:val="fr-CA"/>
        </w:rPr>
        <w:t xml:space="preserve"> payable</w:t>
      </w:r>
      <w:r w:rsidR="00C84CDA" w:rsidRPr="00B63BD5">
        <w:rPr>
          <w:lang w:val="fr-CA"/>
        </w:rPr>
        <w:t>s</w:t>
      </w:r>
      <w:r w:rsidR="00954A5E" w:rsidRPr="00B63BD5">
        <w:rPr>
          <w:lang w:val="fr-CA"/>
        </w:rPr>
        <w:t xml:space="preserve"> aux termes de la présente Lettre relative aux facilités ou du </w:t>
      </w:r>
      <w:r w:rsidR="00BD5D6C" w:rsidRPr="00B63BD5">
        <w:rPr>
          <w:lang w:val="fr-CA"/>
        </w:rPr>
        <w:t>paiement</w:t>
      </w:r>
      <w:r w:rsidR="00954A5E" w:rsidRPr="00B63BD5">
        <w:rPr>
          <w:lang w:val="fr-CA"/>
        </w:rPr>
        <w:t xml:space="preserve"> de l</w:t>
      </w:r>
      <w:r w:rsidR="00564B0C" w:rsidRPr="00B63BD5">
        <w:rPr>
          <w:lang w:val="fr-CA"/>
        </w:rPr>
        <w:t>’</w:t>
      </w:r>
      <w:r w:rsidR="00954A5E" w:rsidRPr="00B63BD5">
        <w:rPr>
          <w:lang w:val="fr-CA"/>
        </w:rPr>
        <w:t>intérêt sur ces Prêts ou</w:t>
      </w:r>
      <w:r w:rsidR="000405BE" w:rsidRPr="00B63BD5">
        <w:rPr>
          <w:lang w:val="fr-CA"/>
        </w:rPr>
        <w:t> </w:t>
      </w:r>
      <w:r w:rsidR="00954A5E" w:rsidRPr="00B63BD5">
        <w:rPr>
          <w:lang w:val="fr-CA"/>
        </w:rPr>
        <w:t>autre</w:t>
      </w:r>
      <w:r w:rsidR="006808D7" w:rsidRPr="00B63BD5">
        <w:rPr>
          <w:lang w:val="fr-CA"/>
        </w:rPr>
        <w:t>s</w:t>
      </w:r>
      <w:r w:rsidR="00954A5E" w:rsidRPr="00B63BD5">
        <w:rPr>
          <w:lang w:val="fr-CA"/>
        </w:rPr>
        <w:t xml:space="preserve"> somme</w:t>
      </w:r>
      <w:r w:rsidR="006808D7" w:rsidRPr="00B63BD5">
        <w:rPr>
          <w:lang w:val="fr-CA"/>
        </w:rPr>
        <w:t>s</w:t>
      </w:r>
      <w:r w:rsidR="00954A5E" w:rsidRPr="00B63BD5">
        <w:rPr>
          <w:lang w:val="fr-CA"/>
        </w:rPr>
        <w:t xml:space="preserve"> (sauf pour ce qui est de </w:t>
      </w:r>
      <w:r w:rsidR="006808D7" w:rsidRPr="00B63BD5">
        <w:rPr>
          <w:lang w:val="fr-CA"/>
        </w:rPr>
        <w:t xml:space="preserve">la </w:t>
      </w:r>
      <w:r w:rsidR="00954A5E" w:rsidRPr="00B63BD5">
        <w:rPr>
          <w:lang w:val="fr-CA"/>
        </w:rPr>
        <w:t>modification du taux d</w:t>
      </w:r>
      <w:r w:rsidR="00564B0C" w:rsidRPr="00B63BD5">
        <w:rPr>
          <w:lang w:val="fr-CA"/>
        </w:rPr>
        <w:t>’</w:t>
      </w:r>
      <w:r w:rsidR="00954A5E" w:rsidRPr="00B63BD5">
        <w:rPr>
          <w:lang w:val="fr-CA"/>
        </w:rPr>
        <w:t xml:space="preserve">imposition </w:t>
      </w:r>
      <w:r w:rsidR="00C84CDA" w:rsidRPr="00B63BD5">
        <w:rPr>
          <w:lang w:val="fr-CA"/>
        </w:rPr>
        <w:t xml:space="preserve">applicable au </w:t>
      </w:r>
      <w:r w:rsidR="00954A5E" w:rsidRPr="00B63BD5">
        <w:rPr>
          <w:lang w:val="fr-CA"/>
        </w:rPr>
        <w:t>bénéfice net</w:t>
      </w:r>
      <w:r w:rsidR="000405BE" w:rsidRPr="00B63BD5">
        <w:rPr>
          <w:lang w:val="fr-CA"/>
        </w:rPr>
        <w:t> </w:t>
      </w:r>
      <w:r w:rsidR="00D0377A" w:rsidRPr="00B63BD5">
        <w:rPr>
          <w:lang w:val="fr-CA"/>
        </w:rPr>
        <w:t>ou</w:t>
      </w:r>
      <w:r w:rsidR="000405BE" w:rsidRPr="00B63BD5">
        <w:rPr>
          <w:lang w:val="fr-CA"/>
        </w:rPr>
        <w:t> </w:t>
      </w:r>
      <w:r w:rsidR="00D0377A" w:rsidRPr="00B63BD5">
        <w:rPr>
          <w:lang w:val="fr-CA"/>
        </w:rPr>
        <w:t>aux</w:t>
      </w:r>
      <w:r w:rsidR="000405BE" w:rsidRPr="00B63BD5">
        <w:rPr>
          <w:lang w:val="fr-CA"/>
        </w:rPr>
        <w:t> </w:t>
      </w:r>
      <w:r w:rsidR="00D0377A" w:rsidRPr="00B63BD5">
        <w:rPr>
          <w:lang w:val="fr-CA"/>
        </w:rPr>
        <w:t xml:space="preserve">profits </w:t>
      </w:r>
      <w:r w:rsidR="00954A5E" w:rsidRPr="00B63BD5">
        <w:rPr>
          <w:lang w:val="fr-CA"/>
        </w:rPr>
        <w:t>de la Banque</w:t>
      </w:r>
      <w:r w:rsidR="00B0297F" w:rsidRPr="00B63BD5">
        <w:rPr>
          <w:lang w:val="fr-CA"/>
        </w:rPr>
        <w:t xml:space="preserve"> ou</w:t>
      </w:r>
      <w:r w:rsidR="00C84CDA" w:rsidRPr="00B63BD5">
        <w:rPr>
          <w:lang w:val="fr-CA"/>
        </w:rPr>
        <w:t xml:space="preserve"> </w:t>
      </w:r>
      <w:r w:rsidR="00D0377A" w:rsidRPr="00B63BD5">
        <w:rPr>
          <w:lang w:val="fr-CA"/>
        </w:rPr>
        <w:t>du taux d</w:t>
      </w:r>
      <w:r w:rsidR="00564B0C" w:rsidRPr="00B63BD5">
        <w:rPr>
          <w:lang w:val="fr-CA"/>
        </w:rPr>
        <w:t>’</w:t>
      </w:r>
      <w:r w:rsidR="00D0377A" w:rsidRPr="00B63BD5">
        <w:rPr>
          <w:lang w:val="fr-CA"/>
        </w:rPr>
        <w:t>imposition fondé sur celui</w:t>
      </w:r>
      <w:r w:rsidR="00D0377A" w:rsidRPr="00B63BD5">
        <w:rPr>
          <w:lang w:val="fr-CA"/>
        </w:rPr>
        <w:noBreakHyphen/>
        <w:t>ci</w:t>
      </w:r>
      <w:r w:rsidR="00B0297F" w:rsidRPr="00B63BD5">
        <w:rPr>
          <w:lang w:val="fr-CA"/>
        </w:rPr>
        <w:t>)</w:t>
      </w:r>
      <w:r w:rsidR="00C84CDA" w:rsidRPr="00B63BD5">
        <w:rPr>
          <w:lang w:val="fr-CA"/>
        </w:rPr>
        <w:t xml:space="preserve">, impose ou modifie </w:t>
      </w:r>
      <w:r w:rsidR="006F45B8" w:rsidRPr="00B63BD5">
        <w:rPr>
          <w:lang w:val="fr-CA"/>
        </w:rPr>
        <w:t>des réserves</w:t>
      </w:r>
      <w:r w:rsidR="00C84CDA" w:rsidRPr="00B63BD5">
        <w:rPr>
          <w:lang w:val="fr-CA"/>
        </w:rPr>
        <w:t>,</w:t>
      </w:r>
      <w:r w:rsidR="006F45B8" w:rsidRPr="00B63BD5">
        <w:rPr>
          <w:lang w:val="fr-CA"/>
        </w:rPr>
        <w:t xml:space="preserve"> des</w:t>
      </w:r>
      <w:r w:rsidR="000405BE" w:rsidRPr="00B63BD5">
        <w:rPr>
          <w:lang w:val="fr-CA"/>
        </w:rPr>
        <w:t> </w:t>
      </w:r>
      <w:r w:rsidR="006F45B8" w:rsidRPr="00B63BD5">
        <w:rPr>
          <w:lang w:val="fr-CA"/>
        </w:rPr>
        <w:t xml:space="preserve">dépôts </w:t>
      </w:r>
      <w:r w:rsidR="00D0377A" w:rsidRPr="00B63BD5">
        <w:rPr>
          <w:lang w:val="fr-CA"/>
        </w:rPr>
        <w:t xml:space="preserve">spéciaux </w:t>
      </w:r>
      <w:r w:rsidR="006F45B8" w:rsidRPr="00B63BD5">
        <w:rPr>
          <w:lang w:val="fr-CA"/>
        </w:rPr>
        <w:t>ou des exigences similaires</w:t>
      </w:r>
      <w:r w:rsidR="00C84CDA" w:rsidRPr="00B63BD5">
        <w:rPr>
          <w:lang w:val="fr-CA"/>
        </w:rPr>
        <w:t xml:space="preserve"> </w:t>
      </w:r>
      <w:r w:rsidR="00D0377A" w:rsidRPr="00B63BD5">
        <w:rPr>
          <w:lang w:val="fr-CA"/>
        </w:rPr>
        <w:t>à l</w:t>
      </w:r>
      <w:r w:rsidR="00564B0C" w:rsidRPr="00B63BD5">
        <w:rPr>
          <w:lang w:val="fr-CA"/>
        </w:rPr>
        <w:t>’</w:t>
      </w:r>
      <w:r w:rsidR="00D0377A" w:rsidRPr="00B63BD5">
        <w:rPr>
          <w:lang w:val="fr-CA"/>
        </w:rPr>
        <w:t xml:space="preserve">encontre </w:t>
      </w:r>
      <w:r w:rsidR="006F45B8" w:rsidRPr="00B63BD5">
        <w:rPr>
          <w:lang w:val="fr-CA"/>
        </w:rPr>
        <w:t>des</w:t>
      </w:r>
      <w:r w:rsidR="00954A5E" w:rsidRPr="00B63BD5">
        <w:rPr>
          <w:lang w:val="fr-CA"/>
        </w:rPr>
        <w:t xml:space="preserve"> éléments d</w:t>
      </w:r>
      <w:r w:rsidR="00564B0C" w:rsidRPr="00B63BD5">
        <w:rPr>
          <w:lang w:val="fr-CA"/>
        </w:rPr>
        <w:t>’</w:t>
      </w:r>
      <w:r w:rsidR="00954A5E" w:rsidRPr="00B63BD5">
        <w:rPr>
          <w:lang w:val="fr-CA"/>
        </w:rPr>
        <w:t xml:space="preserve">actif de la Banque, </w:t>
      </w:r>
      <w:r w:rsidR="006F45B8" w:rsidRPr="00B63BD5">
        <w:rPr>
          <w:lang w:val="fr-CA"/>
        </w:rPr>
        <w:t>des</w:t>
      </w:r>
      <w:r w:rsidR="00954A5E" w:rsidRPr="00B63BD5">
        <w:rPr>
          <w:lang w:val="fr-CA"/>
        </w:rPr>
        <w:t xml:space="preserve"> dépôts</w:t>
      </w:r>
      <w:r w:rsidR="006F45B8" w:rsidRPr="00B63BD5">
        <w:rPr>
          <w:lang w:val="fr-CA"/>
        </w:rPr>
        <w:t xml:space="preserve"> faits</w:t>
      </w:r>
      <w:r w:rsidR="00954A5E" w:rsidRPr="00B63BD5">
        <w:rPr>
          <w:lang w:val="fr-CA"/>
        </w:rPr>
        <w:t xml:space="preserve"> auprès de celle</w:t>
      </w:r>
      <w:r w:rsidR="00954A5E" w:rsidRPr="00B63BD5">
        <w:rPr>
          <w:lang w:val="fr-CA"/>
        </w:rPr>
        <w:noBreakHyphen/>
        <w:t xml:space="preserve">ci ou pour </w:t>
      </w:r>
      <w:r w:rsidR="006F45B8" w:rsidRPr="00B63BD5">
        <w:rPr>
          <w:lang w:val="fr-CA"/>
        </w:rPr>
        <w:t>son</w:t>
      </w:r>
      <w:r w:rsidR="00954A5E" w:rsidRPr="00B63BD5">
        <w:rPr>
          <w:lang w:val="fr-CA"/>
        </w:rPr>
        <w:t xml:space="preserve"> compte ou </w:t>
      </w:r>
      <w:r w:rsidR="00D75AFB" w:rsidRPr="00B63BD5">
        <w:rPr>
          <w:lang w:val="fr-CA"/>
        </w:rPr>
        <w:t>des</w:t>
      </w:r>
      <w:r w:rsidR="00954A5E" w:rsidRPr="00B63BD5">
        <w:rPr>
          <w:lang w:val="fr-CA"/>
        </w:rPr>
        <w:t xml:space="preserve"> crédit</w:t>
      </w:r>
      <w:r w:rsidR="00D75AFB" w:rsidRPr="00B63BD5">
        <w:rPr>
          <w:lang w:val="fr-CA"/>
        </w:rPr>
        <w:t>s</w:t>
      </w:r>
      <w:r w:rsidR="00954A5E" w:rsidRPr="00B63BD5">
        <w:rPr>
          <w:lang w:val="fr-CA"/>
        </w:rPr>
        <w:t xml:space="preserve"> consenti</w:t>
      </w:r>
      <w:r w:rsidR="00D75AFB" w:rsidRPr="00B63BD5">
        <w:rPr>
          <w:lang w:val="fr-CA"/>
        </w:rPr>
        <w:t>s</w:t>
      </w:r>
      <w:r w:rsidR="00954A5E" w:rsidRPr="00B63BD5">
        <w:rPr>
          <w:lang w:val="fr-CA"/>
        </w:rPr>
        <w:t xml:space="preserve"> par celle</w:t>
      </w:r>
      <w:r w:rsidR="00954A5E" w:rsidRPr="00B63BD5">
        <w:rPr>
          <w:lang w:val="fr-CA"/>
        </w:rPr>
        <w:noBreakHyphen/>
        <w:t>ci</w:t>
      </w:r>
      <w:r w:rsidR="000E4D1D" w:rsidRPr="00B63BD5">
        <w:rPr>
          <w:lang w:val="fr-CA"/>
        </w:rPr>
        <w:t>, ou fait en sorte que de tels réserves, dépôts ou exigences soient applicables</w:t>
      </w:r>
      <w:r w:rsidR="00954A5E" w:rsidRPr="00B63BD5">
        <w:rPr>
          <w:lang w:val="fr-CA"/>
        </w:rPr>
        <w:t xml:space="preserve"> ou impose à la Banque ou au marché interbancaire de</w:t>
      </w:r>
      <w:r w:rsidR="000405BE" w:rsidRPr="00B63BD5">
        <w:rPr>
          <w:lang w:val="fr-CA"/>
        </w:rPr>
        <w:t> </w:t>
      </w:r>
      <w:r w:rsidR="00954A5E" w:rsidRPr="00B63BD5">
        <w:rPr>
          <w:lang w:val="fr-CA"/>
        </w:rPr>
        <w:t>Londres d</w:t>
      </w:r>
      <w:r w:rsidR="00564B0C" w:rsidRPr="00B63BD5">
        <w:rPr>
          <w:lang w:val="fr-CA"/>
        </w:rPr>
        <w:t>’</w:t>
      </w:r>
      <w:r w:rsidR="00954A5E" w:rsidRPr="00B63BD5">
        <w:rPr>
          <w:lang w:val="fr-CA"/>
        </w:rPr>
        <w:t xml:space="preserve">autres conditions </w:t>
      </w:r>
      <w:r w:rsidR="00D75AFB" w:rsidRPr="00B63BD5">
        <w:rPr>
          <w:lang w:val="fr-CA"/>
        </w:rPr>
        <w:t>ayant une incidence</w:t>
      </w:r>
      <w:r w:rsidR="00954A5E" w:rsidRPr="00B63BD5">
        <w:rPr>
          <w:lang w:val="fr-CA"/>
        </w:rPr>
        <w:t xml:space="preserve"> directe</w:t>
      </w:r>
      <w:r w:rsidR="00D75AFB" w:rsidRPr="00B63BD5">
        <w:rPr>
          <w:lang w:val="fr-CA"/>
        </w:rPr>
        <w:t xml:space="preserve"> sur</w:t>
      </w:r>
      <w:r w:rsidR="00954A5E" w:rsidRPr="00B63BD5">
        <w:rPr>
          <w:lang w:val="fr-CA"/>
        </w:rPr>
        <w:t xml:space="preserve"> la présente Lettre relative aux facilités ou</w:t>
      </w:r>
      <w:r w:rsidR="000405BE" w:rsidRPr="00B63BD5">
        <w:rPr>
          <w:lang w:val="fr-CA"/>
        </w:rPr>
        <w:t> </w:t>
      </w:r>
      <w:r w:rsidR="00954A5E" w:rsidRPr="00B63BD5">
        <w:rPr>
          <w:lang w:val="fr-CA"/>
        </w:rPr>
        <w:t>les</w:t>
      </w:r>
      <w:r w:rsidR="000405BE" w:rsidRPr="00B63BD5">
        <w:rPr>
          <w:lang w:val="fr-CA"/>
        </w:rPr>
        <w:t> </w:t>
      </w:r>
      <w:r w:rsidR="00954A5E" w:rsidRPr="00B63BD5">
        <w:rPr>
          <w:lang w:val="fr-CA"/>
        </w:rPr>
        <w:t>Prêts</w:t>
      </w:r>
      <w:r w:rsidR="00D75AFB" w:rsidRPr="00B63BD5">
        <w:rPr>
          <w:lang w:val="fr-CA"/>
        </w:rPr>
        <w:t>,</w:t>
      </w:r>
      <w:r w:rsidR="00954A5E" w:rsidRPr="00B63BD5">
        <w:rPr>
          <w:lang w:val="fr-CA"/>
        </w:rPr>
        <w:t xml:space="preserve"> et que</w:t>
      </w:r>
      <w:r w:rsidR="00D75AFB" w:rsidRPr="00B63BD5">
        <w:rPr>
          <w:lang w:val="fr-CA"/>
        </w:rPr>
        <w:t xml:space="preserve"> cela a pour </w:t>
      </w:r>
      <w:r w:rsidR="000E4D1D" w:rsidRPr="00B63BD5">
        <w:rPr>
          <w:lang w:val="fr-CA"/>
        </w:rPr>
        <w:t xml:space="preserve">effet </w:t>
      </w:r>
      <w:r w:rsidR="00D75AFB" w:rsidRPr="00B63BD5">
        <w:rPr>
          <w:lang w:val="fr-CA"/>
        </w:rPr>
        <w:t>d</w:t>
      </w:r>
      <w:r w:rsidR="00564B0C" w:rsidRPr="00B63BD5">
        <w:rPr>
          <w:lang w:val="fr-CA"/>
        </w:rPr>
        <w:t>’</w:t>
      </w:r>
      <w:r w:rsidR="00D75AFB" w:rsidRPr="00B63BD5">
        <w:rPr>
          <w:lang w:val="fr-CA"/>
        </w:rPr>
        <w:t xml:space="preserve">augmenter </w:t>
      </w:r>
      <w:r w:rsidR="00954A5E" w:rsidRPr="00B63BD5">
        <w:rPr>
          <w:lang w:val="fr-CA"/>
        </w:rPr>
        <w:t xml:space="preserve">les frais que la Banque </w:t>
      </w:r>
      <w:r w:rsidR="00D75AFB" w:rsidRPr="00B63BD5">
        <w:rPr>
          <w:lang w:val="fr-CA"/>
        </w:rPr>
        <w:t xml:space="preserve">doit </w:t>
      </w:r>
      <w:r w:rsidR="00954A5E" w:rsidRPr="00B63BD5">
        <w:rPr>
          <w:lang w:val="fr-CA"/>
        </w:rPr>
        <w:t>engage</w:t>
      </w:r>
      <w:r w:rsidR="00D75AFB" w:rsidRPr="00B63BD5">
        <w:rPr>
          <w:lang w:val="fr-CA"/>
        </w:rPr>
        <w:t>r</w:t>
      </w:r>
      <w:r w:rsidR="00954A5E" w:rsidRPr="00B63BD5">
        <w:rPr>
          <w:lang w:val="fr-CA"/>
        </w:rPr>
        <w:t xml:space="preserve"> pour consentir les Prêts ou</w:t>
      </w:r>
      <w:r w:rsidR="00D75AFB" w:rsidRPr="00B63BD5">
        <w:rPr>
          <w:lang w:val="fr-CA"/>
        </w:rPr>
        <w:t xml:space="preserve"> les</w:t>
      </w:r>
      <w:r w:rsidR="00954A5E" w:rsidRPr="00B63BD5">
        <w:rPr>
          <w:lang w:val="fr-CA"/>
        </w:rPr>
        <w:t xml:space="preserve"> maintenir ou</w:t>
      </w:r>
      <w:r w:rsidR="00D75AFB" w:rsidRPr="00B63BD5">
        <w:rPr>
          <w:lang w:val="fr-CA"/>
        </w:rPr>
        <w:t xml:space="preserve"> de réduire</w:t>
      </w:r>
      <w:r w:rsidR="00954A5E" w:rsidRPr="00B63BD5">
        <w:rPr>
          <w:lang w:val="fr-CA"/>
        </w:rPr>
        <w:t xml:space="preserve"> </w:t>
      </w:r>
      <w:r w:rsidR="000E4D1D" w:rsidRPr="00B63BD5">
        <w:rPr>
          <w:lang w:val="fr-CA"/>
        </w:rPr>
        <w:t>l</w:t>
      </w:r>
      <w:r w:rsidR="00564B0C" w:rsidRPr="00B63BD5">
        <w:rPr>
          <w:lang w:val="fr-CA"/>
        </w:rPr>
        <w:t>’</w:t>
      </w:r>
      <w:r w:rsidR="000E4D1D" w:rsidRPr="00B63BD5">
        <w:rPr>
          <w:lang w:val="fr-CA"/>
        </w:rPr>
        <w:t>une ou l</w:t>
      </w:r>
      <w:r w:rsidR="00564B0C" w:rsidRPr="00B63BD5">
        <w:rPr>
          <w:lang w:val="fr-CA"/>
        </w:rPr>
        <w:t>’</w:t>
      </w:r>
      <w:r w:rsidR="000E4D1D" w:rsidRPr="00B63BD5">
        <w:rPr>
          <w:lang w:val="fr-CA"/>
        </w:rPr>
        <w:t xml:space="preserve">autre des sommes </w:t>
      </w:r>
      <w:r w:rsidR="00D75AFB" w:rsidRPr="00B63BD5">
        <w:rPr>
          <w:lang w:val="fr-CA"/>
        </w:rPr>
        <w:t xml:space="preserve">que la Banque a </w:t>
      </w:r>
      <w:r w:rsidR="00954A5E" w:rsidRPr="00B63BD5">
        <w:rPr>
          <w:lang w:val="fr-CA"/>
        </w:rPr>
        <w:t>reçue</w:t>
      </w:r>
      <w:r w:rsidR="000E4D1D" w:rsidRPr="00B63BD5">
        <w:rPr>
          <w:lang w:val="fr-CA"/>
        </w:rPr>
        <w:t>s</w:t>
      </w:r>
      <w:r w:rsidR="00954A5E" w:rsidRPr="00B63BD5">
        <w:rPr>
          <w:lang w:val="fr-CA"/>
        </w:rPr>
        <w:t xml:space="preserve"> ou d</w:t>
      </w:r>
      <w:r w:rsidR="00D75AFB" w:rsidRPr="00B63BD5">
        <w:rPr>
          <w:lang w:val="fr-CA"/>
        </w:rPr>
        <w:t xml:space="preserve">oit recevoir </w:t>
      </w:r>
      <w:r w:rsidR="00954A5E" w:rsidRPr="00B63BD5">
        <w:rPr>
          <w:lang w:val="fr-CA"/>
        </w:rPr>
        <w:t>aux termes de la présente Lettre relative aux facilités d</w:t>
      </w:r>
      <w:r w:rsidR="00564B0C" w:rsidRPr="00B63BD5">
        <w:rPr>
          <w:lang w:val="fr-CA"/>
        </w:rPr>
        <w:t>’</w:t>
      </w:r>
      <w:r w:rsidR="00954A5E" w:rsidRPr="00B63BD5">
        <w:rPr>
          <w:lang w:val="fr-CA"/>
        </w:rPr>
        <w:t xml:space="preserve">un montant </w:t>
      </w:r>
      <w:r w:rsidR="00C84CDA" w:rsidRPr="00B63BD5">
        <w:rPr>
          <w:lang w:val="fr-CA"/>
        </w:rPr>
        <w:t xml:space="preserve">que la Banque </w:t>
      </w:r>
      <w:r w:rsidR="00954A5E" w:rsidRPr="00B63BD5">
        <w:rPr>
          <w:lang w:val="fr-CA"/>
        </w:rPr>
        <w:t>juge important, l</w:t>
      </w:r>
      <w:r w:rsidR="00564B0C" w:rsidRPr="00B63BD5">
        <w:rPr>
          <w:lang w:val="fr-CA"/>
        </w:rPr>
        <w:t>’</w:t>
      </w:r>
      <w:r w:rsidR="00954A5E" w:rsidRPr="00B63BD5">
        <w:rPr>
          <w:lang w:val="fr-CA"/>
        </w:rPr>
        <w:t>Emprunteur devra, sur</w:t>
      </w:r>
      <w:r w:rsidR="000405BE" w:rsidRPr="00B63BD5">
        <w:rPr>
          <w:lang w:val="fr-CA"/>
        </w:rPr>
        <w:t> </w:t>
      </w:r>
      <w:r w:rsidR="00954A5E" w:rsidRPr="00B63BD5">
        <w:rPr>
          <w:lang w:val="fr-CA"/>
        </w:rPr>
        <w:t>réception d</w:t>
      </w:r>
      <w:r w:rsidR="00564B0C" w:rsidRPr="00B63BD5">
        <w:rPr>
          <w:lang w:val="fr-CA"/>
        </w:rPr>
        <w:t>’</w:t>
      </w:r>
      <w:r w:rsidR="00954A5E" w:rsidRPr="00B63BD5">
        <w:rPr>
          <w:lang w:val="fr-CA"/>
        </w:rPr>
        <w:t>un avis de la Banque, rembourser à celle</w:t>
      </w:r>
      <w:r w:rsidR="00954A5E" w:rsidRPr="00B63BD5">
        <w:rPr>
          <w:lang w:val="fr-CA"/>
        </w:rPr>
        <w:noBreakHyphen/>
        <w:t>ci sur demande la somme</w:t>
      </w:r>
      <w:r w:rsidR="000E4D1D" w:rsidRPr="00B63BD5">
        <w:rPr>
          <w:lang w:val="fr-CA"/>
        </w:rPr>
        <w:t xml:space="preserve"> nécessaire pour compenser cette </w:t>
      </w:r>
      <w:r w:rsidR="00954A5E" w:rsidRPr="00B63BD5">
        <w:rPr>
          <w:lang w:val="fr-CA"/>
        </w:rPr>
        <w:t xml:space="preserve">augmentation ou </w:t>
      </w:r>
      <w:r w:rsidR="000E4D1D" w:rsidRPr="00B63BD5">
        <w:rPr>
          <w:lang w:val="fr-CA"/>
        </w:rPr>
        <w:t xml:space="preserve">cette </w:t>
      </w:r>
      <w:r w:rsidR="00954A5E" w:rsidRPr="00B63BD5">
        <w:rPr>
          <w:lang w:val="fr-CA"/>
        </w:rPr>
        <w:t>réduction. Une attestation d</w:t>
      </w:r>
      <w:r w:rsidR="00564B0C" w:rsidRPr="00B63BD5">
        <w:rPr>
          <w:lang w:val="fr-CA"/>
        </w:rPr>
        <w:t>’</w:t>
      </w:r>
      <w:r w:rsidR="00954A5E" w:rsidRPr="00B63BD5">
        <w:rPr>
          <w:lang w:val="fr-CA"/>
        </w:rPr>
        <w:t>un directeur ou d</w:t>
      </w:r>
      <w:r w:rsidR="00564B0C" w:rsidRPr="00B63BD5">
        <w:rPr>
          <w:lang w:val="fr-CA"/>
        </w:rPr>
        <w:t>’</w:t>
      </w:r>
      <w:r w:rsidR="00954A5E" w:rsidRPr="00B63BD5">
        <w:rPr>
          <w:lang w:val="fr-CA"/>
        </w:rPr>
        <w:t>un directeur de comptes de la Banque indiquant les sommes supplémentaires</w:t>
      </w:r>
      <w:r w:rsidR="000A248E" w:rsidRPr="00B63BD5">
        <w:rPr>
          <w:lang w:val="fr-CA"/>
        </w:rPr>
        <w:t xml:space="preserve"> qui sont</w:t>
      </w:r>
      <w:r w:rsidR="00954A5E" w:rsidRPr="00B63BD5">
        <w:rPr>
          <w:lang w:val="fr-CA"/>
        </w:rPr>
        <w:t xml:space="preserve"> nécessaires pour indemniser la Banque</w:t>
      </w:r>
      <w:r w:rsidR="000A248E" w:rsidRPr="00B63BD5">
        <w:rPr>
          <w:lang w:val="fr-CA"/>
        </w:rPr>
        <w:t>,</w:t>
      </w:r>
      <w:r w:rsidR="00954A5E" w:rsidRPr="00B63BD5">
        <w:rPr>
          <w:lang w:val="fr-CA"/>
        </w:rPr>
        <w:t xml:space="preserve"> comme il est indiqué ci</w:t>
      </w:r>
      <w:r w:rsidR="00954A5E" w:rsidRPr="00B63BD5">
        <w:rPr>
          <w:lang w:val="fr-CA"/>
        </w:rPr>
        <w:noBreakHyphen/>
        <w:t>dessus</w:t>
      </w:r>
      <w:r w:rsidR="000A248E" w:rsidRPr="00B63BD5">
        <w:rPr>
          <w:lang w:val="fr-CA"/>
        </w:rPr>
        <w:t>,</w:t>
      </w:r>
      <w:r w:rsidR="00954A5E" w:rsidRPr="00B63BD5">
        <w:rPr>
          <w:lang w:val="fr-CA"/>
        </w:rPr>
        <w:t xml:space="preserve"> et le mode de calcul de</w:t>
      </w:r>
      <w:r w:rsidR="000A248E" w:rsidRPr="00B63BD5">
        <w:rPr>
          <w:lang w:val="fr-CA"/>
        </w:rPr>
        <w:t xml:space="preserve"> celles</w:t>
      </w:r>
      <w:r w:rsidR="000A248E" w:rsidRPr="00B63BD5">
        <w:rPr>
          <w:lang w:val="fr-CA"/>
        </w:rPr>
        <w:noBreakHyphen/>
        <w:t>ci</w:t>
      </w:r>
      <w:r w:rsidR="00C84CDA" w:rsidRPr="00B63BD5">
        <w:rPr>
          <w:lang w:val="fr-CA"/>
        </w:rPr>
        <w:t>,</w:t>
      </w:r>
      <w:r w:rsidR="00954A5E" w:rsidRPr="00B63BD5">
        <w:rPr>
          <w:lang w:val="fr-CA"/>
        </w:rPr>
        <w:t xml:space="preserve"> </w:t>
      </w:r>
      <w:r w:rsidR="000E4D1D" w:rsidRPr="00B63BD5">
        <w:rPr>
          <w:lang w:val="fr-CA"/>
        </w:rPr>
        <w:t>constitue</w:t>
      </w:r>
      <w:r w:rsidR="000A248E" w:rsidRPr="00B63BD5">
        <w:rPr>
          <w:lang w:val="fr-CA"/>
        </w:rPr>
        <w:t>, sauf erreur manifeste,</w:t>
      </w:r>
      <w:r w:rsidR="00954A5E" w:rsidRPr="00B63BD5">
        <w:rPr>
          <w:lang w:val="fr-CA"/>
        </w:rPr>
        <w:t xml:space="preserve"> une preuve concluante du calcul de ce</w:t>
      </w:r>
      <w:r w:rsidR="000A248E" w:rsidRPr="00B63BD5">
        <w:rPr>
          <w:lang w:val="fr-CA"/>
        </w:rPr>
        <w:t>s</w:t>
      </w:r>
      <w:r w:rsidR="00954A5E" w:rsidRPr="00B63BD5">
        <w:rPr>
          <w:lang w:val="fr-CA"/>
        </w:rPr>
        <w:t xml:space="preserve"> somme</w:t>
      </w:r>
      <w:r w:rsidR="000A248E" w:rsidRPr="00B63BD5">
        <w:rPr>
          <w:lang w:val="fr-CA"/>
        </w:rPr>
        <w:t>s</w:t>
      </w:r>
      <w:r w:rsidR="00954A5E" w:rsidRPr="00B63BD5">
        <w:rPr>
          <w:lang w:val="fr-CA"/>
        </w:rPr>
        <w:t xml:space="preserve">. </w:t>
      </w:r>
    </w:p>
    <w:p w14:paraId="0F3E8AE7" w14:textId="2646282F" w:rsidR="009926E7" w:rsidRPr="00B63BD5" w:rsidRDefault="002C6F56" w:rsidP="00632863">
      <w:pPr>
        <w:pStyle w:val="ListNumber"/>
        <w:spacing w:after="240"/>
        <w:ind w:left="709"/>
        <w:jc w:val="both"/>
        <w:rPr>
          <w:lang w:val="fr-CA"/>
        </w:rPr>
      </w:pPr>
      <w:r w:rsidRPr="00B63BD5">
        <w:rPr>
          <w:lang w:val="fr-CA"/>
        </w:rPr>
        <w:t xml:space="preserve">Visites </w:t>
      </w:r>
      <w:r w:rsidR="00C319E6" w:rsidRPr="00B63BD5">
        <w:rPr>
          <w:lang w:val="fr-CA"/>
        </w:rPr>
        <w:t>faites par</w:t>
      </w:r>
      <w:r w:rsidRPr="00B63BD5">
        <w:rPr>
          <w:lang w:val="fr-CA"/>
        </w:rPr>
        <w:t xml:space="preserve"> la Banque</w:t>
      </w:r>
    </w:p>
    <w:p w14:paraId="6D637FAE" w14:textId="1C3C4097" w:rsidR="009926E7" w:rsidRPr="00B63BD5" w:rsidRDefault="002C6F5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xml:space="preserve">Les représentants de la Banque ont le droit de se présenter </w:t>
      </w:r>
      <w:r w:rsidR="000E4D1D" w:rsidRPr="00B63BD5">
        <w:rPr>
          <w:lang w:val="fr-CA"/>
        </w:rPr>
        <w:t>à l</w:t>
      </w:r>
      <w:r w:rsidR="00564B0C" w:rsidRPr="00B63BD5">
        <w:rPr>
          <w:lang w:val="fr-CA"/>
        </w:rPr>
        <w:t>’</w:t>
      </w:r>
      <w:r w:rsidR="000E4D1D" w:rsidRPr="00B63BD5">
        <w:rPr>
          <w:lang w:val="fr-CA"/>
        </w:rPr>
        <w:t xml:space="preserve">établissement </w:t>
      </w:r>
      <w:r w:rsidRPr="00B63BD5">
        <w:rPr>
          <w:lang w:val="fr-CA"/>
        </w:rPr>
        <w:t>de l</w:t>
      </w:r>
      <w:r w:rsidR="00564B0C" w:rsidRPr="00B63BD5">
        <w:rPr>
          <w:lang w:val="fr-CA"/>
        </w:rPr>
        <w:t>’</w:t>
      </w:r>
      <w:r w:rsidRPr="00B63BD5">
        <w:rPr>
          <w:lang w:val="fr-CA"/>
        </w:rPr>
        <w:t>Emprunteur et d</w:t>
      </w:r>
      <w:r w:rsidR="00C84CDA" w:rsidRPr="00B63BD5">
        <w:rPr>
          <w:lang w:val="fr-CA"/>
        </w:rPr>
        <w:t>e l</w:t>
      </w:r>
      <w:r w:rsidR="00564B0C" w:rsidRPr="00B63BD5">
        <w:rPr>
          <w:lang w:val="fr-CA"/>
        </w:rPr>
        <w:t>’</w:t>
      </w:r>
      <w:r w:rsidRPr="00B63BD5">
        <w:rPr>
          <w:lang w:val="fr-CA"/>
        </w:rPr>
        <w:t>inspecter</w:t>
      </w:r>
      <w:r w:rsidR="000E4D1D" w:rsidRPr="00B63BD5">
        <w:rPr>
          <w:lang w:val="fr-CA"/>
        </w:rPr>
        <w:t>, d</w:t>
      </w:r>
      <w:r w:rsidR="00564B0C" w:rsidRPr="00B63BD5">
        <w:rPr>
          <w:lang w:val="fr-CA"/>
        </w:rPr>
        <w:t>’</w:t>
      </w:r>
      <w:r w:rsidR="000E4D1D" w:rsidRPr="00B63BD5">
        <w:rPr>
          <w:lang w:val="fr-CA"/>
        </w:rPr>
        <w:t xml:space="preserve">examiner </w:t>
      </w:r>
      <w:r w:rsidRPr="00B63BD5">
        <w:rPr>
          <w:lang w:val="fr-CA"/>
        </w:rPr>
        <w:t>tous les registres financiers de l</w:t>
      </w:r>
      <w:r w:rsidR="00564B0C" w:rsidRPr="00B63BD5">
        <w:rPr>
          <w:lang w:val="fr-CA"/>
        </w:rPr>
        <w:t>’</w:t>
      </w:r>
      <w:r w:rsidRPr="00B63BD5">
        <w:rPr>
          <w:lang w:val="fr-CA"/>
        </w:rPr>
        <w:t>Emprunteur et de rencontrer les dirigeants ou les employés</w:t>
      </w:r>
      <w:r w:rsidR="005253A4" w:rsidRPr="00B63BD5">
        <w:rPr>
          <w:lang w:val="fr-CA"/>
        </w:rPr>
        <w:t xml:space="preserve"> clés</w:t>
      </w:r>
      <w:r w:rsidRPr="00B63BD5">
        <w:rPr>
          <w:lang w:val="fr-CA"/>
        </w:rPr>
        <w:t xml:space="preserve"> de</w:t>
      </w:r>
      <w:r w:rsidR="000405BE" w:rsidRPr="00B63BD5">
        <w:rPr>
          <w:lang w:val="fr-CA"/>
        </w:rPr>
        <w:t> </w:t>
      </w:r>
      <w:r w:rsidRPr="00B63BD5">
        <w:rPr>
          <w:lang w:val="fr-CA"/>
        </w:rPr>
        <w:t>celui</w:t>
      </w:r>
      <w:r w:rsidRPr="00B63BD5">
        <w:rPr>
          <w:lang w:val="fr-CA"/>
        </w:rPr>
        <w:noBreakHyphen/>
        <w:t>ci</w:t>
      </w:r>
      <w:r w:rsidR="005253A4" w:rsidRPr="00B63BD5">
        <w:rPr>
          <w:lang w:val="fr-CA"/>
        </w:rPr>
        <w:t>,</w:t>
      </w:r>
      <w:r w:rsidRPr="00B63BD5">
        <w:rPr>
          <w:lang w:val="fr-CA"/>
        </w:rPr>
        <w:t xml:space="preserve"> à quelque moment que ce soit, sous réserve d</w:t>
      </w:r>
      <w:r w:rsidR="00564B0C" w:rsidRPr="00B63BD5">
        <w:rPr>
          <w:lang w:val="fr-CA"/>
        </w:rPr>
        <w:t>’</w:t>
      </w:r>
      <w:r w:rsidRPr="00B63BD5">
        <w:rPr>
          <w:lang w:val="fr-CA"/>
        </w:rPr>
        <w:t xml:space="preserve">un avis raisonnable. </w:t>
      </w:r>
    </w:p>
    <w:p w14:paraId="1D262628" w14:textId="39DDFA49" w:rsidR="009926E7" w:rsidRPr="00B63BD5" w:rsidRDefault="002C6F56" w:rsidP="00632863">
      <w:pPr>
        <w:pStyle w:val="ListNumber"/>
        <w:spacing w:after="240"/>
        <w:ind w:left="709"/>
        <w:jc w:val="both"/>
        <w:rPr>
          <w:lang w:val="fr-CA"/>
        </w:rPr>
      </w:pPr>
      <w:r w:rsidRPr="00B63BD5">
        <w:rPr>
          <w:lang w:val="fr-CA"/>
        </w:rPr>
        <w:t>Honoraires d</w:t>
      </w:r>
      <w:r w:rsidR="00564B0C" w:rsidRPr="00B63BD5">
        <w:rPr>
          <w:lang w:val="fr-CA"/>
        </w:rPr>
        <w:t>’</w:t>
      </w:r>
      <w:r w:rsidRPr="00B63BD5">
        <w:rPr>
          <w:lang w:val="fr-CA"/>
        </w:rPr>
        <w:t>avocat</w:t>
      </w:r>
      <w:r w:rsidR="00703EE4" w:rsidRPr="00B63BD5">
        <w:rPr>
          <w:lang w:val="fr-CA"/>
        </w:rPr>
        <w:t>s</w:t>
      </w:r>
      <w:r w:rsidRPr="00B63BD5">
        <w:rPr>
          <w:lang w:val="fr-CA"/>
        </w:rPr>
        <w:t xml:space="preserve"> et autres frais</w:t>
      </w:r>
    </w:p>
    <w:p w14:paraId="5B928E64" w14:textId="7D7BD033" w:rsidR="009926E7" w:rsidRPr="00B63BD5" w:rsidRDefault="002C6F5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L</w:t>
      </w:r>
      <w:r w:rsidR="00564B0C" w:rsidRPr="00B63BD5">
        <w:rPr>
          <w:lang w:val="fr-CA"/>
        </w:rPr>
        <w:t>’</w:t>
      </w:r>
      <w:r w:rsidRPr="00B63BD5">
        <w:rPr>
          <w:lang w:val="fr-CA"/>
        </w:rPr>
        <w:t>Emprunteur doit</w:t>
      </w:r>
      <w:r w:rsidR="006E1342" w:rsidRPr="00B63BD5">
        <w:rPr>
          <w:lang w:val="fr-CA"/>
        </w:rPr>
        <w:t xml:space="preserve"> payer </w:t>
      </w:r>
      <w:r w:rsidRPr="00B63BD5">
        <w:rPr>
          <w:lang w:val="fr-CA"/>
        </w:rPr>
        <w:t>(i)</w:t>
      </w:r>
      <w:r w:rsidR="00AC4107" w:rsidRPr="00B63BD5">
        <w:rPr>
          <w:lang w:val="fr-CA"/>
        </w:rPr>
        <w:t xml:space="preserve"> </w:t>
      </w:r>
      <w:r w:rsidRPr="00B63BD5">
        <w:rPr>
          <w:lang w:val="fr-CA"/>
        </w:rPr>
        <w:t>tous les honoraires d</w:t>
      </w:r>
      <w:r w:rsidR="00564B0C" w:rsidRPr="00B63BD5">
        <w:rPr>
          <w:lang w:val="fr-CA"/>
        </w:rPr>
        <w:t>’</w:t>
      </w:r>
      <w:r w:rsidRPr="00B63BD5">
        <w:rPr>
          <w:lang w:val="fr-CA"/>
        </w:rPr>
        <w:t>avocat</w:t>
      </w:r>
      <w:r w:rsidR="006E1342" w:rsidRPr="00B63BD5">
        <w:rPr>
          <w:lang w:val="fr-CA"/>
        </w:rPr>
        <w:t>s</w:t>
      </w:r>
      <w:r w:rsidRPr="00B63BD5">
        <w:rPr>
          <w:lang w:val="fr-CA"/>
        </w:rPr>
        <w:t xml:space="preserve"> et débours raisonnables (selon le tarif applicable entre un avocat et son client) </w:t>
      </w:r>
      <w:r w:rsidR="006E1342" w:rsidRPr="00B63BD5">
        <w:rPr>
          <w:lang w:val="fr-CA"/>
        </w:rPr>
        <w:t xml:space="preserve">relatifs </w:t>
      </w:r>
      <w:r w:rsidRPr="00B63BD5">
        <w:rPr>
          <w:lang w:val="fr-CA"/>
        </w:rPr>
        <w:t xml:space="preserve">aux conseils et aux services juridiques </w:t>
      </w:r>
      <w:r w:rsidR="006E1342" w:rsidRPr="00B63BD5">
        <w:rPr>
          <w:lang w:val="fr-CA"/>
        </w:rPr>
        <w:t xml:space="preserve">qui sont </w:t>
      </w:r>
      <w:r w:rsidRPr="00B63BD5">
        <w:rPr>
          <w:lang w:val="fr-CA"/>
        </w:rPr>
        <w:t>fournis à la Banque</w:t>
      </w:r>
      <w:r w:rsidR="000E4D1D" w:rsidRPr="00B63BD5">
        <w:rPr>
          <w:lang w:val="fr-CA"/>
        </w:rPr>
        <w:t>,</w:t>
      </w:r>
      <w:r w:rsidRPr="00B63BD5">
        <w:rPr>
          <w:lang w:val="fr-CA"/>
        </w:rPr>
        <w:t xml:space="preserve"> ou pour le</w:t>
      </w:r>
      <w:r w:rsidR="000405BE" w:rsidRPr="00B63BD5">
        <w:rPr>
          <w:lang w:val="fr-CA"/>
        </w:rPr>
        <w:t> </w:t>
      </w:r>
      <w:r w:rsidRPr="00B63BD5">
        <w:rPr>
          <w:lang w:val="fr-CA"/>
        </w:rPr>
        <w:t>compte de celle</w:t>
      </w:r>
      <w:r w:rsidRPr="00B63BD5">
        <w:rPr>
          <w:lang w:val="fr-CA"/>
        </w:rPr>
        <w:noBreakHyphen/>
        <w:t>ci</w:t>
      </w:r>
      <w:r w:rsidR="000E4D1D" w:rsidRPr="00B63BD5">
        <w:rPr>
          <w:lang w:val="fr-CA"/>
        </w:rPr>
        <w:t>,</w:t>
      </w:r>
      <w:r w:rsidRPr="00B63BD5">
        <w:rPr>
          <w:lang w:val="fr-CA"/>
        </w:rPr>
        <w:t xml:space="preserve"> relativement aux Facilités de crédit, y</w:t>
      </w:r>
      <w:r w:rsidR="00AC4107" w:rsidRPr="00B63BD5">
        <w:rPr>
          <w:lang w:val="fr-CA"/>
        </w:rPr>
        <w:t xml:space="preserve"> </w:t>
      </w:r>
      <w:r w:rsidRPr="00B63BD5">
        <w:rPr>
          <w:lang w:val="fr-CA"/>
        </w:rPr>
        <w:t>compris la rédaction, la négociation et le règlement de la Lettre relative aux facilités, la rédaction, l</w:t>
      </w:r>
      <w:r w:rsidR="00564B0C" w:rsidRPr="00B63BD5">
        <w:rPr>
          <w:lang w:val="fr-CA"/>
        </w:rPr>
        <w:t>’</w:t>
      </w:r>
      <w:r w:rsidRPr="00B63BD5">
        <w:rPr>
          <w:lang w:val="fr-CA"/>
        </w:rPr>
        <w:t>émission et l</w:t>
      </w:r>
      <w:r w:rsidR="00564B0C" w:rsidRPr="00B63BD5">
        <w:rPr>
          <w:lang w:val="fr-CA"/>
        </w:rPr>
        <w:t>’</w:t>
      </w:r>
      <w:r w:rsidRPr="00B63BD5">
        <w:rPr>
          <w:lang w:val="fr-CA"/>
        </w:rPr>
        <w:t xml:space="preserve">enregistrement </w:t>
      </w:r>
      <w:r w:rsidR="000E4D1D" w:rsidRPr="00B63BD5">
        <w:rPr>
          <w:lang w:val="fr-CA"/>
        </w:rPr>
        <w:t xml:space="preserve">ou la publication </w:t>
      </w:r>
      <w:r w:rsidRPr="00B63BD5">
        <w:rPr>
          <w:lang w:val="fr-CA"/>
        </w:rPr>
        <w:t xml:space="preserve">des </w:t>
      </w:r>
      <w:r w:rsidR="003D3446" w:rsidRPr="00B63BD5">
        <w:rPr>
          <w:lang w:val="fr-CA"/>
        </w:rPr>
        <w:t xml:space="preserve">autres </w:t>
      </w:r>
      <w:r w:rsidRPr="00B63BD5">
        <w:rPr>
          <w:lang w:val="fr-CA"/>
        </w:rPr>
        <w:t xml:space="preserve">Documents de prêt </w:t>
      </w:r>
      <w:r w:rsidR="006E1342" w:rsidRPr="00B63BD5">
        <w:rPr>
          <w:lang w:val="fr-CA"/>
        </w:rPr>
        <w:t>et</w:t>
      </w:r>
      <w:r w:rsidRPr="00B63BD5">
        <w:rPr>
          <w:lang w:val="fr-CA"/>
        </w:rPr>
        <w:t xml:space="preserve"> des versions modifiées ou reformulées de ceux</w:t>
      </w:r>
      <w:r w:rsidRPr="00B63BD5">
        <w:rPr>
          <w:lang w:val="fr-CA"/>
        </w:rPr>
        <w:noBreakHyphen/>
        <w:t>ci, l</w:t>
      </w:r>
      <w:r w:rsidR="00564B0C" w:rsidRPr="00B63BD5">
        <w:rPr>
          <w:lang w:val="fr-CA"/>
        </w:rPr>
        <w:t>’</w:t>
      </w:r>
      <w:r w:rsidRPr="00B63BD5">
        <w:rPr>
          <w:lang w:val="fr-CA"/>
        </w:rPr>
        <w:t>exercice et la protection de</w:t>
      </w:r>
      <w:r w:rsidR="000E4D1D" w:rsidRPr="00B63BD5">
        <w:rPr>
          <w:lang w:val="fr-CA"/>
        </w:rPr>
        <w:t>s</w:t>
      </w:r>
      <w:r w:rsidRPr="00B63BD5">
        <w:rPr>
          <w:lang w:val="fr-CA"/>
        </w:rPr>
        <w:t xml:space="preserve"> droits </w:t>
      </w:r>
      <w:r w:rsidRPr="00B63BD5">
        <w:rPr>
          <w:lang w:val="fr-CA"/>
        </w:rPr>
        <w:lastRenderedPageBreak/>
        <w:t>et</w:t>
      </w:r>
      <w:r w:rsidR="000405BE" w:rsidRPr="00B63BD5">
        <w:rPr>
          <w:lang w:val="fr-CA"/>
        </w:rPr>
        <w:t> </w:t>
      </w:r>
      <w:r w:rsidRPr="00B63BD5">
        <w:rPr>
          <w:lang w:val="fr-CA"/>
        </w:rPr>
        <w:t>recours de la Banque</w:t>
      </w:r>
      <w:r w:rsidR="000E4D1D" w:rsidRPr="00B63BD5">
        <w:rPr>
          <w:lang w:val="fr-CA"/>
        </w:rPr>
        <w:t xml:space="preserve"> et</w:t>
      </w:r>
      <w:r w:rsidRPr="00B63BD5">
        <w:rPr>
          <w:lang w:val="fr-CA"/>
        </w:rPr>
        <w:t xml:space="preserve"> les recherches, y</w:t>
      </w:r>
      <w:r w:rsidR="00AC4107" w:rsidRPr="00B63BD5">
        <w:rPr>
          <w:lang w:val="fr-CA"/>
        </w:rPr>
        <w:t xml:space="preserve"> </w:t>
      </w:r>
      <w:r w:rsidRPr="00B63BD5">
        <w:rPr>
          <w:lang w:val="fr-CA"/>
        </w:rPr>
        <w:t xml:space="preserve">compris </w:t>
      </w:r>
      <w:r w:rsidR="000E4D1D" w:rsidRPr="00B63BD5">
        <w:rPr>
          <w:lang w:val="fr-CA"/>
        </w:rPr>
        <w:t>dans le cadre de l</w:t>
      </w:r>
      <w:r w:rsidR="00564B0C" w:rsidRPr="00B63BD5">
        <w:rPr>
          <w:lang w:val="fr-CA"/>
        </w:rPr>
        <w:t>’</w:t>
      </w:r>
      <w:r w:rsidR="000E4D1D" w:rsidRPr="00B63BD5">
        <w:rPr>
          <w:lang w:val="fr-CA"/>
        </w:rPr>
        <w:t>octroi d</w:t>
      </w:r>
      <w:r w:rsidR="00564B0C" w:rsidRPr="00B63BD5">
        <w:rPr>
          <w:lang w:val="fr-CA"/>
        </w:rPr>
        <w:t>’</w:t>
      </w:r>
      <w:r w:rsidRPr="00B63BD5">
        <w:rPr>
          <w:lang w:val="fr-CA"/>
        </w:rPr>
        <w:t>une avance</w:t>
      </w:r>
      <w:r w:rsidR="006E1342" w:rsidRPr="00B63BD5">
        <w:rPr>
          <w:lang w:val="fr-CA"/>
        </w:rPr>
        <w:t>,</w:t>
      </w:r>
      <w:r w:rsidRPr="00B63BD5">
        <w:rPr>
          <w:lang w:val="fr-CA"/>
        </w:rPr>
        <w:t xml:space="preserve"> et (ii)</w:t>
      </w:r>
      <w:r w:rsidR="00AC4107" w:rsidRPr="00B63BD5">
        <w:rPr>
          <w:lang w:val="fr-CA"/>
        </w:rPr>
        <w:t xml:space="preserve"> </w:t>
      </w:r>
      <w:r w:rsidRPr="00B63BD5">
        <w:rPr>
          <w:lang w:val="fr-CA"/>
        </w:rPr>
        <w:t xml:space="preserve">tous les frais raisonnables </w:t>
      </w:r>
      <w:r w:rsidR="006E1342" w:rsidRPr="00B63BD5">
        <w:rPr>
          <w:lang w:val="fr-CA"/>
        </w:rPr>
        <w:t xml:space="preserve">relatifs </w:t>
      </w:r>
      <w:r w:rsidRPr="00B63BD5">
        <w:rPr>
          <w:lang w:val="fr-CA"/>
        </w:rPr>
        <w:t>aux évaluations, aux services de consultation en matière d</w:t>
      </w:r>
      <w:r w:rsidR="00564B0C" w:rsidRPr="00B63BD5">
        <w:rPr>
          <w:lang w:val="fr-CA"/>
        </w:rPr>
        <w:t>’</w:t>
      </w:r>
      <w:r w:rsidRPr="00B63BD5">
        <w:rPr>
          <w:lang w:val="fr-CA"/>
        </w:rPr>
        <w:t xml:space="preserve">assurance, aux </w:t>
      </w:r>
      <w:r w:rsidR="006E1342" w:rsidRPr="00B63BD5">
        <w:rPr>
          <w:lang w:val="fr-CA"/>
        </w:rPr>
        <w:t>études sur</w:t>
      </w:r>
      <w:r w:rsidR="000405BE" w:rsidRPr="00B63BD5">
        <w:rPr>
          <w:lang w:val="fr-CA"/>
        </w:rPr>
        <w:t> </w:t>
      </w:r>
      <w:r w:rsidR="006E1342" w:rsidRPr="00B63BD5">
        <w:rPr>
          <w:lang w:val="fr-CA"/>
        </w:rPr>
        <w:t>l</w:t>
      </w:r>
      <w:r w:rsidR="00564B0C" w:rsidRPr="00B63BD5">
        <w:rPr>
          <w:lang w:val="fr-CA"/>
        </w:rPr>
        <w:t>’</w:t>
      </w:r>
      <w:r w:rsidRPr="00B63BD5">
        <w:rPr>
          <w:lang w:val="fr-CA"/>
        </w:rPr>
        <w:t xml:space="preserve">environnement, aux </w:t>
      </w:r>
      <w:r w:rsidR="006E1342" w:rsidRPr="00B63BD5">
        <w:rPr>
          <w:lang w:val="fr-CA"/>
        </w:rPr>
        <w:t>rapports</w:t>
      </w:r>
      <w:r w:rsidRPr="00B63BD5">
        <w:rPr>
          <w:lang w:val="fr-CA"/>
        </w:rPr>
        <w:t xml:space="preserve"> de solvabilité</w:t>
      </w:r>
      <w:r w:rsidR="006E1342" w:rsidRPr="00B63BD5">
        <w:rPr>
          <w:lang w:val="fr-CA"/>
        </w:rPr>
        <w:t>,</w:t>
      </w:r>
      <w:r w:rsidRPr="00B63BD5">
        <w:rPr>
          <w:lang w:val="fr-CA"/>
        </w:rPr>
        <w:t xml:space="preserve"> à la vérification diligente et </w:t>
      </w:r>
      <w:r w:rsidR="000E4D1D" w:rsidRPr="00B63BD5">
        <w:rPr>
          <w:lang w:val="fr-CA"/>
        </w:rPr>
        <w:t xml:space="preserve">au fait de répondre </w:t>
      </w:r>
      <w:r w:rsidRPr="00B63BD5">
        <w:rPr>
          <w:lang w:val="fr-CA"/>
        </w:rPr>
        <w:t xml:space="preserve">aux demandes faites par une Autorité gouvernementale, que les documents soient </w:t>
      </w:r>
      <w:r w:rsidR="000E4D1D" w:rsidRPr="00B63BD5">
        <w:rPr>
          <w:lang w:val="fr-CA"/>
        </w:rPr>
        <w:t xml:space="preserve">en définitive signés ou non </w:t>
      </w:r>
      <w:r w:rsidR="006E1342" w:rsidRPr="00B63BD5">
        <w:rPr>
          <w:lang w:val="fr-CA"/>
        </w:rPr>
        <w:t>ou</w:t>
      </w:r>
      <w:r w:rsidRPr="00B63BD5">
        <w:rPr>
          <w:lang w:val="fr-CA"/>
        </w:rPr>
        <w:t xml:space="preserve"> que des</w:t>
      </w:r>
      <w:r w:rsidR="000405BE" w:rsidRPr="00B63BD5">
        <w:rPr>
          <w:lang w:val="fr-CA"/>
        </w:rPr>
        <w:t> </w:t>
      </w:r>
      <w:r w:rsidRPr="00B63BD5">
        <w:rPr>
          <w:lang w:val="fr-CA"/>
        </w:rPr>
        <w:t xml:space="preserve">fonds soient avancés </w:t>
      </w:r>
      <w:r w:rsidR="000E4D1D" w:rsidRPr="00B63BD5">
        <w:rPr>
          <w:lang w:val="fr-CA"/>
        </w:rPr>
        <w:t xml:space="preserve">ou non sur les </w:t>
      </w:r>
      <w:r w:rsidRPr="00B63BD5">
        <w:rPr>
          <w:lang w:val="fr-CA"/>
        </w:rPr>
        <w:t xml:space="preserve">Facilités de crédit. </w:t>
      </w:r>
    </w:p>
    <w:p w14:paraId="206D8592" w14:textId="67FD61EE" w:rsidR="009926E7" w:rsidRPr="00B63BD5" w:rsidRDefault="002C6F56" w:rsidP="00632863">
      <w:pPr>
        <w:pStyle w:val="ListNumber"/>
        <w:spacing w:after="240"/>
        <w:ind w:left="709"/>
        <w:jc w:val="both"/>
        <w:rPr>
          <w:lang w:val="fr-CA"/>
        </w:rPr>
      </w:pPr>
      <w:r w:rsidRPr="00B63BD5">
        <w:rPr>
          <w:lang w:val="fr-CA"/>
        </w:rPr>
        <w:t>Aucune fusion, registres de la Banque et cession</w:t>
      </w:r>
    </w:p>
    <w:p w14:paraId="24A9F374" w14:textId="7AA5CD55" w:rsidR="002C6F56" w:rsidRPr="00B63BD5" w:rsidRDefault="002C6F56" w:rsidP="00632863">
      <w:pPr>
        <w:spacing w:after="240"/>
        <w:jc w:val="both"/>
        <w:rPr>
          <w:lang w:val="fr-CA"/>
        </w:rPr>
      </w:pPr>
      <w:r w:rsidRPr="00B63BD5">
        <w:rPr>
          <w:lang w:val="fr-CA"/>
        </w:rPr>
        <w:t>Les modalités de la présente Lettre relative aux facilités ne doivent pas être fusionnées avec celles des</w:t>
      </w:r>
      <w:r w:rsidR="000405BE" w:rsidRPr="00B63BD5">
        <w:rPr>
          <w:lang w:val="fr-CA"/>
        </w:rPr>
        <w:t> </w:t>
      </w:r>
      <w:r w:rsidRPr="00B63BD5">
        <w:rPr>
          <w:lang w:val="fr-CA"/>
        </w:rPr>
        <w:t>Documents de prêt et continuent à s</w:t>
      </w:r>
      <w:r w:rsidR="00564B0C" w:rsidRPr="00B63BD5">
        <w:rPr>
          <w:lang w:val="fr-CA"/>
        </w:rPr>
        <w:t>’</w:t>
      </w:r>
      <w:r w:rsidRPr="00B63BD5">
        <w:rPr>
          <w:lang w:val="fr-CA"/>
        </w:rPr>
        <w:t>appliquer après la signature et la remise de ce</w:t>
      </w:r>
      <w:r w:rsidR="006E1342" w:rsidRPr="00B63BD5">
        <w:rPr>
          <w:lang w:val="fr-CA"/>
        </w:rPr>
        <w:t>ux</w:t>
      </w:r>
      <w:r w:rsidR="006E1342" w:rsidRPr="00B63BD5">
        <w:rPr>
          <w:lang w:val="fr-CA"/>
        </w:rPr>
        <w:noBreakHyphen/>
        <w:t>ci</w:t>
      </w:r>
      <w:r w:rsidRPr="00B63BD5">
        <w:rPr>
          <w:lang w:val="fr-CA"/>
        </w:rPr>
        <w:t>.</w:t>
      </w:r>
    </w:p>
    <w:p w14:paraId="26ED7292" w14:textId="4717979E" w:rsidR="002C6F56" w:rsidRPr="00B63BD5" w:rsidRDefault="002C6F56" w:rsidP="00632863">
      <w:pPr>
        <w:spacing w:after="240"/>
        <w:jc w:val="both"/>
        <w:rPr>
          <w:lang w:val="fr-CA"/>
        </w:rPr>
      </w:pPr>
      <w:r w:rsidRPr="00B63BD5">
        <w:rPr>
          <w:lang w:val="fr-CA"/>
        </w:rPr>
        <w:t>Un jugement rendu à l</w:t>
      </w:r>
      <w:r w:rsidR="00564B0C" w:rsidRPr="00B63BD5">
        <w:rPr>
          <w:lang w:val="fr-CA"/>
        </w:rPr>
        <w:t>’</w:t>
      </w:r>
      <w:r w:rsidRPr="00B63BD5">
        <w:rPr>
          <w:lang w:val="fr-CA"/>
        </w:rPr>
        <w:t>égard d</w:t>
      </w:r>
      <w:r w:rsidR="006E1342" w:rsidRPr="00B63BD5">
        <w:rPr>
          <w:lang w:val="fr-CA"/>
        </w:rPr>
        <w:t>e l</w:t>
      </w:r>
      <w:r w:rsidR="00564B0C" w:rsidRPr="00B63BD5">
        <w:rPr>
          <w:lang w:val="fr-CA"/>
        </w:rPr>
        <w:t>’</w:t>
      </w:r>
      <w:r w:rsidRPr="00B63BD5">
        <w:rPr>
          <w:lang w:val="fr-CA"/>
        </w:rPr>
        <w:t>un</w:t>
      </w:r>
      <w:r w:rsidR="006E1342" w:rsidRPr="00B63BD5">
        <w:rPr>
          <w:lang w:val="fr-CA"/>
        </w:rPr>
        <w:t xml:space="preserve"> ou l</w:t>
      </w:r>
      <w:r w:rsidR="00564B0C" w:rsidRPr="00B63BD5">
        <w:rPr>
          <w:lang w:val="fr-CA"/>
        </w:rPr>
        <w:t>’</w:t>
      </w:r>
      <w:r w:rsidR="006E1342" w:rsidRPr="00B63BD5">
        <w:rPr>
          <w:lang w:val="fr-CA"/>
        </w:rPr>
        <w:t>autre des</w:t>
      </w:r>
      <w:r w:rsidRPr="00B63BD5">
        <w:rPr>
          <w:lang w:val="fr-CA"/>
        </w:rPr>
        <w:t xml:space="preserve"> engagement</w:t>
      </w:r>
      <w:r w:rsidR="006E1342" w:rsidRPr="00B63BD5">
        <w:rPr>
          <w:lang w:val="fr-CA"/>
        </w:rPr>
        <w:t>s</w:t>
      </w:r>
      <w:r w:rsidRPr="00B63BD5">
        <w:rPr>
          <w:lang w:val="fr-CA"/>
        </w:rPr>
        <w:t xml:space="preserve"> prévu</w:t>
      </w:r>
      <w:r w:rsidR="006E1342" w:rsidRPr="00B63BD5">
        <w:rPr>
          <w:lang w:val="fr-CA"/>
        </w:rPr>
        <w:t>s</w:t>
      </w:r>
      <w:r w:rsidRPr="00B63BD5">
        <w:rPr>
          <w:lang w:val="fr-CA"/>
        </w:rPr>
        <w:t xml:space="preserve"> par la présente Lettre relative aux</w:t>
      </w:r>
      <w:r w:rsidR="000405BE" w:rsidRPr="00B63BD5">
        <w:rPr>
          <w:lang w:val="fr-CA"/>
        </w:rPr>
        <w:t> </w:t>
      </w:r>
      <w:r w:rsidRPr="00B63BD5">
        <w:rPr>
          <w:lang w:val="fr-CA"/>
        </w:rPr>
        <w:t xml:space="preserve">facilités ou les autres Documents de prêt ne doit pas </w:t>
      </w:r>
      <w:r w:rsidR="006E1342" w:rsidRPr="00B63BD5">
        <w:rPr>
          <w:lang w:val="fr-CA"/>
        </w:rPr>
        <w:t>entraîner la</w:t>
      </w:r>
      <w:r w:rsidRPr="00B63BD5">
        <w:rPr>
          <w:lang w:val="fr-CA"/>
        </w:rPr>
        <w:t xml:space="preserve"> fusion </w:t>
      </w:r>
      <w:r w:rsidR="00056B4A" w:rsidRPr="00B63BD5">
        <w:rPr>
          <w:lang w:val="fr-CA"/>
        </w:rPr>
        <w:t xml:space="preserve">ou la libération </w:t>
      </w:r>
      <w:r w:rsidR="006E1342" w:rsidRPr="00B63BD5">
        <w:rPr>
          <w:lang w:val="fr-CA"/>
        </w:rPr>
        <w:t>des dettes ou</w:t>
      </w:r>
      <w:r w:rsidR="000405BE" w:rsidRPr="00B63BD5">
        <w:rPr>
          <w:lang w:val="fr-CA"/>
        </w:rPr>
        <w:t> </w:t>
      </w:r>
      <w:r w:rsidR="006E1342" w:rsidRPr="00B63BD5">
        <w:rPr>
          <w:lang w:val="fr-CA"/>
        </w:rPr>
        <w:t>des</w:t>
      </w:r>
      <w:r w:rsidR="000405BE" w:rsidRPr="00B63BD5">
        <w:rPr>
          <w:lang w:val="fr-CA"/>
        </w:rPr>
        <w:t> </w:t>
      </w:r>
      <w:r w:rsidR="006E1342" w:rsidRPr="00B63BD5">
        <w:rPr>
          <w:lang w:val="fr-CA"/>
        </w:rPr>
        <w:t>responsabilités de l</w:t>
      </w:r>
      <w:r w:rsidR="00564B0C" w:rsidRPr="00B63BD5">
        <w:rPr>
          <w:lang w:val="fr-CA"/>
        </w:rPr>
        <w:t>’</w:t>
      </w:r>
      <w:r w:rsidR="006E1342" w:rsidRPr="00B63BD5">
        <w:rPr>
          <w:lang w:val="fr-CA"/>
        </w:rPr>
        <w:t xml:space="preserve">Emprunteur aux termes </w:t>
      </w:r>
      <w:r w:rsidRPr="00B63BD5">
        <w:rPr>
          <w:lang w:val="fr-CA"/>
        </w:rPr>
        <w:t>de cession</w:t>
      </w:r>
      <w:r w:rsidR="00056B4A" w:rsidRPr="00B63BD5">
        <w:rPr>
          <w:lang w:val="fr-CA"/>
        </w:rPr>
        <w:t>s</w:t>
      </w:r>
      <w:r w:rsidRPr="00B63BD5">
        <w:rPr>
          <w:lang w:val="fr-CA"/>
        </w:rPr>
        <w:t>, d</w:t>
      </w:r>
      <w:r w:rsidR="00056B4A" w:rsidRPr="00B63BD5">
        <w:rPr>
          <w:lang w:val="fr-CA"/>
        </w:rPr>
        <w:t xml:space="preserve">e </w:t>
      </w:r>
      <w:r w:rsidRPr="00B63BD5">
        <w:rPr>
          <w:lang w:val="fr-CA"/>
        </w:rPr>
        <w:t>transfert</w:t>
      </w:r>
      <w:r w:rsidR="00056B4A" w:rsidRPr="00B63BD5">
        <w:rPr>
          <w:lang w:val="fr-CA"/>
        </w:rPr>
        <w:t>s</w:t>
      </w:r>
      <w:r w:rsidRPr="00B63BD5">
        <w:rPr>
          <w:lang w:val="fr-CA"/>
        </w:rPr>
        <w:t>, de garantie</w:t>
      </w:r>
      <w:r w:rsidR="00056B4A" w:rsidRPr="00B63BD5">
        <w:rPr>
          <w:lang w:val="fr-CA"/>
        </w:rPr>
        <w:t>s</w:t>
      </w:r>
      <w:r w:rsidRPr="00B63BD5">
        <w:rPr>
          <w:lang w:val="fr-CA"/>
        </w:rPr>
        <w:t>, d</w:t>
      </w:r>
      <w:r w:rsidR="00056B4A" w:rsidRPr="00B63BD5">
        <w:rPr>
          <w:lang w:val="fr-CA"/>
        </w:rPr>
        <w:t>e</w:t>
      </w:r>
      <w:r w:rsidRPr="00B63BD5">
        <w:rPr>
          <w:lang w:val="fr-CA"/>
        </w:rPr>
        <w:t xml:space="preserve"> privilège</w:t>
      </w:r>
      <w:r w:rsidR="00056B4A" w:rsidRPr="00B63BD5">
        <w:rPr>
          <w:lang w:val="fr-CA"/>
        </w:rPr>
        <w:t>s</w:t>
      </w:r>
      <w:r w:rsidRPr="00B63BD5">
        <w:rPr>
          <w:lang w:val="fr-CA"/>
        </w:rPr>
        <w:t>, d</w:t>
      </w:r>
      <w:r w:rsidR="00056B4A" w:rsidRPr="00B63BD5">
        <w:rPr>
          <w:lang w:val="fr-CA"/>
        </w:rPr>
        <w:t>e</w:t>
      </w:r>
      <w:r w:rsidR="000405BE" w:rsidRPr="00B63BD5">
        <w:rPr>
          <w:lang w:val="fr-CA"/>
        </w:rPr>
        <w:t> </w:t>
      </w:r>
      <w:r w:rsidRPr="00B63BD5">
        <w:rPr>
          <w:lang w:val="fr-CA"/>
        </w:rPr>
        <w:t>contrat</w:t>
      </w:r>
      <w:r w:rsidR="00056B4A" w:rsidRPr="00B63BD5">
        <w:rPr>
          <w:lang w:val="fr-CA"/>
        </w:rPr>
        <w:t>s</w:t>
      </w:r>
      <w:r w:rsidRPr="00B63BD5">
        <w:rPr>
          <w:lang w:val="fr-CA"/>
        </w:rPr>
        <w:t>, d</w:t>
      </w:r>
      <w:r w:rsidR="00056B4A" w:rsidRPr="00B63BD5">
        <w:rPr>
          <w:lang w:val="fr-CA"/>
        </w:rPr>
        <w:t>e</w:t>
      </w:r>
      <w:r w:rsidRPr="00B63BD5">
        <w:rPr>
          <w:lang w:val="fr-CA"/>
        </w:rPr>
        <w:t xml:space="preserve"> billet</w:t>
      </w:r>
      <w:r w:rsidR="00056B4A" w:rsidRPr="00B63BD5">
        <w:rPr>
          <w:lang w:val="fr-CA"/>
        </w:rPr>
        <w:t>s à ordre</w:t>
      </w:r>
      <w:r w:rsidRPr="00B63BD5">
        <w:rPr>
          <w:lang w:val="fr-CA"/>
        </w:rPr>
        <w:t>, de lettre</w:t>
      </w:r>
      <w:r w:rsidR="00056B4A" w:rsidRPr="00B63BD5">
        <w:rPr>
          <w:lang w:val="fr-CA"/>
        </w:rPr>
        <w:t>s</w:t>
      </w:r>
      <w:r w:rsidRPr="00B63BD5">
        <w:rPr>
          <w:lang w:val="fr-CA"/>
        </w:rPr>
        <w:t xml:space="preserve"> de change ou de sûreté</w:t>
      </w:r>
      <w:r w:rsidR="00056B4A" w:rsidRPr="00B63BD5">
        <w:rPr>
          <w:lang w:val="fr-CA"/>
        </w:rPr>
        <w:t>s</w:t>
      </w:r>
      <w:r w:rsidRPr="00B63BD5">
        <w:rPr>
          <w:lang w:val="fr-CA"/>
        </w:rPr>
        <w:t xml:space="preserve">, </w:t>
      </w:r>
      <w:r w:rsidR="00056B4A" w:rsidRPr="00B63BD5">
        <w:rPr>
          <w:lang w:val="fr-CA"/>
        </w:rPr>
        <w:t xml:space="preserve">sous </w:t>
      </w:r>
      <w:r w:rsidRPr="00B63BD5">
        <w:rPr>
          <w:lang w:val="fr-CA"/>
        </w:rPr>
        <w:t>quelque forme que</w:t>
      </w:r>
      <w:r w:rsidR="00056B4A" w:rsidRPr="00B63BD5">
        <w:rPr>
          <w:lang w:val="fr-CA"/>
        </w:rPr>
        <w:t xml:space="preserve"> ce</w:t>
      </w:r>
      <w:r w:rsidRPr="00B63BD5">
        <w:rPr>
          <w:lang w:val="fr-CA"/>
        </w:rPr>
        <w:t xml:space="preserve"> soit, qui</w:t>
      </w:r>
      <w:r w:rsidR="000405BE" w:rsidRPr="00B63BD5">
        <w:rPr>
          <w:lang w:val="fr-CA"/>
        </w:rPr>
        <w:t> </w:t>
      </w:r>
      <w:r w:rsidRPr="00B63BD5">
        <w:rPr>
          <w:lang w:val="fr-CA"/>
        </w:rPr>
        <w:t>s</w:t>
      </w:r>
      <w:r w:rsidR="00056B4A" w:rsidRPr="00B63BD5">
        <w:rPr>
          <w:lang w:val="fr-CA"/>
        </w:rPr>
        <w:t>on</w:t>
      </w:r>
      <w:r w:rsidRPr="00B63BD5">
        <w:rPr>
          <w:lang w:val="fr-CA"/>
        </w:rPr>
        <w:t>t</w:t>
      </w:r>
      <w:r w:rsidR="000405BE" w:rsidRPr="00B63BD5">
        <w:rPr>
          <w:lang w:val="fr-CA"/>
        </w:rPr>
        <w:t> </w:t>
      </w:r>
      <w:r w:rsidRPr="00B63BD5">
        <w:rPr>
          <w:lang w:val="fr-CA"/>
        </w:rPr>
        <w:t>détenu</w:t>
      </w:r>
      <w:r w:rsidR="00056B4A" w:rsidRPr="00B63BD5">
        <w:rPr>
          <w:lang w:val="fr-CA"/>
        </w:rPr>
        <w:t>s</w:t>
      </w:r>
      <w:r w:rsidRPr="00B63BD5">
        <w:rPr>
          <w:lang w:val="fr-CA"/>
        </w:rPr>
        <w:t xml:space="preserve"> ou pourrai</w:t>
      </w:r>
      <w:r w:rsidR="00056B4A" w:rsidRPr="00B63BD5">
        <w:rPr>
          <w:lang w:val="fr-CA"/>
        </w:rPr>
        <w:t>en</w:t>
      </w:r>
      <w:r w:rsidRPr="00B63BD5">
        <w:rPr>
          <w:lang w:val="fr-CA"/>
        </w:rPr>
        <w:t xml:space="preserve">t </w:t>
      </w:r>
      <w:r w:rsidR="000E4D1D" w:rsidRPr="00B63BD5">
        <w:rPr>
          <w:lang w:val="fr-CA"/>
        </w:rPr>
        <w:t xml:space="preserve">être détenus </w:t>
      </w:r>
      <w:r w:rsidRPr="00B63BD5">
        <w:rPr>
          <w:lang w:val="fr-CA"/>
        </w:rPr>
        <w:t>à l</w:t>
      </w:r>
      <w:r w:rsidR="00564B0C" w:rsidRPr="00B63BD5">
        <w:rPr>
          <w:lang w:val="fr-CA"/>
        </w:rPr>
        <w:t>’</w:t>
      </w:r>
      <w:r w:rsidRPr="00B63BD5">
        <w:rPr>
          <w:lang w:val="fr-CA"/>
        </w:rPr>
        <w:t xml:space="preserve">avenir </w:t>
      </w:r>
      <w:r w:rsidR="009102D0" w:rsidRPr="00B63BD5">
        <w:rPr>
          <w:lang w:val="fr-CA"/>
        </w:rPr>
        <w:t xml:space="preserve">par la Banque et </w:t>
      </w:r>
      <w:r w:rsidR="00C84CDA" w:rsidRPr="00B63BD5">
        <w:rPr>
          <w:lang w:val="fr-CA"/>
        </w:rPr>
        <w:t xml:space="preserve">qui émanent </w:t>
      </w:r>
      <w:r w:rsidR="00056B4A" w:rsidRPr="00B63BD5">
        <w:rPr>
          <w:lang w:val="fr-CA"/>
        </w:rPr>
        <w:t>de l</w:t>
      </w:r>
      <w:r w:rsidR="00564B0C" w:rsidRPr="00B63BD5">
        <w:rPr>
          <w:lang w:val="fr-CA"/>
        </w:rPr>
        <w:t>’</w:t>
      </w:r>
      <w:r w:rsidR="00056B4A" w:rsidRPr="00B63BD5">
        <w:rPr>
          <w:lang w:val="fr-CA"/>
        </w:rPr>
        <w:t>Emprunteur ou</w:t>
      </w:r>
      <w:r w:rsidR="000405BE" w:rsidRPr="00B63BD5">
        <w:rPr>
          <w:lang w:val="fr-CA"/>
        </w:rPr>
        <w:t> </w:t>
      </w:r>
      <w:r w:rsidR="00056B4A" w:rsidRPr="00B63BD5">
        <w:rPr>
          <w:lang w:val="fr-CA"/>
        </w:rPr>
        <w:t>d</w:t>
      </w:r>
      <w:r w:rsidR="00564B0C" w:rsidRPr="00B63BD5">
        <w:rPr>
          <w:lang w:val="fr-CA"/>
        </w:rPr>
        <w:t>’</w:t>
      </w:r>
      <w:r w:rsidR="00056B4A" w:rsidRPr="00B63BD5">
        <w:rPr>
          <w:lang w:val="fr-CA"/>
        </w:rPr>
        <w:t>une</w:t>
      </w:r>
      <w:r w:rsidR="000405BE" w:rsidRPr="00B63BD5">
        <w:rPr>
          <w:lang w:val="fr-CA"/>
        </w:rPr>
        <w:t> </w:t>
      </w:r>
      <w:r w:rsidR="00056B4A" w:rsidRPr="00B63BD5">
        <w:rPr>
          <w:lang w:val="fr-CA"/>
        </w:rPr>
        <w:t>autre P</w:t>
      </w:r>
      <w:r w:rsidR="009102D0" w:rsidRPr="00B63BD5">
        <w:rPr>
          <w:lang w:val="fr-CA"/>
        </w:rPr>
        <w:t>ersonne</w:t>
      </w:r>
      <w:r w:rsidR="00056B4A" w:rsidRPr="00B63BD5">
        <w:rPr>
          <w:lang w:val="fr-CA"/>
        </w:rPr>
        <w:t>, ni la fusion ou la libération de tels cessions, transferts, garanties, privilèges, contrats, billets à ordre, lettres de change ou sûretés</w:t>
      </w:r>
      <w:r w:rsidR="009102D0" w:rsidRPr="00B63BD5">
        <w:rPr>
          <w:lang w:val="fr-CA"/>
        </w:rPr>
        <w:t xml:space="preserve">. </w:t>
      </w:r>
    </w:p>
    <w:p w14:paraId="7E51252D" w14:textId="7065B133" w:rsidR="009102D0" w:rsidRPr="00B63BD5" w:rsidRDefault="009102D0" w:rsidP="00632863">
      <w:pPr>
        <w:spacing w:after="240"/>
        <w:jc w:val="both"/>
        <w:rPr>
          <w:lang w:val="fr-CA"/>
        </w:rPr>
      </w:pPr>
      <w:r w:rsidRPr="00B63BD5">
        <w:rPr>
          <w:lang w:val="fr-CA"/>
        </w:rPr>
        <w:t>Les avantages conférés par la présente Lettre relative aux facilités et les autres Documents de prêt s</w:t>
      </w:r>
      <w:r w:rsidR="00564B0C" w:rsidRPr="00B63BD5">
        <w:rPr>
          <w:lang w:val="fr-CA"/>
        </w:rPr>
        <w:t>’</w:t>
      </w:r>
      <w:r w:rsidRPr="00B63BD5">
        <w:rPr>
          <w:lang w:val="fr-CA"/>
        </w:rPr>
        <w:t xml:space="preserve">appliquent au profit de la Banque et de ses successeurs et ayants droit et lient chaque </w:t>
      </w:r>
      <w:r w:rsidR="008121D8" w:rsidRPr="00B63BD5">
        <w:rPr>
          <w:lang w:val="fr-CA"/>
        </w:rPr>
        <w:t>Bénéficiaire du crédit</w:t>
      </w:r>
      <w:r w:rsidR="0067616E" w:rsidRPr="00B63BD5">
        <w:rPr>
          <w:lang w:val="fr-CA"/>
        </w:rPr>
        <w:t xml:space="preserve"> </w:t>
      </w:r>
      <w:r w:rsidRPr="00B63BD5">
        <w:rPr>
          <w:lang w:val="fr-CA"/>
        </w:rPr>
        <w:t xml:space="preserve">et ses héritiers, successeurs et ayants droit. </w:t>
      </w:r>
    </w:p>
    <w:p w14:paraId="0A0C1CE5" w14:textId="3FA80235" w:rsidR="009102D0" w:rsidRPr="00B63BD5" w:rsidRDefault="009102D0" w:rsidP="00632863">
      <w:pPr>
        <w:spacing w:after="240"/>
        <w:jc w:val="both"/>
        <w:rPr>
          <w:lang w:val="fr-CA"/>
        </w:rPr>
      </w:pPr>
      <w:r w:rsidRPr="00B63BD5">
        <w:rPr>
          <w:lang w:val="fr-CA"/>
        </w:rPr>
        <w:t xml:space="preserve">Les registres de la Banque attestant que les Prêts ont été consentis ou </w:t>
      </w:r>
      <w:r w:rsidR="000E4D1D" w:rsidRPr="00B63BD5">
        <w:rPr>
          <w:lang w:val="fr-CA"/>
        </w:rPr>
        <w:t xml:space="preserve">renouvelés </w:t>
      </w:r>
      <w:r w:rsidRPr="00B63BD5">
        <w:rPr>
          <w:lang w:val="fr-CA"/>
        </w:rPr>
        <w:t>(et les montants de ceux</w:t>
      </w:r>
      <w:r w:rsidRPr="00B63BD5">
        <w:rPr>
          <w:lang w:val="fr-CA"/>
        </w:rPr>
        <w:noBreakHyphen/>
        <w:t xml:space="preserve">ci) aux termes des présentes, </w:t>
      </w:r>
      <w:r w:rsidR="000E4D1D" w:rsidRPr="00B63BD5">
        <w:rPr>
          <w:lang w:val="fr-CA"/>
        </w:rPr>
        <w:t xml:space="preserve">que le </w:t>
      </w:r>
      <w:r w:rsidRPr="00B63BD5">
        <w:rPr>
          <w:lang w:val="fr-CA"/>
        </w:rPr>
        <w:t>remboursement d</w:t>
      </w:r>
      <w:r w:rsidR="00564B0C" w:rsidRPr="00B63BD5">
        <w:rPr>
          <w:lang w:val="fr-CA"/>
        </w:rPr>
        <w:t>’</w:t>
      </w:r>
      <w:r w:rsidRPr="00B63BD5">
        <w:rPr>
          <w:lang w:val="fr-CA"/>
        </w:rPr>
        <w:t>une somme payable aux termes des présentes</w:t>
      </w:r>
      <w:r w:rsidR="00C84CDA" w:rsidRPr="00B63BD5">
        <w:rPr>
          <w:lang w:val="fr-CA"/>
        </w:rPr>
        <w:t>,</w:t>
      </w:r>
      <w:r w:rsidRPr="00B63BD5">
        <w:rPr>
          <w:lang w:val="fr-CA"/>
        </w:rPr>
        <w:t xml:space="preserve"> ou</w:t>
      </w:r>
      <w:r w:rsidR="000405BE" w:rsidRPr="00B63BD5">
        <w:rPr>
          <w:lang w:val="fr-CA"/>
        </w:rPr>
        <w:t> </w:t>
      </w:r>
      <w:r w:rsidRPr="00B63BD5">
        <w:rPr>
          <w:lang w:val="fr-CA"/>
        </w:rPr>
        <w:t>d</w:t>
      </w:r>
      <w:r w:rsidR="00564B0C" w:rsidRPr="00B63BD5">
        <w:rPr>
          <w:lang w:val="fr-CA"/>
        </w:rPr>
        <w:t>’</w:t>
      </w:r>
      <w:r w:rsidRPr="00B63BD5">
        <w:rPr>
          <w:lang w:val="fr-CA"/>
        </w:rPr>
        <w:t>une</w:t>
      </w:r>
      <w:r w:rsidR="000405BE" w:rsidRPr="00B63BD5">
        <w:rPr>
          <w:lang w:val="fr-CA"/>
        </w:rPr>
        <w:t> </w:t>
      </w:r>
      <w:r w:rsidR="00C84CDA" w:rsidRPr="00B63BD5">
        <w:rPr>
          <w:lang w:val="fr-CA"/>
        </w:rPr>
        <w:t xml:space="preserve">tranche </w:t>
      </w:r>
      <w:r w:rsidRPr="00B63BD5">
        <w:rPr>
          <w:lang w:val="fr-CA"/>
        </w:rPr>
        <w:t>de celle</w:t>
      </w:r>
      <w:r w:rsidRPr="00B63BD5">
        <w:rPr>
          <w:lang w:val="fr-CA"/>
        </w:rPr>
        <w:noBreakHyphen/>
        <w:t>ci</w:t>
      </w:r>
      <w:r w:rsidR="00C84CDA" w:rsidRPr="00B63BD5">
        <w:rPr>
          <w:lang w:val="fr-CA"/>
        </w:rPr>
        <w:t>,</w:t>
      </w:r>
      <w:r w:rsidRPr="00B63BD5">
        <w:rPr>
          <w:lang w:val="fr-CA"/>
        </w:rPr>
        <w:t xml:space="preserve"> </w:t>
      </w:r>
      <w:r w:rsidR="000E4D1D" w:rsidRPr="00B63BD5">
        <w:rPr>
          <w:lang w:val="fr-CA"/>
        </w:rPr>
        <w:t xml:space="preserve">est en défaut, </w:t>
      </w:r>
      <w:r w:rsidRPr="00B63BD5">
        <w:rPr>
          <w:lang w:val="fr-CA"/>
        </w:rPr>
        <w:t>ou qu</w:t>
      </w:r>
      <w:r w:rsidR="00564B0C" w:rsidRPr="00B63BD5">
        <w:rPr>
          <w:lang w:val="fr-CA"/>
        </w:rPr>
        <w:t>’</w:t>
      </w:r>
      <w:r w:rsidRPr="00B63BD5">
        <w:rPr>
          <w:lang w:val="fr-CA"/>
        </w:rPr>
        <w:t xml:space="preserve">un avis ou une demande de </w:t>
      </w:r>
      <w:r w:rsidR="008532D9" w:rsidRPr="00B63BD5">
        <w:rPr>
          <w:lang w:val="fr-CA"/>
        </w:rPr>
        <w:t xml:space="preserve">paiement </w:t>
      </w:r>
      <w:r w:rsidRPr="00B63BD5">
        <w:rPr>
          <w:lang w:val="fr-CA"/>
        </w:rPr>
        <w:t>a été donné</w:t>
      </w:r>
      <w:r w:rsidR="008532D9" w:rsidRPr="00B63BD5">
        <w:rPr>
          <w:lang w:val="fr-CA"/>
        </w:rPr>
        <w:t xml:space="preserve"> ou fait</w:t>
      </w:r>
      <w:r w:rsidR="000E4D1D" w:rsidRPr="00B63BD5">
        <w:rPr>
          <w:lang w:val="fr-CA"/>
        </w:rPr>
        <w:t>e,</w:t>
      </w:r>
      <w:r w:rsidRPr="00B63BD5">
        <w:rPr>
          <w:lang w:val="fr-CA"/>
        </w:rPr>
        <w:t xml:space="preserve"> </w:t>
      </w:r>
      <w:r w:rsidR="00003BDE" w:rsidRPr="00B63BD5">
        <w:rPr>
          <w:lang w:val="fr-CA"/>
        </w:rPr>
        <w:t>constituent</w:t>
      </w:r>
      <w:r w:rsidRPr="00B63BD5">
        <w:rPr>
          <w:lang w:val="fr-CA"/>
        </w:rPr>
        <w:t>, sauf erreur manifeste</w:t>
      </w:r>
      <w:r w:rsidR="008532D9" w:rsidRPr="00B63BD5">
        <w:rPr>
          <w:lang w:val="fr-CA"/>
        </w:rPr>
        <w:t xml:space="preserve">, des preuves </w:t>
      </w:r>
      <w:r w:rsidR="008532D9" w:rsidRPr="00B63BD5">
        <w:rPr>
          <w:i/>
          <w:lang w:val="fr-CA"/>
        </w:rPr>
        <w:t>prima</w:t>
      </w:r>
      <w:r w:rsidR="00AC4107" w:rsidRPr="00B63BD5">
        <w:rPr>
          <w:i/>
          <w:lang w:val="fr-CA"/>
        </w:rPr>
        <w:t xml:space="preserve"> </w:t>
      </w:r>
      <w:r w:rsidR="008532D9" w:rsidRPr="00B63BD5">
        <w:rPr>
          <w:i/>
          <w:lang w:val="fr-CA"/>
        </w:rPr>
        <w:t>facie</w:t>
      </w:r>
      <w:r w:rsidR="008532D9" w:rsidRPr="00B63BD5">
        <w:rPr>
          <w:lang w:val="fr-CA"/>
        </w:rPr>
        <w:t xml:space="preserve"> de ces faits</w:t>
      </w:r>
      <w:r w:rsidRPr="00B63BD5">
        <w:rPr>
          <w:lang w:val="fr-CA"/>
        </w:rPr>
        <w:t xml:space="preserve">. </w:t>
      </w:r>
    </w:p>
    <w:p w14:paraId="35285731" w14:textId="7C10A002" w:rsidR="000E7CBA" w:rsidRPr="00B63BD5" w:rsidRDefault="000E7CBA" w:rsidP="00632863">
      <w:pPr>
        <w:spacing w:after="240"/>
        <w:jc w:val="both"/>
        <w:rPr>
          <w:b/>
          <w:color w:val="00B0F0"/>
          <w:lang w:val="fr-CA"/>
        </w:rPr>
      </w:pPr>
      <w:r w:rsidRPr="00B63BD5">
        <w:rPr>
          <w:b/>
          <w:color w:val="00B0F0"/>
          <w:highlight w:val="yellow"/>
          <w:lang w:val="fr-CA"/>
        </w:rPr>
        <w:t>[N.B.</w:t>
      </w:r>
      <w:r w:rsidR="00AC4107" w:rsidRPr="00B63BD5">
        <w:rPr>
          <w:b/>
          <w:color w:val="00B0F0"/>
          <w:highlight w:val="yellow"/>
          <w:lang w:val="fr-CA"/>
        </w:rPr>
        <w:t xml:space="preserve"> </w:t>
      </w:r>
      <w:r w:rsidRPr="00B63BD5">
        <w:rPr>
          <w:b/>
          <w:color w:val="00B0F0"/>
          <w:highlight w:val="yellow"/>
          <w:lang w:val="fr-CA"/>
        </w:rPr>
        <w:t xml:space="preserve">: Ne </w:t>
      </w:r>
      <w:r w:rsidRPr="00B63BD5">
        <w:rPr>
          <w:b/>
          <w:color w:val="00B0F0"/>
          <w:highlight w:val="yellow"/>
          <w:u w:val="single"/>
          <w:lang w:val="fr-CA"/>
        </w:rPr>
        <w:t>pas</w:t>
      </w:r>
      <w:r w:rsidRPr="00B63BD5">
        <w:rPr>
          <w:b/>
          <w:color w:val="00B0F0"/>
          <w:highlight w:val="yellow"/>
          <w:lang w:val="fr-CA"/>
        </w:rPr>
        <w:t xml:space="preserve"> modifier la substance de la disposition suivante sans le consentement écrit préalable des</w:t>
      </w:r>
      <w:r w:rsidR="000405BE" w:rsidRPr="00B63BD5">
        <w:rPr>
          <w:b/>
          <w:color w:val="00B0F0"/>
          <w:highlight w:val="yellow"/>
          <w:lang w:val="fr-CA"/>
        </w:rPr>
        <w:t> </w:t>
      </w:r>
      <w:r w:rsidRPr="00B63BD5">
        <w:rPr>
          <w:b/>
          <w:color w:val="00B0F0"/>
          <w:highlight w:val="yellow"/>
          <w:lang w:val="fr-CA"/>
        </w:rPr>
        <w:t xml:space="preserve">services juridiques de la </w:t>
      </w:r>
      <w:r w:rsidR="00B26E9C" w:rsidRPr="00B63BD5">
        <w:rPr>
          <w:b/>
          <w:color w:val="00B0F0"/>
          <w:highlight w:val="yellow"/>
          <w:lang w:val="fr-CA"/>
        </w:rPr>
        <w:t>Banque</w:t>
      </w:r>
      <w:r w:rsidRPr="00B63BD5">
        <w:rPr>
          <w:b/>
          <w:color w:val="00B0F0"/>
          <w:highlight w:val="yellow"/>
          <w:lang w:val="fr-CA"/>
        </w:rPr>
        <w:t>.]</w:t>
      </w:r>
    </w:p>
    <w:p w14:paraId="0DBD4640" w14:textId="282602F3" w:rsidR="009926E7" w:rsidRPr="00B63BD5" w:rsidRDefault="009102D0" w:rsidP="00632863">
      <w:pPr>
        <w:spacing w:after="240"/>
        <w:jc w:val="both"/>
        <w:rPr>
          <w:lang w:val="fr-CA"/>
        </w:rPr>
      </w:pPr>
      <w:r w:rsidRPr="00B63BD5">
        <w:rPr>
          <w:lang w:val="fr-CA"/>
        </w:rPr>
        <w:t xml:space="preserve">Aucun </w:t>
      </w:r>
      <w:r w:rsidR="008121D8" w:rsidRPr="00B63BD5">
        <w:rPr>
          <w:lang w:val="fr-CA"/>
        </w:rPr>
        <w:t>Bénéficiaire du crédit</w:t>
      </w:r>
      <w:r w:rsidRPr="00B63BD5">
        <w:rPr>
          <w:lang w:val="fr-CA"/>
        </w:rPr>
        <w:t xml:space="preserve"> ne</w:t>
      </w:r>
      <w:r w:rsidR="00575E06" w:rsidRPr="00B63BD5">
        <w:rPr>
          <w:lang w:val="fr-CA"/>
        </w:rPr>
        <w:t xml:space="preserve"> peut</w:t>
      </w:r>
      <w:r w:rsidRPr="00B63BD5">
        <w:rPr>
          <w:lang w:val="fr-CA"/>
        </w:rPr>
        <w:t xml:space="preserve"> céder</w:t>
      </w:r>
      <w:r w:rsidR="008532D9" w:rsidRPr="00B63BD5">
        <w:rPr>
          <w:lang w:val="fr-CA"/>
        </w:rPr>
        <w:t>, en totalité ou en partie,</w:t>
      </w:r>
      <w:r w:rsidRPr="00B63BD5">
        <w:rPr>
          <w:lang w:val="fr-CA"/>
        </w:rPr>
        <w:t xml:space="preserve"> </w:t>
      </w:r>
      <w:r w:rsidR="000E4D1D" w:rsidRPr="00B63BD5">
        <w:rPr>
          <w:lang w:val="fr-CA"/>
        </w:rPr>
        <w:t>l</w:t>
      </w:r>
      <w:r w:rsidRPr="00B63BD5">
        <w:rPr>
          <w:lang w:val="fr-CA"/>
        </w:rPr>
        <w:t xml:space="preserve">es droits, avantages ou obligations </w:t>
      </w:r>
      <w:r w:rsidR="000E4D1D" w:rsidRPr="00B63BD5">
        <w:rPr>
          <w:lang w:val="fr-CA"/>
        </w:rPr>
        <w:t>qui lui</w:t>
      </w:r>
      <w:r w:rsidR="000405BE" w:rsidRPr="00B63BD5">
        <w:rPr>
          <w:lang w:val="fr-CA"/>
        </w:rPr>
        <w:t> </w:t>
      </w:r>
      <w:r w:rsidR="000E4D1D" w:rsidRPr="00B63BD5">
        <w:rPr>
          <w:lang w:val="fr-CA"/>
        </w:rPr>
        <w:t xml:space="preserve">sont conférés ou imposés </w:t>
      </w:r>
      <w:r w:rsidR="008532D9" w:rsidRPr="00B63BD5">
        <w:rPr>
          <w:lang w:val="fr-CA"/>
        </w:rPr>
        <w:t>dans</w:t>
      </w:r>
      <w:r w:rsidRPr="00B63BD5">
        <w:rPr>
          <w:lang w:val="fr-CA"/>
        </w:rPr>
        <w:t xml:space="preserve"> la présente Lettre relative aux facilités ou </w:t>
      </w:r>
      <w:r w:rsidR="008532D9" w:rsidRPr="00B63BD5">
        <w:rPr>
          <w:lang w:val="fr-CA"/>
        </w:rPr>
        <w:t>l</w:t>
      </w:r>
      <w:r w:rsidRPr="00B63BD5">
        <w:rPr>
          <w:lang w:val="fr-CA"/>
        </w:rPr>
        <w:t xml:space="preserve">es </w:t>
      </w:r>
      <w:r w:rsidR="000E7CBA" w:rsidRPr="00B63BD5">
        <w:rPr>
          <w:lang w:val="fr-CA"/>
        </w:rPr>
        <w:t xml:space="preserve">autres </w:t>
      </w:r>
      <w:r w:rsidRPr="00B63BD5">
        <w:rPr>
          <w:lang w:val="fr-CA"/>
        </w:rPr>
        <w:t xml:space="preserve">Documents de prêt sans le consentement préalable </w:t>
      </w:r>
      <w:r w:rsidR="00575E06" w:rsidRPr="00B63BD5">
        <w:rPr>
          <w:lang w:val="fr-CA"/>
        </w:rPr>
        <w:t xml:space="preserve">écrit </w:t>
      </w:r>
      <w:r w:rsidRPr="00B63BD5">
        <w:rPr>
          <w:lang w:val="fr-CA"/>
        </w:rPr>
        <w:t xml:space="preserve">de la Banque. La Banque a le droit, sans le consentement des </w:t>
      </w:r>
      <w:r w:rsidR="008121D8" w:rsidRPr="00B63BD5">
        <w:rPr>
          <w:lang w:val="fr-CA"/>
        </w:rPr>
        <w:t>Bénéficiaires du</w:t>
      </w:r>
      <w:r w:rsidR="000405BE" w:rsidRPr="00B63BD5">
        <w:rPr>
          <w:lang w:val="fr-CA"/>
        </w:rPr>
        <w:t> </w:t>
      </w:r>
      <w:r w:rsidR="008121D8" w:rsidRPr="00B63BD5">
        <w:rPr>
          <w:lang w:val="fr-CA"/>
        </w:rPr>
        <w:t>crédit</w:t>
      </w:r>
      <w:r w:rsidRPr="00B63BD5">
        <w:rPr>
          <w:lang w:val="fr-CA"/>
        </w:rPr>
        <w:t>, de céder, de</w:t>
      </w:r>
      <w:r w:rsidR="008532D9" w:rsidRPr="00B63BD5">
        <w:rPr>
          <w:lang w:val="fr-CA"/>
        </w:rPr>
        <w:t xml:space="preserve"> </w:t>
      </w:r>
      <w:r w:rsidR="0048139D" w:rsidRPr="00B63BD5">
        <w:rPr>
          <w:lang w:val="fr-CA"/>
        </w:rPr>
        <w:t>syndiquer</w:t>
      </w:r>
      <w:r w:rsidR="008532D9" w:rsidRPr="00B63BD5">
        <w:rPr>
          <w:lang w:val="fr-CA"/>
        </w:rPr>
        <w:t>, de</w:t>
      </w:r>
      <w:r w:rsidRPr="00B63BD5">
        <w:rPr>
          <w:lang w:val="fr-CA"/>
        </w:rPr>
        <w:t xml:space="preserve"> vendre ou de transférer</w:t>
      </w:r>
      <w:r w:rsidR="008532D9" w:rsidRPr="00B63BD5">
        <w:rPr>
          <w:lang w:val="fr-CA"/>
        </w:rPr>
        <w:t xml:space="preserve">, en </w:t>
      </w:r>
      <w:r w:rsidRPr="00B63BD5">
        <w:rPr>
          <w:lang w:val="fr-CA"/>
        </w:rPr>
        <w:t xml:space="preserve">totalité ou </w:t>
      </w:r>
      <w:r w:rsidR="008532D9" w:rsidRPr="00B63BD5">
        <w:rPr>
          <w:lang w:val="fr-CA"/>
        </w:rPr>
        <w:t>en</w:t>
      </w:r>
      <w:r w:rsidRPr="00B63BD5">
        <w:rPr>
          <w:lang w:val="fr-CA"/>
        </w:rPr>
        <w:t xml:space="preserve"> partie</w:t>
      </w:r>
      <w:r w:rsidR="008532D9" w:rsidRPr="00B63BD5">
        <w:rPr>
          <w:lang w:val="fr-CA"/>
        </w:rPr>
        <w:t xml:space="preserve">, </w:t>
      </w:r>
      <w:r w:rsidR="000E4D1D" w:rsidRPr="00B63BD5">
        <w:rPr>
          <w:lang w:val="fr-CA"/>
        </w:rPr>
        <w:t>l</w:t>
      </w:r>
      <w:r w:rsidRPr="00B63BD5">
        <w:rPr>
          <w:lang w:val="fr-CA"/>
        </w:rPr>
        <w:t>es droits, avantages et</w:t>
      </w:r>
      <w:r w:rsidR="000405BE" w:rsidRPr="00B63BD5">
        <w:rPr>
          <w:lang w:val="fr-CA"/>
        </w:rPr>
        <w:t> </w:t>
      </w:r>
      <w:r w:rsidRPr="00B63BD5">
        <w:rPr>
          <w:lang w:val="fr-CA"/>
        </w:rPr>
        <w:t xml:space="preserve">obligations </w:t>
      </w:r>
      <w:r w:rsidR="000E4D1D" w:rsidRPr="00B63BD5">
        <w:rPr>
          <w:lang w:val="fr-CA"/>
        </w:rPr>
        <w:t xml:space="preserve">qui lui sont conférés par </w:t>
      </w:r>
      <w:r w:rsidRPr="00B63BD5">
        <w:rPr>
          <w:lang w:val="fr-CA"/>
        </w:rPr>
        <w:t xml:space="preserve">la présente Lettre relative aux facilités et </w:t>
      </w:r>
      <w:r w:rsidR="008532D9" w:rsidRPr="00B63BD5">
        <w:rPr>
          <w:lang w:val="fr-CA"/>
        </w:rPr>
        <w:t>l</w:t>
      </w:r>
      <w:r w:rsidRPr="00B63BD5">
        <w:rPr>
          <w:lang w:val="fr-CA"/>
        </w:rPr>
        <w:t xml:space="preserve">es </w:t>
      </w:r>
      <w:r w:rsidR="000E7CBA" w:rsidRPr="00B63BD5">
        <w:rPr>
          <w:lang w:val="fr-CA"/>
        </w:rPr>
        <w:t xml:space="preserve">autres </w:t>
      </w:r>
      <w:r w:rsidRPr="00B63BD5">
        <w:rPr>
          <w:lang w:val="fr-CA"/>
        </w:rPr>
        <w:t xml:space="preserve">Documents de prêt. </w:t>
      </w:r>
    </w:p>
    <w:p w14:paraId="0817EBE8" w14:textId="171E99D0" w:rsidR="00AA70A0" w:rsidRPr="00B63BD5" w:rsidRDefault="00AA70A0" w:rsidP="00632863">
      <w:pPr>
        <w:pStyle w:val="ListNumber"/>
        <w:spacing w:after="240"/>
        <w:ind w:left="720"/>
        <w:jc w:val="both"/>
        <w:rPr>
          <w:color w:val="00B0F0"/>
          <w:u w:val="none"/>
          <w:lang w:val="fr-CA"/>
        </w:rPr>
      </w:pPr>
      <w:r w:rsidRPr="00B63BD5">
        <w:rPr>
          <w:lang w:val="fr-CA"/>
        </w:rPr>
        <w:t>Événement qui entraîne la modification du taux de référence</w:t>
      </w:r>
      <w:r w:rsidRPr="00B63BD5">
        <w:rPr>
          <w:u w:val="none"/>
          <w:lang w:val="fr-CA"/>
        </w:rPr>
        <w:t xml:space="preserve"> </w:t>
      </w:r>
    </w:p>
    <w:p w14:paraId="1887A5E9" w14:textId="05FEBAFA" w:rsidR="008902C5" w:rsidRPr="000B7739" w:rsidRDefault="008902C5" w:rsidP="000C4154">
      <w:pPr>
        <w:pStyle w:val="04LOLglNew3"/>
        <w:numPr>
          <w:ilvl w:val="2"/>
          <w:numId w:val="48"/>
        </w:numPr>
        <w:rPr>
          <w:lang w:val="fr-CA"/>
        </w:rPr>
      </w:pPr>
      <w:r w:rsidRPr="000B7739">
        <w:rPr>
          <w:lang w:val="fr-CA"/>
        </w:rPr>
        <w:t xml:space="preserve">Au moment de la survenance </w:t>
      </w:r>
      <w:r w:rsidR="00C75A4E" w:rsidRPr="000B7739">
        <w:rPr>
          <w:lang w:val="fr-CA"/>
        </w:rPr>
        <w:t>de l’</w:t>
      </w:r>
      <w:r w:rsidRPr="000B7739">
        <w:rPr>
          <w:lang w:val="fr-CA"/>
        </w:rPr>
        <w:t>Événement qui entraîne la modification du taux de référence ou</w:t>
      </w:r>
      <w:r w:rsidR="000405BE" w:rsidRPr="000B7739">
        <w:rPr>
          <w:lang w:val="fr-CA"/>
        </w:rPr>
        <w:t> </w:t>
      </w:r>
      <w:r w:rsidRPr="000B7739">
        <w:rPr>
          <w:lang w:val="fr-CA"/>
        </w:rPr>
        <w:t>par</w:t>
      </w:r>
      <w:r w:rsidR="000405BE" w:rsidRPr="000B7739">
        <w:rPr>
          <w:lang w:val="fr-CA"/>
        </w:rPr>
        <w:t> </w:t>
      </w:r>
      <w:r w:rsidRPr="000B7739">
        <w:rPr>
          <w:lang w:val="fr-CA"/>
        </w:rPr>
        <w:t>la suite, la Banque peut modifier la présente Lettre relative aux facilités afin de remplacer le taux d</w:t>
      </w:r>
      <w:r w:rsidR="00564B0C" w:rsidRPr="000B7739">
        <w:rPr>
          <w:lang w:val="fr-CA"/>
        </w:rPr>
        <w:t>’</w:t>
      </w:r>
      <w:r w:rsidRPr="000B7739">
        <w:rPr>
          <w:lang w:val="fr-CA"/>
        </w:rPr>
        <w:t>intérêt de référence alors en vigueur (y compris le Taux SOFR affiché ou le Taux SONIA affiché, selon le cas) par un taux de référence de remplacement. Une telle modification prend effet à la Date d</w:t>
      </w:r>
      <w:r w:rsidR="00564B0C" w:rsidRPr="000B7739">
        <w:rPr>
          <w:lang w:val="fr-CA"/>
        </w:rPr>
        <w:t>’</w:t>
      </w:r>
      <w:r w:rsidRPr="000B7739">
        <w:rPr>
          <w:lang w:val="fr-CA"/>
        </w:rPr>
        <w:t>entrée en vigueur</w:t>
      </w:r>
      <w:r w:rsidR="00C75A4E" w:rsidRPr="000B7739">
        <w:rPr>
          <w:lang w:val="fr-CA"/>
        </w:rPr>
        <w:t xml:space="preserve"> applicable</w:t>
      </w:r>
      <w:r w:rsidRPr="000B7739">
        <w:rPr>
          <w:lang w:val="fr-CA"/>
        </w:rPr>
        <w:t>, sans autre mesure ou consentement de l</w:t>
      </w:r>
      <w:r w:rsidR="00564B0C" w:rsidRPr="000B7739">
        <w:rPr>
          <w:lang w:val="fr-CA"/>
        </w:rPr>
        <w:t>’</w:t>
      </w:r>
      <w:r w:rsidRPr="000B7739">
        <w:rPr>
          <w:lang w:val="fr-CA"/>
        </w:rPr>
        <w:t>Emprunteur</w:t>
      </w:r>
      <w:r w:rsidR="00C75A4E" w:rsidRPr="000B7739">
        <w:rPr>
          <w:lang w:val="fr-CA"/>
        </w:rPr>
        <w:t xml:space="preserve"> ou de tout Bénéficiaire du crédit</w:t>
      </w:r>
      <w:r w:rsidRPr="000B7739">
        <w:rPr>
          <w:lang w:val="fr-CA"/>
        </w:rPr>
        <w:t>, à condition que la Banque n</w:t>
      </w:r>
      <w:r w:rsidR="00564B0C" w:rsidRPr="000B7739">
        <w:rPr>
          <w:lang w:val="fr-CA"/>
        </w:rPr>
        <w:t>’</w:t>
      </w:r>
      <w:r w:rsidRPr="000B7739">
        <w:rPr>
          <w:lang w:val="fr-CA"/>
        </w:rPr>
        <w:t>ait reçu aucun avis écrit d</w:t>
      </w:r>
      <w:r w:rsidR="00564B0C" w:rsidRPr="000B7739">
        <w:rPr>
          <w:lang w:val="fr-CA"/>
        </w:rPr>
        <w:t>’</w:t>
      </w:r>
      <w:r w:rsidRPr="000B7739">
        <w:rPr>
          <w:lang w:val="fr-CA"/>
        </w:rPr>
        <w:t>opposition à cette modification, ou au plus tard à 17</w:t>
      </w:r>
      <w:r w:rsidR="00AC4107" w:rsidRPr="000B7739">
        <w:rPr>
          <w:lang w:val="fr-CA"/>
        </w:rPr>
        <w:t xml:space="preserve"> </w:t>
      </w:r>
      <w:r w:rsidRPr="000B7739">
        <w:rPr>
          <w:lang w:val="fr-CA"/>
        </w:rPr>
        <w:t>h (heure de l</w:t>
      </w:r>
      <w:r w:rsidR="00564B0C" w:rsidRPr="000B7739">
        <w:rPr>
          <w:lang w:val="fr-CA"/>
        </w:rPr>
        <w:t>’</w:t>
      </w:r>
      <w:r w:rsidRPr="000B7739">
        <w:rPr>
          <w:lang w:val="fr-CA"/>
        </w:rPr>
        <w:t xml:space="preserve">Est) le dixième Jour ouvrable suivant la date à laquelle la Banque a </w:t>
      </w:r>
      <w:r w:rsidR="00C16D05" w:rsidRPr="000B7739">
        <w:rPr>
          <w:lang w:val="fr-CA"/>
        </w:rPr>
        <w:t>avisé l</w:t>
      </w:r>
      <w:r w:rsidR="00564B0C" w:rsidRPr="000B7739">
        <w:rPr>
          <w:lang w:val="fr-CA"/>
        </w:rPr>
        <w:t>’</w:t>
      </w:r>
      <w:r w:rsidR="00C16D05" w:rsidRPr="000B7739">
        <w:rPr>
          <w:lang w:val="fr-CA"/>
        </w:rPr>
        <w:t>Emprunteur de</w:t>
      </w:r>
      <w:r w:rsidRPr="000B7739">
        <w:rPr>
          <w:lang w:val="fr-CA"/>
        </w:rPr>
        <w:t xml:space="preserve"> cette modification.</w:t>
      </w:r>
      <w:r w:rsidR="00AC4107" w:rsidRPr="000B7739">
        <w:rPr>
          <w:lang w:val="fr-CA"/>
        </w:rPr>
        <w:t xml:space="preserve"> </w:t>
      </w:r>
    </w:p>
    <w:p w14:paraId="26F491E5" w14:textId="7641BF69" w:rsidR="008902C5" w:rsidRPr="000B7739" w:rsidRDefault="008902C5" w:rsidP="000C4154">
      <w:pPr>
        <w:pStyle w:val="04LOLglNew3"/>
        <w:numPr>
          <w:ilvl w:val="2"/>
          <w:numId w:val="48"/>
        </w:numPr>
        <w:rPr>
          <w:lang w:val="fr-CA"/>
        </w:rPr>
      </w:pPr>
      <w:r w:rsidRPr="000B7739">
        <w:rPr>
          <w:lang w:val="fr-CA"/>
        </w:rPr>
        <w:t>Si la Banque reçoit un avis écrit d</w:t>
      </w:r>
      <w:r w:rsidR="00564B0C" w:rsidRPr="000B7739">
        <w:rPr>
          <w:lang w:val="fr-CA"/>
        </w:rPr>
        <w:t>’</w:t>
      </w:r>
      <w:r w:rsidRPr="000B7739">
        <w:rPr>
          <w:lang w:val="fr-CA"/>
        </w:rPr>
        <w:t xml:space="preserve">opposition conformément </w:t>
      </w:r>
      <w:r w:rsidR="00C16D05" w:rsidRPr="000B7739">
        <w:rPr>
          <w:lang w:val="fr-CA"/>
        </w:rPr>
        <w:t>au paragraphe</w:t>
      </w:r>
      <w:r w:rsidR="00706F46" w:rsidRPr="000B7739">
        <w:rPr>
          <w:lang w:val="fr-CA"/>
        </w:rPr>
        <w:t> </w:t>
      </w:r>
      <w:r w:rsidR="00ED0352" w:rsidRPr="000B7739">
        <w:rPr>
          <w:lang w:val="fr-CA"/>
        </w:rPr>
        <w:t>(</w:t>
      </w:r>
      <w:r w:rsidRPr="000B7739">
        <w:rPr>
          <w:lang w:val="fr-CA"/>
        </w:rPr>
        <w:t>a), l</w:t>
      </w:r>
      <w:r w:rsidR="00564B0C" w:rsidRPr="000B7739">
        <w:rPr>
          <w:lang w:val="fr-CA"/>
        </w:rPr>
        <w:t>’</w:t>
      </w:r>
      <w:r w:rsidRPr="000B7739">
        <w:rPr>
          <w:lang w:val="fr-CA"/>
        </w:rPr>
        <w:t>Emprunteur et</w:t>
      </w:r>
      <w:r w:rsidR="000405BE" w:rsidRPr="000B7739">
        <w:rPr>
          <w:lang w:val="fr-CA"/>
        </w:rPr>
        <w:t> </w:t>
      </w:r>
      <w:r w:rsidRPr="000B7739">
        <w:rPr>
          <w:lang w:val="fr-CA"/>
        </w:rPr>
        <w:t>la</w:t>
      </w:r>
      <w:r w:rsidR="000405BE" w:rsidRPr="000B7739">
        <w:rPr>
          <w:lang w:val="fr-CA"/>
        </w:rPr>
        <w:t> </w:t>
      </w:r>
      <w:r w:rsidRPr="000B7739">
        <w:rPr>
          <w:lang w:val="fr-CA"/>
        </w:rPr>
        <w:t>Banque doivent entamer sans tarder des négociations de bonne foi en vue de convenir des</w:t>
      </w:r>
      <w:r w:rsidR="000405BE" w:rsidRPr="000B7739">
        <w:rPr>
          <w:lang w:val="fr-CA"/>
        </w:rPr>
        <w:t> </w:t>
      </w:r>
      <w:r w:rsidRPr="000B7739">
        <w:rPr>
          <w:lang w:val="fr-CA"/>
        </w:rPr>
        <w:t xml:space="preserve">modifications à apporter à la présente Lettre </w:t>
      </w:r>
      <w:r w:rsidR="00C16D05" w:rsidRPr="000B7739">
        <w:rPr>
          <w:lang w:val="fr-CA"/>
        </w:rPr>
        <w:t xml:space="preserve">relative aux facilités </w:t>
      </w:r>
      <w:r w:rsidRPr="000B7739">
        <w:rPr>
          <w:lang w:val="fr-CA"/>
        </w:rPr>
        <w:t>pour remplacer le taux d</w:t>
      </w:r>
      <w:r w:rsidR="00564B0C" w:rsidRPr="000B7739">
        <w:rPr>
          <w:lang w:val="fr-CA"/>
        </w:rPr>
        <w:t>’</w:t>
      </w:r>
      <w:r w:rsidRPr="000B7739">
        <w:rPr>
          <w:lang w:val="fr-CA"/>
        </w:rPr>
        <w:t>intérêt de référence existant (y compris le Taux SOFR affiché ou le Taux SONIA affiché, selon le cas) par</w:t>
      </w:r>
      <w:r w:rsidR="000405BE" w:rsidRPr="000B7739">
        <w:rPr>
          <w:lang w:val="fr-CA"/>
        </w:rPr>
        <w:t> </w:t>
      </w:r>
      <w:r w:rsidRPr="000B7739">
        <w:rPr>
          <w:lang w:val="fr-CA"/>
        </w:rPr>
        <w:t>un</w:t>
      </w:r>
      <w:r w:rsidR="000405BE" w:rsidRPr="000B7739">
        <w:rPr>
          <w:lang w:val="fr-CA"/>
        </w:rPr>
        <w:t> </w:t>
      </w:r>
      <w:r w:rsidRPr="000B7739">
        <w:rPr>
          <w:lang w:val="fr-CA"/>
        </w:rPr>
        <w:t>taux de référence de remplacement, et ce, dès que possible après la réception par la Banque de l</w:t>
      </w:r>
      <w:r w:rsidR="00564B0C" w:rsidRPr="000B7739">
        <w:rPr>
          <w:lang w:val="fr-CA"/>
        </w:rPr>
        <w:t>’</w:t>
      </w:r>
      <w:r w:rsidRPr="000B7739">
        <w:rPr>
          <w:lang w:val="fr-CA"/>
        </w:rPr>
        <w:t>avis écrit d</w:t>
      </w:r>
      <w:r w:rsidR="00564B0C" w:rsidRPr="000B7739">
        <w:rPr>
          <w:lang w:val="fr-CA"/>
        </w:rPr>
        <w:t>’</w:t>
      </w:r>
      <w:r w:rsidRPr="000B7739">
        <w:rPr>
          <w:lang w:val="fr-CA"/>
        </w:rPr>
        <w:t>opposition et dans tous les cas au plus tard trente (30) jours ouvrables après le début de telles négociations. Ces modifications entreront en vigueur à la date convenue entre la Banque et</w:t>
      </w:r>
      <w:r w:rsidR="000405BE" w:rsidRPr="000B7739">
        <w:rPr>
          <w:lang w:val="fr-CA"/>
        </w:rPr>
        <w:t> </w:t>
      </w:r>
      <w:r w:rsidRPr="000B7739">
        <w:rPr>
          <w:lang w:val="fr-CA"/>
        </w:rPr>
        <w:t>l</w:t>
      </w:r>
      <w:r w:rsidR="00564B0C" w:rsidRPr="000B7739">
        <w:rPr>
          <w:lang w:val="fr-CA"/>
        </w:rPr>
        <w:t>’</w:t>
      </w:r>
      <w:r w:rsidRPr="000B7739">
        <w:rPr>
          <w:lang w:val="fr-CA"/>
        </w:rPr>
        <w:t>Emprunteur comme étant la Date d</w:t>
      </w:r>
      <w:r w:rsidR="00564B0C" w:rsidRPr="000B7739">
        <w:rPr>
          <w:lang w:val="fr-CA"/>
        </w:rPr>
        <w:t>’</w:t>
      </w:r>
      <w:r w:rsidRPr="000B7739">
        <w:rPr>
          <w:lang w:val="fr-CA"/>
        </w:rPr>
        <w:t>entrée en vigueur</w:t>
      </w:r>
      <w:r w:rsidR="00877517" w:rsidRPr="000B7739">
        <w:rPr>
          <w:lang w:val="fr-CA"/>
        </w:rPr>
        <w:t xml:space="preserve"> applicable</w:t>
      </w:r>
      <w:r w:rsidRPr="000B7739">
        <w:rPr>
          <w:lang w:val="fr-CA"/>
        </w:rPr>
        <w:t xml:space="preserve">. </w:t>
      </w:r>
    </w:p>
    <w:p w14:paraId="0F8DC527" w14:textId="2ED9CD76" w:rsidR="008902C5" w:rsidRPr="000B7739" w:rsidRDefault="008902C5" w:rsidP="000C4154">
      <w:pPr>
        <w:pStyle w:val="04LOLglNew3"/>
        <w:numPr>
          <w:ilvl w:val="2"/>
          <w:numId w:val="48"/>
        </w:numPr>
        <w:rPr>
          <w:lang w:val="fr-CA"/>
        </w:rPr>
      </w:pPr>
      <w:r w:rsidRPr="000B7739">
        <w:rPr>
          <w:lang w:val="fr-CA"/>
        </w:rPr>
        <w:t>En ce qui concerne l</w:t>
      </w:r>
      <w:r w:rsidR="00564B0C" w:rsidRPr="000B7739">
        <w:rPr>
          <w:lang w:val="fr-CA"/>
        </w:rPr>
        <w:t>’</w:t>
      </w:r>
      <w:r w:rsidRPr="000B7739">
        <w:rPr>
          <w:lang w:val="fr-CA"/>
        </w:rPr>
        <w:t>utilisation ou l</w:t>
      </w:r>
      <w:r w:rsidR="00564B0C" w:rsidRPr="000B7739">
        <w:rPr>
          <w:lang w:val="fr-CA"/>
        </w:rPr>
        <w:t>’</w:t>
      </w:r>
      <w:r w:rsidRPr="000B7739">
        <w:rPr>
          <w:lang w:val="fr-CA"/>
        </w:rPr>
        <w:t xml:space="preserve">administration du Taux </w:t>
      </w:r>
      <w:r w:rsidR="00877517" w:rsidRPr="000B7739">
        <w:rPr>
          <w:lang w:val="fr-CA"/>
        </w:rPr>
        <w:t xml:space="preserve">de référence </w:t>
      </w:r>
      <w:r w:rsidRPr="000B7739">
        <w:rPr>
          <w:lang w:val="fr-CA"/>
        </w:rPr>
        <w:t xml:space="preserve">SOFR ou du Taux </w:t>
      </w:r>
      <w:r w:rsidR="00877517" w:rsidRPr="000B7739">
        <w:rPr>
          <w:lang w:val="fr-CA"/>
        </w:rPr>
        <w:t xml:space="preserve">de référence </w:t>
      </w:r>
      <w:r w:rsidRPr="000B7739">
        <w:rPr>
          <w:lang w:val="fr-CA"/>
        </w:rPr>
        <w:t>SONIA ou l</w:t>
      </w:r>
      <w:r w:rsidR="00564B0C" w:rsidRPr="000B7739">
        <w:rPr>
          <w:lang w:val="fr-CA"/>
        </w:rPr>
        <w:t>’</w:t>
      </w:r>
      <w:r w:rsidRPr="000B7739">
        <w:rPr>
          <w:lang w:val="fr-CA"/>
        </w:rPr>
        <w:t>utilisation, l</w:t>
      </w:r>
      <w:r w:rsidR="00564B0C" w:rsidRPr="000B7739">
        <w:rPr>
          <w:lang w:val="fr-CA"/>
        </w:rPr>
        <w:t>’</w:t>
      </w:r>
      <w:r w:rsidRPr="000B7739">
        <w:rPr>
          <w:lang w:val="fr-CA"/>
        </w:rPr>
        <w:t>administration, l</w:t>
      </w:r>
      <w:r w:rsidR="00564B0C" w:rsidRPr="000B7739">
        <w:rPr>
          <w:lang w:val="fr-CA"/>
        </w:rPr>
        <w:t>’</w:t>
      </w:r>
      <w:r w:rsidRPr="000B7739">
        <w:rPr>
          <w:lang w:val="fr-CA"/>
        </w:rPr>
        <w:t>adoption ou l</w:t>
      </w:r>
      <w:r w:rsidR="00564B0C" w:rsidRPr="000B7739">
        <w:rPr>
          <w:lang w:val="fr-CA"/>
        </w:rPr>
        <w:t>’</w:t>
      </w:r>
      <w:r w:rsidRPr="000B7739">
        <w:rPr>
          <w:lang w:val="fr-CA"/>
        </w:rPr>
        <w:t xml:space="preserve">établissement de tout Taux de référence de </w:t>
      </w:r>
      <w:r w:rsidRPr="000B7739">
        <w:rPr>
          <w:lang w:val="fr-CA"/>
        </w:rPr>
        <w:lastRenderedPageBreak/>
        <w:t>remplacement, la Banque a</w:t>
      </w:r>
      <w:r w:rsidR="000405BE" w:rsidRPr="000B7739">
        <w:rPr>
          <w:lang w:val="fr-CA"/>
        </w:rPr>
        <w:t> </w:t>
      </w:r>
      <w:r w:rsidRPr="000B7739">
        <w:rPr>
          <w:lang w:val="fr-CA"/>
        </w:rPr>
        <w:t>le droit d</w:t>
      </w:r>
      <w:r w:rsidR="00564B0C" w:rsidRPr="000B7739">
        <w:rPr>
          <w:lang w:val="fr-CA"/>
        </w:rPr>
        <w:t>’</w:t>
      </w:r>
      <w:r w:rsidRPr="000B7739">
        <w:rPr>
          <w:lang w:val="fr-CA"/>
        </w:rPr>
        <w:t>apporter, de temps à autre, toute modification corrélative qu</w:t>
      </w:r>
      <w:r w:rsidR="00564B0C" w:rsidRPr="000B7739">
        <w:rPr>
          <w:lang w:val="fr-CA"/>
        </w:rPr>
        <w:t>’</w:t>
      </w:r>
      <w:r w:rsidRPr="000B7739">
        <w:rPr>
          <w:lang w:val="fr-CA"/>
        </w:rPr>
        <w:t>elle juge appropriée pour tenir compte de l</w:t>
      </w:r>
      <w:r w:rsidR="00564B0C" w:rsidRPr="000B7739">
        <w:rPr>
          <w:lang w:val="fr-CA"/>
        </w:rPr>
        <w:t>’</w:t>
      </w:r>
      <w:r w:rsidRPr="000B7739">
        <w:rPr>
          <w:lang w:val="fr-CA"/>
        </w:rPr>
        <w:t>adoption, de l</w:t>
      </w:r>
      <w:r w:rsidR="00564B0C" w:rsidRPr="000B7739">
        <w:rPr>
          <w:lang w:val="fr-CA"/>
        </w:rPr>
        <w:t>’</w:t>
      </w:r>
      <w:r w:rsidRPr="000B7739">
        <w:rPr>
          <w:lang w:val="fr-CA"/>
        </w:rPr>
        <w:t>établissement et de l</w:t>
      </w:r>
      <w:r w:rsidR="00564B0C" w:rsidRPr="000B7739">
        <w:rPr>
          <w:lang w:val="fr-CA"/>
        </w:rPr>
        <w:t>’</w:t>
      </w:r>
      <w:r w:rsidRPr="000B7739">
        <w:rPr>
          <w:lang w:val="fr-CA"/>
        </w:rPr>
        <w:t xml:space="preserve">administration du Taux </w:t>
      </w:r>
      <w:r w:rsidR="00877517" w:rsidRPr="000B7739">
        <w:rPr>
          <w:lang w:val="fr-CA"/>
        </w:rPr>
        <w:t xml:space="preserve">de référence </w:t>
      </w:r>
      <w:r w:rsidRPr="000B7739">
        <w:rPr>
          <w:lang w:val="fr-CA"/>
        </w:rPr>
        <w:t xml:space="preserve">SOFR, du Taux </w:t>
      </w:r>
      <w:r w:rsidR="00877517" w:rsidRPr="000B7739">
        <w:rPr>
          <w:lang w:val="fr-CA"/>
        </w:rPr>
        <w:t xml:space="preserve">de référence </w:t>
      </w:r>
      <w:r w:rsidRPr="000B7739">
        <w:rPr>
          <w:lang w:val="fr-CA"/>
        </w:rPr>
        <w:t>SONIA ou</w:t>
      </w:r>
      <w:r w:rsidR="000405BE" w:rsidRPr="000B7739">
        <w:rPr>
          <w:lang w:val="fr-CA"/>
        </w:rPr>
        <w:t> </w:t>
      </w:r>
      <w:r w:rsidRPr="000B7739">
        <w:rPr>
          <w:lang w:val="fr-CA"/>
        </w:rPr>
        <w:t>de</w:t>
      </w:r>
      <w:r w:rsidR="000405BE" w:rsidRPr="000B7739">
        <w:rPr>
          <w:lang w:val="fr-CA"/>
        </w:rPr>
        <w:t> </w:t>
      </w:r>
      <w:r w:rsidRPr="000B7739">
        <w:rPr>
          <w:lang w:val="fr-CA"/>
        </w:rPr>
        <w:t>tout autre Taux de référence de remplacement, y compris toute modification visant à inclure des</w:t>
      </w:r>
      <w:r w:rsidR="000405BE" w:rsidRPr="000B7739">
        <w:rPr>
          <w:lang w:val="fr-CA"/>
        </w:rPr>
        <w:t> </w:t>
      </w:r>
      <w:r w:rsidRPr="000B7739">
        <w:rPr>
          <w:lang w:val="fr-CA"/>
        </w:rPr>
        <w:t>dispositions advenant qu</w:t>
      </w:r>
      <w:r w:rsidR="00564B0C" w:rsidRPr="000B7739">
        <w:rPr>
          <w:lang w:val="fr-CA"/>
        </w:rPr>
        <w:t>’</w:t>
      </w:r>
      <w:r w:rsidRPr="000B7739">
        <w:rPr>
          <w:lang w:val="fr-CA"/>
        </w:rPr>
        <w:t>un Taux de référence de remplacement ne soit pas disponible.</w:t>
      </w:r>
      <w:r w:rsidR="00AC4107" w:rsidRPr="000B7739">
        <w:rPr>
          <w:lang w:val="fr-CA"/>
        </w:rPr>
        <w:t xml:space="preserve"> </w:t>
      </w:r>
      <w:r w:rsidRPr="000B7739">
        <w:rPr>
          <w:lang w:val="fr-CA"/>
        </w:rPr>
        <w:t>Ces</w:t>
      </w:r>
      <w:r w:rsidR="000405BE" w:rsidRPr="000B7739">
        <w:rPr>
          <w:lang w:val="fr-CA"/>
        </w:rPr>
        <w:t> </w:t>
      </w:r>
      <w:r w:rsidRPr="000B7739">
        <w:rPr>
          <w:lang w:val="fr-CA"/>
        </w:rPr>
        <w:t>modifications entrent en vigueur après avoir été notifiées à l</w:t>
      </w:r>
      <w:r w:rsidR="00564B0C" w:rsidRPr="000B7739">
        <w:rPr>
          <w:lang w:val="fr-CA"/>
        </w:rPr>
        <w:t>’</w:t>
      </w:r>
      <w:r w:rsidRPr="000B7739">
        <w:rPr>
          <w:lang w:val="fr-CA"/>
        </w:rPr>
        <w:t>Emprunteur par la Banque, sans autre mesure ou consentement de l</w:t>
      </w:r>
      <w:r w:rsidR="00564B0C" w:rsidRPr="000B7739">
        <w:rPr>
          <w:lang w:val="fr-CA"/>
        </w:rPr>
        <w:t>’</w:t>
      </w:r>
      <w:r w:rsidRPr="000B7739">
        <w:rPr>
          <w:lang w:val="fr-CA"/>
        </w:rPr>
        <w:t>Emprunteur</w:t>
      </w:r>
      <w:r w:rsidR="00877517" w:rsidRPr="000B7739">
        <w:rPr>
          <w:lang w:val="fr-CA"/>
        </w:rPr>
        <w:t xml:space="preserve"> ou de tout Bénéficiaire du crédit</w:t>
      </w:r>
      <w:r w:rsidRPr="000B7739">
        <w:rPr>
          <w:lang w:val="fr-CA"/>
        </w:rPr>
        <w:t xml:space="preserve">. </w:t>
      </w:r>
    </w:p>
    <w:p w14:paraId="4CD11D2B" w14:textId="2606B11C" w:rsidR="008902C5" w:rsidRPr="000B7739" w:rsidRDefault="008902C5" w:rsidP="000C4154">
      <w:pPr>
        <w:pStyle w:val="04LOLglNew3"/>
        <w:numPr>
          <w:ilvl w:val="2"/>
          <w:numId w:val="48"/>
        </w:numPr>
        <w:rPr>
          <w:lang w:val="fr-CA"/>
        </w:rPr>
      </w:pPr>
      <w:r w:rsidRPr="000B7739">
        <w:rPr>
          <w:lang w:val="fr-CA"/>
        </w:rPr>
        <w:t>La Banque avisera l</w:t>
      </w:r>
      <w:r w:rsidR="00564B0C" w:rsidRPr="000B7739">
        <w:rPr>
          <w:lang w:val="fr-CA"/>
        </w:rPr>
        <w:t>’</w:t>
      </w:r>
      <w:r w:rsidRPr="000B7739">
        <w:rPr>
          <w:lang w:val="fr-CA"/>
        </w:rPr>
        <w:t xml:space="preserve">Emprunteur si elle entend exercer ses droits conférés par </w:t>
      </w:r>
      <w:r w:rsidR="00C16D05" w:rsidRPr="000B7739">
        <w:rPr>
          <w:lang w:val="fr-CA"/>
        </w:rPr>
        <w:t>le paragraphe</w:t>
      </w:r>
      <w:r w:rsidR="00706F46" w:rsidRPr="000B7739">
        <w:rPr>
          <w:lang w:val="fr-CA"/>
        </w:rPr>
        <w:t> </w:t>
      </w:r>
      <w:r w:rsidR="00D33630" w:rsidRPr="000B7739">
        <w:rPr>
          <w:lang w:val="fr-CA"/>
        </w:rPr>
        <w:t>(</w:t>
      </w:r>
      <w:r w:rsidRPr="000B7739">
        <w:rPr>
          <w:lang w:val="fr-CA"/>
        </w:rPr>
        <w:t xml:space="preserve">a) </w:t>
      </w:r>
      <w:r w:rsidR="00B63BD5" w:rsidRPr="000B7739">
        <w:rPr>
          <w:lang w:val="fr-CA"/>
        </w:rPr>
        <w:t>ci-dessus</w:t>
      </w:r>
      <w:r w:rsidRPr="000B7739">
        <w:rPr>
          <w:lang w:val="fr-CA"/>
        </w:rPr>
        <w:t xml:space="preserve"> à la suite d</w:t>
      </w:r>
      <w:r w:rsidR="00564B0C" w:rsidRPr="000B7739">
        <w:rPr>
          <w:lang w:val="fr-CA"/>
        </w:rPr>
        <w:t>’</w:t>
      </w:r>
      <w:r w:rsidRPr="000B7739">
        <w:rPr>
          <w:lang w:val="fr-CA"/>
        </w:rPr>
        <w:t>un Événement qui entraîne la modification du taux de référence. Toute décision devant être prise ou tout choix devant être effectué par la Banque aux termes du présent article</w:t>
      </w:r>
      <w:r w:rsidR="00AC4107" w:rsidRPr="000B7739">
        <w:rPr>
          <w:lang w:val="fr-CA"/>
        </w:rPr>
        <w:t xml:space="preserve"> </w:t>
      </w:r>
      <w:r w:rsidRPr="000B7739">
        <w:rPr>
          <w:lang w:val="fr-CA"/>
        </w:rPr>
        <w:t>est</w:t>
      </w:r>
      <w:r w:rsidR="00706F46" w:rsidRPr="000B7739">
        <w:rPr>
          <w:lang w:val="fr-CA"/>
        </w:rPr>
        <w:t xml:space="preserve"> </w:t>
      </w:r>
      <w:r w:rsidRPr="000B7739">
        <w:rPr>
          <w:spacing w:val="-2"/>
          <w:lang w:val="fr-CA"/>
        </w:rPr>
        <w:t>définitif et obligatoire en l</w:t>
      </w:r>
      <w:r w:rsidR="00564B0C" w:rsidRPr="000B7739">
        <w:rPr>
          <w:spacing w:val="-2"/>
          <w:lang w:val="fr-CA"/>
        </w:rPr>
        <w:t>’</w:t>
      </w:r>
      <w:r w:rsidRPr="000B7739">
        <w:rPr>
          <w:spacing w:val="-2"/>
          <w:lang w:val="fr-CA"/>
        </w:rPr>
        <w:t>absence d</w:t>
      </w:r>
      <w:r w:rsidR="00564B0C" w:rsidRPr="000B7739">
        <w:rPr>
          <w:spacing w:val="-2"/>
          <w:lang w:val="fr-CA"/>
        </w:rPr>
        <w:t>’</w:t>
      </w:r>
      <w:r w:rsidRPr="000B7739">
        <w:rPr>
          <w:spacing w:val="-2"/>
          <w:lang w:val="fr-CA"/>
        </w:rPr>
        <w:t>erreur manifeste, et est réservé à la Banque, à</w:t>
      </w:r>
      <w:r w:rsidR="00952856" w:rsidRPr="000B7739">
        <w:rPr>
          <w:spacing w:val="-2"/>
          <w:lang w:val="fr-CA"/>
        </w:rPr>
        <w:t> </w:t>
      </w:r>
      <w:r w:rsidRPr="000B7739">
        <w:rPr>
          <w:spacing w:val="-2"/>
          <w:lang w:val="fr-CA"/>
        </w:rPr>
        <w:t>son entière</w:t>
      </w:r>
      <w:r w:rsidR="00952856" w:rsidRPr="000B7739">
        <w:rPr>
          <w:spacing w:val="-2"/>
          <w:lang w:val="fr-CA"/>
        </w:rPr>
        <w:t> </w:t>
      </w:r>
      <w:r w:rsidRPr="000B7739">
        <w:rPr>
          <w:spacing w:val="-2"/>
          <w:lang w:val="fr-CA"/>
        </w:rPr>
        <w:t>discrétion.</w:t>
      </w:r>
    </w:p>
    <w:p w14:paraId="0D58D6B6" w14:textId="2B5AE6EE" w:rsidR="008902C5" w:rsidRPr="000B7739" w:rsidRDefault="008902C5" w:rsidP="000C4154">
      <w:pPr>
        <w:pStyle w:val="04LOLglNew3"/>
        <w:numPr>
          <w:ilvl w:val="2"/>
          <w:numId w:val="48"/>
        </w:numPr>
        <w:rPr>
          <w:lang w:val="fr-CA"/>
        </w:rPr>
      </w:pPr>
      <w:r w:rsidRPr="000B7739">
        <w:rPr>
          <w:lang w:val="fr-CA"/>
        </w:rPr>
        <w:t>À la demande de la Banque, l</w:t>
      </w:r>
      <w:r w:rsidR="00564B0C" w:rsidRPr="000B7739">
        <w:rPr>
          <w:lang w:val="fr-CA"/>
        </w:rPr>
        <w:t>’</w:t>
      </w:r>
      <w:r w:rsidRPr="000B7739">
        <w:rPr>
          <w:lang w:val="fr-CA"/>
        </w:rPr>
        <w:t xml:space="preserve">Emprunteur </w:t>
      </w:r>
      <w:r w:rsidR="004F10D5" w:rsidRPr="000B7739">
        <w:rPr>
          <w:lang w:val="fr-CA"/>
        </w:rPr>
        <w:t>prendra</w:t>
      </w:r>
      <w:r w:rsidRPr="000B7739">
        <w:rPr>
          <w:lang w:val="fr-CA"/>
        </w:rPr>
        <w:t xml:space="preserve"> les mesures à sa disposition</w:t>
      </w:r>
      <w:r w:rsidR="004F10D5" w:rsidRPr="000B7739">
        <w:rPr>
          <w:lang w:val="fr-CA"/>
        </w:rPr>
        <w:t>, ou fera en sorte que de telles mesures soient prises,</w:t>
      </w:r>
      <w:r w:rsidRPr="000B7739">
        <w:rPr>
          <w:lang w:val="fr-CA"/>
        </w:rPr>
        <w:t xml:space="preserve"> pour autoriser les</w:t>
      </w:r>
      <w:r w:rsidR="00706F46" w:rsidRPr="000B7739">
        <w:rPr>
          <w:lang w:val="fr-CA"/>
        </w:rPr>
        <w:t xml:space="preserve"> </w:t>
      </w:r>
      <w:r w:rsidRPr="000B7739">
        <w:rPr>
          <w:lang w:val="fr-CA"/>
        </w:rPr>
        <w:t>modifications apportées ou devant être apportées en vertu du présent article</w:t>
      </w:r>
      <w:r w:rsidR="00AC4107" w:rsidRPr="000B7739">
        <w:rPr>
          <w:lang w:val="fr-CA"/>
        </w:rPr>
        <w:t xml:space="preserve"> </w:t>
      </w:r>
      <w:r w:rsidRPr="000B7739">
        <w:rPr>
          <w:lang w:val="fr-CA"/>
        </w:rPr>
        <w:t>et d</w:t>
      </w:r>
      <w:r w:rsidR="00564B0C" w:rsidRPr="000B7739">
        <w:rPr>
          <w:lang w:val="fr-CA"/>
        </w:rPr>
        <w:t>’</w:t>
      </w:r>
      <w:r w:rsidRPr="000B7739">
        <w:rPr>
          <w:lang w:val="fr-CA"/>
        </w:rPr>
        <w:t>y donner effet et,</w:t>
      </w:r>
      <w:r w:rsidR="00706F46" w:rsidRPr="000B7739">
        <w:rPr>
          <w:lang w:val="fr-CA"/>
        </w:rPr>
        <w:t xml:space="preserve"> </w:t>
      </w:r>
      <w:r w:rsidRPr="000B7739">
        <w:rPr>
          <w:lang w:val="fr-CA"/>
        </w:rPr>
        <w:t>si une sûreté ou une garantie a été accordée relativement à la présente Lettre relative aux facilités, pour assurer l</w:t>
      </w:r>
      <w:r w:rsidR="00564B0C" w:rsidRPr="000B7739">
        <w:rPr>
          <w:lang w:val="fr-CA"/>
        </w:rPr>
        <w:t>’</w:t>
      </w:r>
      <w:r w:rsidRPr="000B7739">
        <w:rPr>
          <w:lang w:val="fr-CA"/>
        </w:rPr>
        <w:t>opposabilité, la protection ou le maintien d</w:t>
      </w:r>
      <w:r w:rsidR="00564B0C" w:rsidRPr="000B7739">
        <w:rPr>
          <w:lang w:val="fr-CA"/>
        </w:rPr>
        <w:t>’</w:t>
      </w:r>
      <w:r w:rsidRPr="000B7739">
        <w:rPr>
          <w:lang w:val="fr-CA"/>
        </w:rPr>
        <w:t>une telle sûreté ou garantie.</w:t>
      </w:r>
    </w:p>
    <w:p w14:paraId="2431C0A9" w14:textId="13D397C6" w:rsidR="008902C5" w:rsidRPr="000B7739" w:rsidRDefault="008902C5" w:rsidP="000C4154">
      <w:pPr>
        <w:pStyle w:val="04LOLglNew3"/>
        <w:numPr>
          <w:ilvl w:val="2"/>
          <w:numId w:val="48"/>
        </w:numPr>
        <w:rPr>
          <w:lang w:val="fr-CA"/>
        </w:rPr>
      </w:pPr>
      <w:r w:rsidRPr="000B7739">
        <w:rPr>
          <w:lang w:val="fr-CA"/>
        </w:rPr>
        <w:t xml:space="preserve">Dans la mesure où </w:t>
      </w:r>
      <w:r w:rsidR="004F10D5" w:rsidRPr="000B7739">
        <w:rPr>
          <w:lang w:val="fr-CA"/>
        </w:rPr>
        <w:t xml:space="preserve">une </w:t>
      </w:r>
      <w:r w:rsidRPr="000B7739">
        <w:rPr>
          <w:lang w:val="fr-CA"/>
        </w:rPr>
        <w:t>Date d</w:t>
      </w:r>
      <w:r w:rsidR="00564B0C" w:rsidRPr="000B7739">
        <w:rPr>
          <w:lang w:val="fr-CA"/>
        </w:rPr>
        <w:t>’</w:t>
      </w:r>
      <w:r w:rsidRPr="000B7739">
        <w:rPr>
          <w:lang w:val="fr-CA"/>
        </w:rPr>
        <w:t>entrée en vigueur tombe avant le dernier jour de la Période de SOFR ou</w:t>
      </w:r>
      <w:r w:rsidR="00BF50CD">
        <w:rPr>
          <w:lang w:val="fr-CA"/>
        </w:rPr>
        <w:t xml:space="preserve"> </w:t>
      </w:r>
      <w:r w:rsidRPr="000B7739">
        <w:rPr>
          <w:lang w:val="fr-CA"/>
        </w:rPr>
        <w:t>de la Période d</w:t>
      </w:r>
      <w:r w:rsidR="00564B0C" w:rsidRPr="000B7739">
        <w:rPr>
          <w:lang w:val="fr-CA"/>
        </w:rPr>
        <w:t>’</w:t>
      </w:r>
      <w:r w:rsidRPr="000B7739">
        <w:rPr>
          <w:lang w:val="fr-CA"/>
        </w:rPr>
        <w:t>intérêt, selon le cas, d</w:t>
      </w:r>
      <w:r w:rsidR="00564B0C" w:rsidRPr="000B7739">
        <w:rPr>
          <w:lang w:val="fr-CA"/>
        </w:rPr>
        <w:t>’</w:t>
      </w:r>
      <w:r w:rsidRPr="000B7739">
        <w:rPr>
          <w:lang w:val="fr-CA"/>
        </w:rPr>
        <w:t>un Prêt</w:t>
      </w:r>
      <w:r w:rsidR="00AC4107" w:rsidRPr="000B7739">
        <w:rPr>
          <w:lang w:val="fr-CA"/>
        </w:rPr>
        <w:t xml:space="preserve"> </w:t>
      </w:r>
      <w:r w:rsidRPr="000B7739">
        <w:rPr>
          <w:lang w:val="fr-CA"/>
        </w:rPr>
        <w:t>:</w:t>
      </w:r>
    </w:p>
    <w:p w14:paraId="23B8E43F" w14:textId="24E586D6" w:rsidR="008902C5" w:rsidRPr="000B7739" w:rsidRDefault="008902C5" w:rsidP="000C4154">
      <w:pPr>
        <w:pStyle w:val="04LOLglNew3"/>
        <w:numPr>
          <w:ilvl w:val="2"/>
          <w:numId w:val="48"/>
        </w:numPr>
        <w:rPr>
          <w:lang w:val="fr-CA"/>
        </w:rPr>
      </w:pPr>
      <w:r w:rsidRPr="000B7739">
        <w:rPr>
          <w:lang w:val="fr-CA"/>
        </w:rPr>
        <w:t xml:space="preserve">le Taux de référence de ce Prêt pour la </w:t>
      </w:r>
      <w:r w:rsidR="004F10D5" w:rsidRPr="000B7739">
        <w:rPr>
          <w:lang w:val="fr-CA"/>
        </w:rPr>
        <w:t>période applicable</w:t>
      </w:r>
      <w:r w:rsidRPr="000B7739">
        <w:rPr>
          <w:lang w:val="fr-CA"/>
        </w:rPr>
        <w:t xml:space="preserve"> continuera d</w:t>
      </w:r>
      <w:r w:rsidR="00564B0C" w:rsidRPr="000B7739">
        <w:rPr>
          <w:lang w:val="fr-CA"/>
        </w:rPr>
        <w:t>’</w:t>
      </w:r>
      <w:r w:rsidRPr="000B7739">
        <w:rPr>
          <w:lang w:val="fr-CA"/>
        </w:rPr>
        <w:t xml:space="preserve">être le Taux de référence en vigueur de ce Prêt pour cette </w:t>
      </w:r>
      <w:r w:rsidR="004F10D5" w:rsidRPr="000B7739">
        <w:rPr>
          <w:lang w:val="fr-CA"/>
        </w:rPr>
        <w:t>période</w:t>
      </w:r>
      <w:r w:rsidRPr="000B7739">
        <w:rPr>
          <w:lang w:val="fr-CA"/>
        </w:rPr>
        <w:t>;</w:t>
      </w:r>
    </w:p>
    <w:p w14:paraId="0718F7FE" w14:textId="29C2B9F2" w:rsidR="008902C5" w:rsidRPr="000B7739" w:rsidRDefault="008902C5" w:rsidP="000C4154">
      <w:pPr>
        <w:pStyle w:val="04LOLglNew3"/>
        <w:numPr>
          <w:ilvl w:val="2"/>
          <w:numId w:val="48"/>
        </w:numPr>
        <w:rPr>
          <w:lang w:val="fr-CA"/>
        </w:rPr>
      </w:pPr>
      <w:r w:rsidRPr="000B7739">
        <w:rPr>
          <w:lang w:val="fr-CA"/>
        </w:rPr>
        <w:t>la Date d</w:t>
      </w:r>
      <w:r w:rsidR="00564B0C" w:rsidRPr="000B7739">
        <w:rPr>
          <w:lang w:val="fr-CA"/>
        </w:rPr>
        <w:t>’</w:t>
      </w:r>
      <w:r w:rsidRPr="000B7739">
        <w:rPr>
          <w:lang w:val="fr-CA"/>
        </w:rPr>
        <w:t xml:space="preserve">entrée en vigueur de ce Prêt sera réputée survenir à la fin de la </w:t>
      </w:r>
      <w:r w:rsidR="004F10D5" w:rsidRPr="000B7739">
        <w:rPr>
          <w:lang w:val="fr-CA"/>
        </w:rPr>
        <w:t>période applicable</w:t>
      </w:r>
      <w:r w:rsidRPr="000B7739">
        <w:rPr>
          <w:lang w:val="fr-CA"/>
        </w:rPr>
        <w:t>.</w:t>
      </w:r>
    </w:p>
    <w:p w14:paraId="63EE7A1A" w14:textId="4891785F" w:rsidR="008902C5" w:rsidRPr="000B7739" w:rsidRDefault="008902C5" w:rsidP="000C4154">
      <w:pPr>
        <w:pStyle w:val="04LOLglNew3"/>
        <w:numPr>
          <w:ilvl w:val="2"/>
          <w:numId w:val="48"/>
        </w:numPr>
        <w:rPr>
          <w:lang w:val="fr-CA"/>
        </w:rPr>
      </w:pPr>
      <w:r w:rsidRPr="000B7739">
        <w:rPr>
          <w:lang w:val="fr-CA"/>
        </w:rPr>
        <w:t>Le présent article s</w:t>
      </w:r>
      <w:r w:rsidR="00564B0C" w:rsidRPr="000B7739">
        <w:rPr>
          <w:lang w:val="fr-CA"/>
        </w:rPr>
        <w:t>’</w:t>
      </w:r>
      <w:r w:rsidRPr="000B7739">
        <w:rPr>
          <w:lang w:val="fr-CA"/>
        </w:rPr>
        <w:t>applique nonobstant toute autre disposition de la présente Lettre relative aux</w:t>
      </w:r>
      <w:r w:rsidR="000405BE" w:rsidRPr="000B7739">
        <w:rPr>
          <w:lang w:val="fr-CA"/>
        </w:rPr>
        <w:t> </w:t>
      </w:r>
      <w:r w:rsidRPr="000B7739">
        <w:rPr>
          <w:lang w:val="fr-CA"/>
        </w:rPr>
        <w:t>facilités et nonobstant le fait que les Facilités de crédit sont remboursables sur demande.</w:t>
      </w:r>
    </w:p>
    <w:p w14:paraId="4ECF2571" w14:textId="7CB7DF0B" w:rsidR="008902C5" w:rsidRPr="000B7739" w:rsidRDefault="00536F85" w:rsidP="000C4154">
      <w:pPr>
        <w:pStyle w:val="04LOLglNew3"/>
        <w:numPr>
          <w:ilvl w:val="2"/>
          <w:numId w:val="48"/>
        </w:numPr>
        <w:rPr>
          <w:lang w:val="fr-CA"/>
        </w:rPr>
      </w:pPr>
      <w:r w:rsidRPr="000B7739">
        <w:rPr>
          <w:lang w:val="fr-CA"/>
        </w:rPr>
        <w:t>Dans le présent article :</w:t>
      </w:r>
    </w:p>
    <w:p w14:paraId="078A985C" w14:textId="6F500374" w:rsidR="005F4D71" w:rsidRPr="00B63BD5" w:rsidRDefault="005F4D71" w:rsidP="00632863">
      <w:pPr>
        <w:pStyle w:val="ListParagraph"/>
        <w:spacing w:after="240"/>
        <w:ind w:left="1440"/>
        <w:jc w:val="both"/>
        <w:rPr>
          <w:lang w:val="fr-CA"/>
        </w:rPr>
      </w:pPr>
      <w:r w:rsidRPr="00B63BD5">
        <w:rPr>
          <w:b/>
          <w:bCs/>
          <w:iCs/>
          <w:lang w:val="fr-CA"/>
        </w:rPr>
        <w:t>«</w:t>
      </w:r>
      <w:r w:rsidR="0094743F" w:rsidRPr="00B63BD5">
        <w:rPr>
          <w:b/>
          <w:bCs/>
          <w:iCs/>
          <w:lang w:val="fr-CA"/>
        </w:rPr>
        <w:t> </w:t>
      </w:r>
      <w:r w:rsidRPr="00B63BD5">
        <w:rPr>
          <w:b/>
          <w:bCs/>
          <w:iCs/>
          <w:lang w:val="fr-CA"/>
        </w:rPr>
        <w:t>Date d</w:t>
      </w:r>
      <w:r w:rsidR="00564B0C" w:rsidRPr="00B63BD5">
        <w:rPr>
          <w:b/>
          <w:bCs/>
          <w:iCs/>
          <w:lang w:val="fr-CA"/>
        </w:rPr>
        <w:t>’</w:t>
      </w:r>
      <w:r w:rsidRPr="00B63BD5">
        <w:rPr>
          <w:b/>
          <w:bCs/>
          <w:iCs/>
          <w:lang w:val="fr-CA"/>
        </w:rPr>
        <w:t>entrée en vigueur</w:t>
      </w:r>
      <w:r w:rsidR="0094743F" w:rsidRPr="00B63BD5">
        <w:rPr>
          <w:b/>
          <w:bCs/>
          <w:iCs/>
          <w:lang w:val="fr-CA"/>
        </w:rPr>
        <w:t> </w:t>
      </w:r>
      <w:r w:rsidRPr="00B63BD5">
        <w:rPr>
          <w:b/>
          <w:bCs/>
          <w:iCs/>
          <w:lang w:val="fr-CA"/>
        </w:rPr>
        <w:t>»</w:t>
      </w:r>
      <w:r w:rsidRPr="00B63BD5">
        <w:rPr>
          <w:lang w:val="fr-CA"/>
        </w:rPr>
        <w:t xml:space="preserve"> désigne </w:t>
      </w:r>
      <w:r w:rsidR="00D33630" w:rsidRPr="00B63BD5">
        <w:rPr>
          <w:lang w:val="fr-CA"/>
        </w:rPr>
        <w:t>(</w:t>
      </w:r>
      <w:r w:rsidRPr="00B63BD5">
        <w:rPr>
          <w:lang w:val="fr-CA"/>
        </w:rPr>
        <w:t>i) le Jour ouvrable et l</w:t>
      </w:r>
      <w:r w:rsidR="00564B0C" w:rsidRPr="00B63BD5">
        <w:rPr>
          <w:lang w:val="fr-CA"/>
        </w:rPr>
        <w:t>’</w:t>
      </w:r>
      <w:r w:rsidRPr="00B63BD5">
        <w:rPr>
          <w:lang w:val="fr-CA"/>
        </w:rPr>
        <w:t>heure que la Banque indique à l</w:t>
      </w:r>
      <w:r w:rsidR="00564B0C" w:rsidRPr="00B63BD5">
        <w:rPr>
          <w:lang w:val="fr-CA"/>
        </w:rPr>
        <w:t>’</w:t>
      </w:r>
      <w:r w:rsidRPr="00B63BD5">
        <w:rPr>
          <w:lang w:val="fr-CA"/>
        </w:rPr>
        <w:t>Emprunteur comme étant la date et l</w:t>
      </w:r>
      <w:r w:rsidR="00564B0C" w:rsidRPr="00B63BD5">
        <w:rPr>
          <w:lang w:val="fr-CA"/>
        </w:rPr>
        <w:t>’</w:t>
      </w:r>
      <w:r w:rsidRPr="00B63BD5">
        <w:rPr>
          <w:lang w:val="fr-CA"/>
        </w:rPr>
        <w:t>heure d</w:t>
      </w:r>
      <w:r w:rsidR="00564B0C" w:rsidRPr="00B63BD5">
        <w:rPr>
          <w:lang w:val="fr-CA"/>
        </w:rPr>
        <w:t>’</w:t>
      </w:r>
      <w:r w:rsidRPr="00B63BD5">
        <w:rPr>
          <w:lang w:val="fr-CA"/>
        </w:rPr>
        <w:t xml:space="preserve">entrée en vigueur des modifications prévues au paragraphe </w:t>
      </w:r>
      <w:r w:rsidR="00D33630" w:rsidRPr="00B63BD5">
        <w:rPr>
          <w:lang w:val="fr-CA"/>
        </w:rPr>
        <w:t>(</w:t>
      </w:r>
      <w:r w:rsidRPr="00B63BD5">
        <w:rPr>
          <w:lang w:val="fr-CA"/>
        </w:rPr>
        <w:t>a) ci-dessus et, s</w:t>
      </w:r>
      <w:r w:rsidR="00564B0C" w:rsidRPr="00B63BD5">
        <w:rPr>
          <w:lang w:val="fr-CA"/>
        </w:rPr>
        <w:t>’</w:t>
      </w:r>
      <w:r w:rsidRPr="00B63BD5">
        <w:rPr>
          <w:lang w:val="fr-CA"/>
        </w:rPr>
        <w:t>il y a plus d</w:t>
      </w:r>
      <w:r w:rsidR="00564B0C" w:rsidRPr="00B63BD5">
        <w:rPr>
          <w:lang w:val="fr-CA"/>
        </w:rPr>
        <w:t>’</w:t>
      </w:r>
      <w:r w:rsidRPr="00B63BD5">
        <w:rPr>
          <w:lang w:val="fr-CA"/>
        </w:rPr>
        <w:t>une utilisation</w:t>
      </w:r>
      <w:r w:rsidR="00142354" w:rsidRPr="00B63BD5">
        <w:rPr>
          <w:lang w:val="fr-CA"/>
        </w:rPr>
        <w:t xml:space="preserve"> ou plus d’un Événement qui entraîne la modification du taux de référence</w:t>
      </w:r>
      <w:r w:rsidRPr="00B63BD5">
        <w:rPr>
          <w:lang w:val="fr-CA"/>
        </w:rPr>
        <w:t>, la Date d</w:t>
      </w:r>
      <w:r w:rsidR="00564B0C" w:rsidRPr="00B63BD5">
        <w:rPr>
          <w:lang w:val="fr-CA"/>
        </w:rPr>
        <w:t>’</w:t>
      </w:r>
      <w:r w:rsidRPr="00B63BD5">
        <w:rPr>
          <w:lang w:val="fr-CA"/>
        </w:rPr>
        <w:t>entrée en vigueur établie par la Banque pour chaque utilisation</w:t>
      </w:r>
      <w:r w:rsidR="00142354" w:rsidRPr="00B63BD5">
        <w:rPr>
          <w:lang w:val="fr-CA"/>
        </w:rPr>
        <w:t xml:space="preserve"> ou Événement qui entraîne la modification du taux de référence</w:t>
      </w:r>
      <w:r w:rsidRPr="00B63BD5">
        <w:rPr>
          <w:lang w:val="fr-CA"/>
        </w:rPr>
        <w:t xml:space="preserve">; ou </w:t>
      </w:r>
      <w:r w:rsidR="00D33630" w:rsidRPr="00B63BD5">
        <w:rPr>
          <w:lang w:val="fr-CA"/>
        </w:rPr>
        <w:t>(</w:t>
      </w:r>
      <w:r w:rsidRPr="00B63BD5">
        <w:rPr>
          <w:lang w:val="fr-CA"/>
        </w:rPr>
        <w:t>ii) le Jour ouvrable et l</w:t>
      </w:r>
      <w:r w:rsidR="00564B0C" w:rsidRPr="00B63BD5">
        <w:rPr>
          <w:lang w:val="fr-CA"/>
        </w:rPr>
        <w:t>’</w:t>
      </w:r>
      <w:r w:rsidRPr="00B63BD5">
        <w:rPr>
          <w:lang w:val="fr-CA"/>
        </w:rPr>
        <w:t xml:space="preserve">heure déterminés conformément au paragraphe </w:t>
      </w:r>
      <w:r w:rsidR="00D33630" w:rsidRPr="00B63BD5">
        <w:rPr>
          <w:lang w:val="fr-CA"/>
        </w:rPr>
        <w:t>(</w:t>
      </w:r>
      <w:r w:rsidRPr="00B63BD5">
        <w:rPr>
          <w:lang w:val="fr-CA"/>
        </w:rPr>
        <w:t>b) ci-dessus comme étant la date et l</w:t>
      </w:r>
      <w:r w:rsidR="00564B0C" w:rsidRPr="00B63BD5">
        <w:rPr>
          <w:lang w:val="fr-CA"/>
        </w:rPr>
        <w:t>’</w:t>
      </w:r>
      <w:r w:rsidRPr="00B63BD5">
        <w:rPr>
          <w:lang w:val="fr-CA"/>
        </w:rPr>
        <w:t>heure d</w:t>
      </w:r>
      <w:r w:rsidR="00564B0C" w:rsidRPr="00B63BD5">
        <w:rPr>
          <w:lang w:val="fr-CA"/>
        </w:rPr>
        <w:t>’</w:t>
      </w:r>
      <w:r w:rsidRPr="00B63BD5">
        <w:rPr>
          <w:lang w:val="fr-CA"/>
        </w:rPr>
        <w:t>entrée en vigueur des modifications prévues par le présent article et, s</w:t>
      </w:r>
      <w:r w:rsidR="00564B0C" w:rsidRPr="00B63BD5">
        <w:rPr>
          <w:lang w:val="fr-CA"/>
        </w:rPr>
        <w:t>’</w:t>
      </w:r>
      <w:r w:rsidRPr="00B63BD5">
        <w:rPr>
          <w:lang w:val="fr-CA"/>
        </w:rPr>
        <w:t>il y a plus d</w:t>
      </w:r>
      <w:r w:rsidR="00564B0C" w:rsidRPr="00B63BD5">
        <w:rPr>
          <w:lang w:val="fr-CA"/>
        </w:rPr>
        <w:t>’</w:t>
      </w:r>
      <w:r w:rsidRPr="00B63BD5">
        <w:rPr>
          <w:lang w:val="fr-CA"/>
        </w:rPr>
        <w:t>une utilisation</w:t>
      </w:r>
      <w:r w:rsidR="00142354" w:rsidRPr="00B63BD5">
        <w:rPr>
          <w:lang w:val="fr-CA"/>
        </w:rPr>
        <w:t xml:space="preserve"> ou plus d’un Événement qui entraîne la modification du taux de référence</w:t>
      </w:r>
      <w:r w:rsidRPr="00B63BD5">
        <w:rPr>
          <w:lang w:val="fr-CA"/>
        </w:rPr>
        <w:t>, la date établie pour chaque utilisation</w:t>
      </w:r>
      <w:r w:rsidR="00DF3618" w:rsidRPr="00B63BD5">
        <w:rPr>
          <w:lang w:val="fr-CA"/>
        </w:rPr>
        <w:t xml:space="preserve"> ou Événement qui entraîne la modification du taux de référence</w:t>
      </w:r>
      <w:r w:rsidRPr="00B63BD5">
        <w:rPr>
          <w:lang w:val="fr-CA"/>
        </w:rPr>
        <w:t>.</w:t>
      </w:r>
    </w:p>
    <w:p w14:paraId="1C5FB334" w14:textId="3772322A" w:rsidR="008902C5" w:rsidRPr="00B63BD5" w:rsidRDefault="008902C5" w:rsidP="00632863">
      <w:pPr>
        <w:spacing w:after="240"/>
        <w:ind w:left="1440"/>
        <w:jc w:val="both"/>
        <w:rPr>
          <w:lang w:val="fr-CA"/>
        </w:rPr>
      </w:pPr>
      <w:r w:rsidRPr="00B63BD5">
        <w:rPr>
          <w:b/>
          <w:iCs/>
          <w:lang w:val="fr-CA"/>
        </w:rPr>
        <w:t>«</w:t>
      </w:r>
      <w:r w:rsidR="0094743F" w:rsidRPr="00B63BD5">
        <w:rPr>
          <w:b/>
          <w:iCs/>
          <w:lang w:val="fr-CA"/>
        </w:rPr>
        <w:t> </w:t>
      </w:r>
      <w:r w:rsidRPr="00B63BD5">
        <w:rPr>
          <w:b/>
          <w:iCs/>
          <w:lang w:val="fr-CA"/>
        </w:rPr>
        <w:t>Événement qui entraîne la modification du taux de référence</w:t>
      </w:r>
      <w:r w:rsidR="0094743F" w:rsidRPr="00B63BD5">
        <w:rPr>
          <w:b/>
          <w:iCs/>
          <w:lang w:val="fr-CA"/>
        </w:rPr>
        <w:t> </w:t>
      </w:r>
      <w:r w:rsidRPr="00B63BD5">
        <w:rPr>
          <w:b/>
          <w:iCs/>
          <w:lang w:val="fr-CA"/>
        </w:rPr>
        <w:t>»</w:t>
      </w:r>
      <w:r w:rsidRPr="00B63BD5">
        <w:rPr>
          <w:lang w:val="fr-CA"/>
        </w:rPr>
        <w:t xml:space="preserve"> désigne la survenance d</w:t>
      </w:r>
      <w:r w:rsidR="00564B0C" w:rsidRPr="00B63BD5">
        <w:rPr>
          <w:lang w:val="fr-CA"/>
        </w:rPr>
        <w:t>’</w:t>
      </w:r>
      <w:r w:rsidRPr="00B63BD5">
        <w:rPr>
          <w:lang w:val="fr-CA"/>
        </w:rPr>
        <w:t>un ou de plusieurs des événements suivants en lien avec le</w:t>
      </w:r>
      <w:r w:rsidR="00536F85" w:rsidRPr="00B63BD5">
        <w:rPr>
          <w:lang w:val="fr-CA"/>
        </w:rPr>
        <w:t xml:space="preserve"> taux d’intérêt de référence alors en vigueur (y compris le</w:t>
      </w:r>
      <w:r w:rsidRPr="00B63BD5">
        <w:rPr>
          <w:lang w:val="fr-CA"/>
        </w:rPr>
        <w:t xml:space="preserve"> Taux SOFR affiché ou le Taux SONIA affiché</w:t>
      </w:r>
      <w:r w:rsidR="00536F85" w:rsidRPr="00B63BD5">
        <w:rPr>
          <w:lang w:val="fr-CA"/>
        </w:rPr>
        <w:t>)</w:t>
      </w:r>
      <w:r w:rsidRPr="00B63BD5">
        <w:rPr>
          <w:lang w:val="fr-CA"/>
        </w:rPr>
        <w:t>, y compris en ce qui concerne toute durée offerte, selon le cas</w:t>
      </w:r>
      <w:r w:rsidR="00AC4107" w:rsidRPr="00B63BD5">
        <w:rPr>
          <w:lang w:val="fr-CA"/>
        </w:rPr>
        <w:t xml:space="preserve"> </w:t>
      </w:r>
      <w:r w:rsidRPr="00B63BD5">
        <w:rPr>
          <w:lang w:val="fr-CA"/>
        </w:rPr>
        <w:t>:</w:t>
      </w:r>
      <w:r w:rsidR="00AC4107" w:rsidRPr="00B63BD5">
        <w:rPr>
          <w:lang w:val="fr-CA"/>
        </w:rPr>
        <w:t xml:space="preserve"> </w:t>
      </w:r>
    </w:p>
    <w:p w14:paraId="797C8272" w14:textId="23902CC5" w:rsidR="008902C5" w:rsidRPr="00B63BD5" w:rsidRDefault="008902C5" w:rsidP="00AF7C93">
      <w:pPr>
        <w:numPr>
          <w:ilvl w:val="5"/>
          <w:numId w:val="20"/>
        </w:numPr>
        <w:tabs>
          <w:tab w:val="left" w:pos="0"/>
          <w:tab w:val="left" w:pos="720"/>
          <w:tab w:val="left" w:pos="1728"/>
          <w:tab w:val="left" w:pos="2160"/>
          <w:tab w:val="left" w:pos="3600"/>
          <w:tab w:val="left" w:pos="4320"/>
          <w:tab w:val="left" w:pos="5040"/>
          <w:tab w:val="left" w:pos="5760"/>
          <w:tab w:val="left" w:pos="6480"/>
          <w:tab w:val="left" w:pos="7200"/>
          <w:tab w:val="left" w:pos="7920"/>
          <w:tab w:val="left" w:pos="8640"/>
          <w:tab w:val="left" w:pos="9360"/>
        </w:tabs>
        <w:spacing w:after="240"/>
        <w:ind w:left="2880" w:hanging="720"/>
        <w:jc w:val="both"/>
        <w:rPr>
          <w:lang w:val="fr-CA"/>
        </w:rPr>
      </w:pPr>
      <w:r w:rsidRPr="00B63BD5">
        <w:rPr>
          <w:lang w:val="fr-CA"/>
        </w:rPr>
        <w:t xml:space="preserve">une déclaration publique officielle indiquant que </w:t>
      </w:r>
      <w:r w:rsidR="00536F85" w:rsidRPr="00B63BD5">
        <w:rPr>
          <w:lang w:val="fr-CA"/>
        </w:rPr>
        <w:t>ce taux</w:t>
      </w:r>
      <w:r w:rsidRPr="00B63BD5">
        <w:rPr>
          <w:lang w:val="fr-CA"/>
        </w:rPr>
        <w:t>, y compris en ce qui concerne toute durée offerte,</w:t>
      </w:r>
      <w:r w:rsidR="00C172B1" w:rsidRPr="00B63BD5">
        <w:rPr>
          <w:lang w:val="fr-CA"/>
        </w:rPr>
        <w:t xml:space="preserve"> </w:t>
      </w:r>
      <w:r w:rsidRPr="00B63BD5">
        <w:rPr>
          <w:lang w:val="fr-CA"/>
        </w:rPr>
        <w:t>a</w:t>
      </w:r>
      <w:r w:rsidR="00C172B1" w:rsidRPr="00B63BD5">
        <w:rPr>
          <w:lang w:val="fr-CA"/>
        </w:rPr>
        <w:t xml:space="preserve"> </w:t>
      </w:r>
      <w:r w:rsidRPr="00B63BD5">
        <w:rPr>
          <w:lang w:val="fr-CA"/>
        </w:rPr>
        <w:t>cessé ou cessera d</w:t>
      </w:r>
      <w:r w:rsidR="00564B0C" w:rsidRPr="00B63BD5">
        <w:rPr>
          <w:lang w:val="fr-CA"/>
        </w:rPr>
        <w:t>’</w:t>
      </w:r>
      <w:r w:rsidRPr="00B63BD5">
        <w:rPr>
          <w:lang w:val="fr-CA"/>
        </w:rPr>
        <w:t>être publié de façon permanente ou pour une durée</w:t>
      </w:r>
      <w:r w:rsidR="00C172B1" w:rsidRPr="00B63BD5">
        <w:rPr>
          <w:lang w:val="fr-CA"/>
        </w:rPr>
        <w:t xml:space="preserve"> </w:t>
      </w:r>
      <w:r w:rsidRPr="00B63BD5">
        <w:rPr>
          <w:lang w:val="fr-CA"/>
        </w:rPr>
        <w:t xml:space="preserve">indéterminée; </w:t>
      </w:r>
    </w:p>
    <w:p w14:paraId="38A538C4" w14:textId="35168351" w:rsidR="008902C5" w:rsidRPr="00B63BD5" w:rsidRDefault="008902C5" w:rsidP="00AF7C93">
      <w:pPr>
        <w:numPr>
          <w:ilvl w:val="5"/>
          <w:numId w:val="20"/>
        </w:numPr>
        <w:tabs>
          <w:tab w:val="left" w:pos="0"/>
          <w:tab w:val="left" w:pos="720"/>
          <w:tab w:val="left" w:pos="1728"/>
          <w:tab w:val="left" w:pos="2160"/>
          <w:tab w:val="left" w:pos="3600"/>
          <w:tab w:val="left" w:pos="4320"/>
          <w:tab w:val="left" w:pos="5040"/>
          <w:tab w:val="left" w:pos="5760"/>
          <w:tab w:val="left" w:pos="6480"/>
          <w:tab w:val="left" w:pos="7200"/>
          <w:tab w:val="left" w:pos="7920"/>
          <w:tab w:val="left" w:pos="8640"/>
          <w:tab w:val="left" w:pos="9360"/>
        </w:tabs>
        <w:spacing w:after="240"/>
        <w:ind w:left="2880" w:hanging="720"/>
        <w:jc w:val="both"/>
        <w:rPr>
          <w:lang w:val="fr-CA"/>
        </w:rPr>
      </w:pPr>
      <w:r w:rsidRPr="00B63BD5">
        <w:rPr>
          <w:lang w:val="fr-CA"/>
        </w:rPr>
        <w:t>une déclaration publique du superviseur de la réglementation de</w:t>
      </w:r>
      <w:r w:rsidR="00C172B1" w:rsidRPr="00B63BD5">
        <w:rPr>
          <w:lang w:val="fr-CA"/>
        </w:rPr>
        <w:t xml:space="preserve"> </w:t>
      </w:r>
      <w:r w:rsidRPr="00B63BD5">
        <w:rPr>
          <w:lang w:val="fr-CA"/>
        </w:rPr>
        <w:t>l</w:t>
      </w:r>
      <w:r w:rsidR="00564B0C" w:rsidRPr="00B63BD5">
        <w:rPr>
          <w:lang w:val="fr-CA"/>
        </w:rPr>
        <w:t>’</w:t>
      </w:r>
      <w:r w:rsidRPr="00B63BD5">
        <w:rPr>
          <w:lang w:val="fr-CA"/>
        </w:rPr>
        <w:t xml:space="preserve">administrateur </w:t>
      </w:r>
      <w:r w:rsidR="00536F85" w:rsidRPr="00B63BD5">
        <w:rPr>
          <w:lang w:val="fr-CA"/>
        </w:rPr>
        <w:t>de ce taux annonçant que ce taux</w:t>
      </w:r>
      <w:r w:rsidRPr="00B63BD5">
        <w:rPr>
          <w:lang w:val="fr-CA"/>
        </w:rPr>
        <w:t>, y</w:t>
      </w:r>
      <w:r w:rsidR="009C2A56" w:rsidRPr="00B63BD5">
        <w:rPr>
          <w:lang w:val="fr-CA"/>
        </w:rPr>
        <w:t> </w:t>
      </w:r>
      <w:r w:rsidRPr="00B63BD5">
        <w:rPr>
          <w:lang w:val="fr-CA"/>
        </w:rPr>
        <w:t>compris en ce qui concerne toute durée offerte, n</w:t>
      </w:r>
      <w:r w:rsidR="00564B0C" w:rsidRPr="00B63BD5">
        <w:rPr>
          <w:lang w:val="fr-CA"/>
        </w:rPr>
        <w:t>’</w:t>
      </w:r>
      <w:r w:rsidRPr="00B63BD5">
        <w:rPr>
          <w:lang w:val="fr-CA"/>
        </w:rPr>
        <w:t>est ou ne sera plus représentatif ou ne le sera plus à partir d</w:t>
      </w:r>
      <w:r w:rsidR="00564B0C" w:rsidRPr="00B63BD5">
        <w:rPr>
          <w:lang w:val="fr-CA"/>
        </w:rPr>
        <w:t>’</w:t>
      </w:r>
      <w:r w:rsidRPr="00B63BD5">
        <w:rPr>
          <w:lang w:val="fr-CA"/>
        </w:rPr>
        <w:t xml:space="preserve">une certaine date; </w:t>
      </w:r>
    </w:p>
    <w:p w14:paraId="357F79AA" w14:textId="3BE32CB7" w:rsidR="008902C5" w:rsidRPr="00B63BD5" w:rsidRDefault="008902C5" w:rsidP="00AF7C93">
      <w:pPr>
        <w:numPr>
          <w:ilvl w:val="5"/>
          <w:numId w:val="20"/>
        </w:numPr>
        <w:tabs>
          <w:tab w:val="left" w:pos="0"/>
          <w:tab w:val="left" w:pos="720"/>
          <w:tab w:val="left" w:pos="1728"/>
          <w:tab w:val="left" w:pos="2160"/>
          <w:tab w:val="left" w:pos="3600"/>
          <w:tab w:val="left" w:pos="4320"/>
          <w:tab w:val="left" w:pos="5040"/>
          <w:tab w:val="left" w:pos="5760"/>
          <w:tab w:val="left" w:pos="6480"/>
          <w:tab w:val="left" w:pos="7200"/>
          <w:tab w:val="left" w:pos="7920"/>
          <w:tab w:val="left" w:pos="8640"/>
          <w:tab w:val="left" w:pos="9360"/>
        </w:tabs>
        <w:spacing w:after="240"/>
        <w:ind w:left="2880" w:hanging="720"/>
        <w:jc w:val="both"/>
        <w:rPr>
          <w:lang w:val="fr-CA"/>
        </w:rPr>
      </w:pPr>
      <w:r w:rsidRPr="00B63BD5">
        <w:rPr>
          <w:lang w:val="fr-CA"/>
        </w:rPr>
        <w:t>l</w:t>
      </w:r>
      <w:r w:rsidR="00564B0C" w:rsidRPr="00B63BD5">
        <w:rPr>
          <w:lang w:val="fr-CA"/>
        </w:rPr>
        <w:t>’</w:t>
      </w:r>
      <w:r w:rsidRPr="00B63BD5">
        <w:rPr>
          <w:lang w:val="fr-CA"/>
        </w:rPr>
        <w:t xml:space="preserve">administrateur </w:t>
      </w:r>
      <w:r w:rsidR="00536F85" w:rsidRPr="00B63BD5">
        <w:rPr>
          <w:lang w:val="fr-CA"/>
        </w:rPr>
        <w:t>de ce taux</w:t>
      </w:r>
      <w:r w:rsidRPr="00B63BD5">
        <w:rPr>
          <w:lang w:val="fr-CA"/>
        </w:rPr>
        <w:t xml:space="preserve"> ou son superviseur annonce publiquement que cet administrateur est</w:t>
      </w:r>
      <w:r w:rsidR="00C172B1" w:rsidRPr="00B63BD5">
        <w:rPr>
          <w:lang w:val="fr-CA"/>
        </w:rPr>
        <w:t xml:space="preserve"> </w:t>
      </w:r>
      <w:r w:rsidRPr="00B63BD5">
        <w:rPr>
          <w:lang w:val="fr-CA"/>
        </w:rPr>
        <w:t xml:space="preserve">insolvable, ou des renseignements sont publiés dans une </w:t>
      </w:r>
      <w:r w:rsidRPr="00B63BD5">
        <w:rPr>
          <w:lang w:val="fr-CA"/>
        </w:rPr>
        <w:lastRenderedPageBreak/>
        <w:t>ordonnance, un</w:t>
      </w:r>
      <w:r w:rsidR="00C172B1" w:rsidRPr="00B63BD5">
        <w:rPr>
          <w:lang w:val="fr-CA"/>
        </w:rPr>
        <w:t xml:space="preserve"> </w:t>
      </w:r>
      <w:r w:rsidRPr="00B63BD5">
        <w:rPr>
          <w:lang w:val="fr-CA"/>
        </w:rPr>
        <w:t>décret, un avis ou une requête, selon le cas, auprès d</w:t>
      </w:r>
      <w:r w:rsidR="00564B0C" w:rsidRPr="00B63BD5">
        <w:rPr>
          <w:lang w:val="fr-CA"/>
        </w:rPr>
        <w:t>’</w:t>
      </w:r>
      <w:r w:rsidRPr="00B63BD5">
        <w:rPr>
          <w:lang w:val="fr-CA"/>
        </w:rPr>
        <w:t>un tribunal, d</w:t>
      </w:r>
      <w:r w:rsidR="00564B0C" w:rsidRPr="00B63BD5">
        <w:rPr>
          <w:lang w:val="fr-CA"/>
        </w:rPr>
        <w:t>’</w:t>
      </w:r>
      <w:r w:rsidRPr="00B63BD5">
        <w:rPr>
          <w:lang w:val="fr-CA"/>
        </w:rPr>
        <w:t>une</w:t>
      </w:r>
      <w:r w:rsidR="00C172B1" w:rsidRPr="00B63BD5">
        <w:rPr>
          <w:lang w:val="fr-CA"/>
        </w:rPr>
        <w:t xml:space="preserve"> </w:t>
      </w:r>
      <w:r w:rsidRPr="00B63BD5">
        <w:rPr>
          <w:lang w:val="fr-CA"/>
        </w:rPr>
        <w:t>cour, d</w:t>
      </w:r>
      <w:r w:rsidR="00564B0C" w:rsidRPr="00B63BD5">
        <w:rPr>
          <w:lang w:val="fr-CA"/>
        </w:rPr>
        <w:t>’</w:t>
      </w:r>
      <w:r w:rsidRPr="00B63BD5">
        <w:rPr>
          <w:lang w:val="fr-CA"/>
        </w:rPr>
        <w:t>une bourse, d</w:t>
      </w:r>
      <w:r w:rsidR="00564B0C" w:rsidRPr="00B63BD5">
        <w:rPr>
          <w:lang w:val="fr-CA"/>
        </w:rPr>
        <w:t>’</w:t>
      </w:r>
      <w:r w:rsidRPr="00B63BD5">
        <w:rPr>
          <w:lang w:val="fr-CA"/>
        </w:rPr>
        <w:t>un organisme de réglementation ou</w:t>
      </w:r>
      <w:r w:rsidR="00C172B1" w:rsidRPr="00B63BD5">
        <w:rPr>
          <w:lang w:val="fr-CA"/>
        </w:rPr>
        <w:t xml:space="preserve"> </w:t>
      </w:r>
      <w:r w:rsidRPr="00B63BD5">
        <w:rPr>
          <w:lang w:val="fr-CA"/>
        </w:rPr>
        <w:t>d</w:t>
      </w:r>
      <w:r w:rsidR="00564B0C" w:rsidRPr="00B63BD5">
        <w:rPr>
          <w:lang w:val="fr-CA"/>
        </w:rPr>
        <w:t>’</w:t>
      </w:r>
      <w:r w:rsidRPr="00B63BD5">
        <w:rPr>
          <w:lang w:val="fr-CA"/>
        </w:rPr>
        <w:t>un</w:t>
      </w:r>
      <w:r w:rsidR="00C172B1" w:rsidRPr="00B63BD5">
        <w:rPr>
          <w:lang w:val="fr-CA"/>
        </w:rPr>
        <w:t xml:space="preserve"> </w:t>
      </w:r>
      <w:r w:rsidRPr="00B63BD5">
        <w:rPr>
          <w:lang w:val="fr-CA"/>
        </w:rPr>
        <w:t>organisme administratif ou judiciaire similaire et confirment de</w:t>
      </w:r>
      <w:r w:rsidR="00C172B1" w:rsidRPr="00B63BD5">
        <w:rPr>
          <w:lang w:val="fr-CA"/>
        </w:rPr>
        <w:t xml:space="preserve"> </w:t>
      </w:r>
      <w:r w:rsidRPr="00B63BD5">
        <w:rPr>
          <w:lang w:val="fr-CA"/>
        </w:rPr>
        <w:t>façon</w:t>
      </w:r>
      <w:r w:rsidR="00C172B1" w:rsidRPr="00B63BD5">
        <w:rPr>
          <w:lang w:val="fr-CA"/>
        </w:rPr>
        <w:t xml:space="preserve"> </w:t>
      </w:r>
      <w:r w:rsidRPr="00B63BD5">
        <w:rPr>
          <w:lang w:val="fr-CA"/>
        </w:rPr>
        <w:t>raisonnable que l</w:t>
      </w:r>
      <w:r w:rsidR="00564B0C" w:rsidRPr="00B63BD5">
        <w:rPr>
          <w:lang w:val="fr-CA"/>
        </w:rPr>
        <w:t>’</w:t>
      </w:r>
      <w:r w:rsidRPr="00B63BD5">
        <w:rPr>
          <w:lang w:val="fr-CA"/>
        </w:rPr>
        <w:t xml:space="preserve">administrateur </w:t>
      </w:r>
      <w:r w:rsidR="00536F85" w:rsidRPr="00B63BD5">
        <w:rPr>
          <w:lang w:val="fr-CA"/>
        </w:rPr>
        <w:t>de ce taux</w:t>
      </w:r>
      <w:r w:rsidRPr="00B63BD5">
        <w:rPr>
          <w:lang w:val="fr-CA"/>
        </w:rPr>
        <w:t xml:space="preserve"> est insolvable, à condition que,</w:t>
      </w:r>
      <w:r w:rsidR="00C172B1" w:rsidRPr="00B63BD5">
        <w:rPr>
          <w:lang w:val="fr-CA"/>
        </w:rPr>
        <w:t xml:space="preserve"> </w:t>
      </w:r>
      <w:r w:rsidRPr="00B63BD5">
        <w:rPr>
          <w:lang w:val="fr-CA"/>
        </w:rPr>
        <w:t>dans</w:t>
      </w:r>
      <w:r w:rsidR="00C172B1" w:rsidRPr="00B63BD5">
        <w:rPr>
          <w:lang w:val="fr-CA"/>
        </w:rPr>
        <w:t xml:space="preserve"> </w:t>
      </w:r>
      <w:r w:rsidRPr="00B63BD5">
        <w:rPr>
          <w:lang w:val="fr-CA"/>
        </w:rPr>
        <w:t>tous les cas, il n</w:t>
      </w:r>
      <w:r w:rsidR="00564B0C" w:rsidRPr="00B63BD5">
        <w:rPr>
          <w:lang w:val="fr-CA"/>
        </w:rPr>
        <w:t>’</w:t>
      </w:r>
      <w:r w:rsidRPr="00B63BD5">
        <w:rPr>
          <w:lang w:val="fr-CA"/>
        </w:rPr>
        <w:t>y ait à ce moment aucun administrateur</w:t>
      </w:r>
      <w:r w:rsidR="00C172B1" w:rsidRPr="00B63BD5">
        <w:rPr>
          <w:lang w:val="fr-CA"/>
        </w:rPr>
        <w:t xml:space="preserve"> </w:t>
      </w:r>
      <w:r w:rsidRPr="00B63BD5">
        <w:rPr>
          <w:lang w:val="fr-CA"/>
        </w:rPr>
        <w:t>remplaçant</w:t>
      </w:r>
      <w:r w:rsidR="00C172B1" w:rsidRPr="00B63BD5">
        <w:rPr>
          <w:lang w:val="fr-CA"/>
        </w:rPr>
        <w:t xml:space="preserve"> </w:t>
      </w:r>
      <w:r w:rsidRPr="00B63BD5">
        <w:rPr>
          <w:lang w:val="fr-CA"/>
        </w:rPr>
        <w:t>qui continuera d</w:t>
      </w:r>
      <w:r w:rsidR="00564B0C" w:rsidRPr="00B63BD5">
        <w:rPr>
          <w:lang w:val="fr-CA"/>
        </w:rPr>
        <w:t>’</w:t>
      </w:r>
      <w:r w:rsidRPr="00B63BD5">
        <w:rPr>
          <w:lang w:val="fr-CA"/>
        </w:rPr>
        <w:t xml:space="preserve">offrir </w:t>
      </w:r>
      <w:r w:rsidR="00536F85" w:rsidRPr="00B63BD5">
        <w:rPr>
          <w:lang w:val="fr-CA"/>
        </w:rPr>
        <w:t>ce taux</w:t>
      </w:r>
      <w:r w:rsidRPr="00B63BD5">
        <w:rPr>
          <w:lang w:val="fr-CA"/>
        </w:rPr>
        <w:t>;</w:t>
      </w:r>
      <w:r w:rsidR="00AC4107" w:rsidRPr="00B63BD5">
        <w:rPr>
          <w:lang w:val="fr-CA"/>
        </w:rPr>
        <w:t xml:space="preserve"> </w:t>
      </w:r>
    </w:p>
    <w:p w14:paraId="766B4D04" w14:textId="590B1CEB" w:rsidR="008902C5" w:rsidRPr="00B63BD5" w:rsidRDefault="008902C5" w:rsidP="00AF7C93">
      <w:pPr>
        <w:numPr>
          <w:ilvl w:val="5"/>
          <w:numId w:val="20"/>
        </w:numPr>
        <w:tabs>
          <w:tab w:val="left" w:pos="0"/>
          <w:tab w:val="left" w:pos="720"/>
          <w:tab w:val="left" w:pos="1728"/>
          <w:tab w:val="left" w:pos="2160"/>
          <w:tab w:val="left" w:pos="3600"/>
          <w:tab w:val="left" w:pos="4320"/>
          <w:tab w:val="left" w:pos="5040"/>
          <w:tab w:val="left" w:pos="5760"/>
          <w:tab w:val="left" w:pos="6480"/>
          <w:tab w:val="left" w:pos="7200"/>
          <w:tab w:val="left" w:pos="7920"/>
          <w:tab w:val="left" w:pos="8640"/>
          <w:tab w:val="left" w:pos="9360"/>
        </w:tabs>
        <w:spacing w:after="240"/>
        <w:ind w:left="2880" w:hanging="720"/>
        <w:jc w:val="both"/>
        <w:rPr>
          <w:lang w:val="fr-CA"/>
        </w:rPr>
      </w:pPr>
      <w:r w:rsidRPr="00B63BD5">
        <w:rPr>
          <w:lang w:val="fr-CA"/>
        </w:rPr>
        <w:t>l</w:t>
      </w:r>
      <w:r w:rsidR="00564B0C" w:rsidRPr="00B63BD5">
        <w:rPr>
          <w:lang w:val="fr-CA"/>
        </w:rPr>
        <w:t>’</w:t>
      </w:r>
      <w:r w:rsidRPr="00B63BD5">
        <w:rPr>
          <w:lang w:val="fr-CA"/>
        </w:rPr>
        <w:t xml:space="preserve">administrateur </w:t>
      </w:r>
      <w:r w:rsidR="00464E96" w:rsidRPr="00B63BD5">
        <w:rPr>
          <w:lang w:val="fr-CA"/>
        </w:rPr>
        <w:t>de ce taux</w:t>
      </w:r>
      <w:r w:rsidRPr="00B63BD5">
        <w:rPr>
          <w:lang w:val="fr-CA"/>
        </w:rPr>
        <w:t xml:space="preserve"> annonce publiquement qu</w:t>
      </w:r>
      <w:r w:rsidR="00564B0C" w:rsidRPr="00B63BD5">
        <w:rPr>
          <w:lang w:val="fr-CA"/>
        </w:rPr>
        <w:t>’</w:t>
      </w:r>
      <w:r w:rsidRPr="00B63BD5">
        <w:rPr>
          <w:lang w:val="fr-CA"/>
        </w:rPr>
        <w:t>il a cessé ou cessera d</w:t>
      </w:r>
      <w:r w:rsidR="00564B0C" w:rsidRPr="00B63BD5">
        <w:rPr>
          <w:lang w:val="fr-CA"/>
        </w:rPr>
        <w:t>’</w:t>
      </w:r>
      <w:r w:rsidRPr="00B63BD5">
        <w:rPr>
          <w:lang w:val="fr-CA"/>
        </w:rPr>
        <w:t xml:space="preserve">offrir </w:t>
      </w:r>
      <w:r w:rsidR="00464E96" w:rsidRPr="00B63BD5">
        <w:rPr>
          <w:lang w:val="fr-CA"/>
        </w:rPr>
        <w:t>c</w:t>
      </w:r>
      <w:r w:rsidRPr="00B63BD5">
        <w:rPr>
          <w:lang w:val="fr-CA"/>
        </w:rPr>
        <w:t xml:space="preserve">e </w:t>
      </w:r>
      <w:r w:rsidR="00464E96" w:rsidRPr="00B63BD5">
        <w:rPr>
          <w:lang w:val="fr-CA"/>
        </w:rPr>
        <w:t xml:space="preserve">taux </w:t>
      </w:r>
      <w:r w:rsidRPr="00B63BD5">
        <w:rPr>
          <w:lang w:val="fr-CA"/>
        </w:rPr>
        <w:t xml:space="preserve">pour </w:t>
      </w:r>
      <w:r w:rsidR="00C172B1" w:rsidRPr="00B63BD5">
        <w:rPr>
          <w:lang w:val="fr-CA"/>
        </w:rPr>
        <w:t xml:space="preserve">toute </w:t>
      </w:r>
      <w:r w:rsidRPr="00B63BD5">
        <w:rPr>
          <w:lang w:val="fr-CA"/>
        </w:rPr>
        <w:t>durée</w:t>
      </w:r>
      <w:r w:rsidR="00C172B1" w:rsidRPr="00B63BD5">
        <w:rPr>
          <w:lang w:val="fr-CA"/>
        </w:rPr>
        <w:t xml:space="preserve"> indiquée, de façon permanente ou</w:t>
      </w:r>
      <w:r w:rsidRPr="00B63BD5">
        <w:rPr>
          <w:lang w:val="fr-CA"/>
        </w:rPr>
        <w:t xml:space="preserve"> </w:t>
      </w:r>
      <w:r w:rsidR="00E87599" w:rsidRPr="00B63BD5">
        <w:rPr>
          <w:lang w:val="fr-CA"/>
        </w:rPr>
        <w:t>d</w:t>
      </w:r>
      <w:r w:rsidR="00564B0C" w:rsidRPr="00B63BD5">
        <w:rPr>
          <w:lang w:val="fr-CA"/>
        </w:rPr>
        <w:t>’</w:t>
      </w:r>
      <w:r w:rsidR="00E87599" w:rsidRPr="00B63BD5">
        <w:rPr>
          <w:lang w:val="fr-CA"/>
        </w:rPr>
        <w:t xml:space="preserve">une durée </w:t>
      </w:r>
      <w:r w:rsidRPr="00B63BD5">
        <w:rPr>
          <w:lang w:val="fr-CA"/>
        </w:rPr>
        <w:t>indéterminée, dans la mesure où, à ce moment, il n</w:t>
      </w:r>
      <w:r w:rsidR="00564B0C" w:rsidRPr="00B63BD5">
        <w:rPr>
          <w:lang w:val="fr-CA"/>
        </w:rPr>
        <w:t>’</w:t>
      </w:r>
      <w:r w:rsidRPr="00B63BD5">
        <w:rPr>
          <w:lang w:val="fr-CA"/>
        </w:rPr>
        <w:t>y a aucun administrateur remplaçant qui continuera d</w:t>
      </w:r>
      <w:r w:rsidR="00564B0C" w:rsidRPr="00B63BD5">
        <w:rPr>
          <w:lang w:val="fr-CA"/>
        </w:rPr>
        <w:t>’</w:t>
      </w:r>
      <w:r w:rsidRPr="00B63BD5">
        <w:rPr>
          <w:lang w:val="fr-CA"/>
        </w:rPr>
        <w:t xml:space="preserve">offrir </w:t>
      </w:r>
      <w:r w:rsidR="00464E96" w:rsidRPr="00B63BD5">
        <w:rPr>
          <w:lang w:val="fr-CA"/>
        </w:rPr>
        <w:t>ce taux</w:t>
      </w:r>
      <w:r w:rsidRPr="00B63BD5">
        <w:rPr>
          <w:lang w:val="fr-CA"/>
        </w:rPr>
        <w:t xml:space="preserve"> pour la durée offerte;</w:t>
      </w:r>
    </w:p>
    <w:p w14:paraId="0D767FA1" w14:textId="6BBE87BF" w:rsidR="008902C5" w:rsidRPr="00B63BD5" w:rsidRDefault="008902C5" w:rsidP="00AF7C93">
      <w:pPr>
        <w:numPr>
          <w:ilvl w:val="5"/>
          <w:numId w:val="20"/>
        </w:numPr>
        <w:tabs>
          <w:tab w:val="left" w:pos="0"/>
          <w:tab w:val="left" w:pos="720"/>
          <w:tab w:val="left" w:pos="1728"/>
          <w:tab w:val="left" w:pos="2160"/>
          <w:tab w:val="left" w:pos="3600"/>
          <w:tab w:val="left" w:pos="4320"/>
          <w:tab w:val="left" w:pos="5040"/>
          <w:tab w:val="left" w:pos="5760"/>
          <w:tab w:val="left" w:pos="6480"/>
          <w:tab w:val="left" w:pos="7200"/>
          <w:tab w:val="left" w:pos="7920"/>
          <w:tab w:val="left" w:pos="8640"/>
          <w:tab w:val="left" w:pos="9360"/>
        </w:tabs>
        <w:spacing w:after="240"/>
        <w:ind w:left="2880" w:hanging="720"/>
        <w:jc w:val="both"/>
        <w:rPr>
          <w:lang w:val="fr-CA"/>
        </w:rPr>
      </w:pPr>
      <w:r w:rsidRPr="00B63BD5">
        <w:rPr>
          <w:lang w:val="fr-CA"/>
        </w:rPr>
        <w:t>le superviseur de l</w:t>
      </w:r>
      <w:r w:rsidR="00564B0C" w:rsidRPr="00B63BD5">
        <w:rPr>
          <w:lang w:val="fr-CA"/>
        </w:rPr>
        <w:t>’</w:t>
      </w:r>
      <w:r w:rsidRPr="00B63BD5">
        <w:rPr>
          <w:lang w:val="fr-CA"/>
        </w:rPr>
        <w:t xml:space="preserve">administrateur </w:t>
      </w:r>
      <w:r w:rsidR="00464E96" w:rsidRPr="00B63BD5">
        <w:rPr>
          <w:lang w:val="fr-CA"/>
        </w:rPr>
        <w:t xml:space="preserve">de ce taux </w:t>
      </w:r>
      <w:r w:rsidRPr="00B63BD5">
        <w:rPr>
          <w:lang w:val="fr-CA"/>
        </w:rPr>
        <w:t>annonce publiquement qu</w:t>
      </w:r>
      <w:r w:rsidR="00564B0C" w:rsidRPr="00B63BD5">
        <w:rPr>
          <w:lang w:val="fr-CA"/>
        </w:rPr>
        <w:t>’</w:t>
      </w:r>
      <w:r w:rsidRPr="00B63BD5">
        <w:rPr>
          <w:lang w:val="fr-CA"/>
        </w:rPr>
        <w:t xml:space="preserve">un </w:t>
      </w:r>
      <w:r w:rsidR="00464E96" w:rsidRPr="00B63BD5">
        <w:rPr>
          <w:lang w:val="fr-CA"/>
        </w:rPr>
        <w:t xml:space="preserve">taux </w:t>
      </w:r>
      <w:r w:rsidRPr="00B63BD5">
        <w:rPr>
          <w:lang w:val="fr-CA"/>
        </w:rPr>
        <w:t>affiché pour toute durée indiquée a été ou sera supprimé de façon permanente ou pour une</w:t>
      </w:r>
      <w:r w:rsidR="00E87599" w:rsidRPr="00B63BD5">
        <w:rPr>
          <w:lang w:val="fr-CA"/>
        </w:rPr>
        <w:t xml:space="preserve"> </w:t>
      </w:r>
      <w:r w:rsidRPr="00B63BD5">
        <w:rPr>
          <w:lang w:val="fr-CA"/>
        </w:rPr>
        <w:t>durée indéterminée; ou</w:t>
      </w:r>
    </w:p>
    <w:p w14:paraId="160AE9A1" w14:textId="5F36B53D" w:rsidR="008902C5" w:rsidRPr="00B63BD5" w:rsidRDefault="008902C5" w:rsidP="00AF7C93">
      <w:pPr>
        <w:numPr>
          <w:ilvl w:val="5"/>
          <w:numId w:val="20"/>
        </w:numPr>
        <w:tabs>
          <w:tab w:val="left" w:pos="0"/>
          <w:tab w:val="left" w:pos="720"/>
          <w:tab w:val="left" w:pos="1728"/>
          <w:tab w:val="left" w:pos="2160"/>
          <w:tab w:val="left" w:pos="3600"/>
          <w:tab w:val="left" w:pos="4320"/>
          <w:tab w:val="left" w:pos="5040"/>
          <w:tab w:val="left" w:pos="5760"/>
          <w:tab w:val="left" w:pos="6480"/>
          <w:tab w:val="left" w:pos="7200"/>
          <w:tab w:val="left" w:pos="7920"/>
          <w:tab w:val="left" w:pos="8640"/>
          <w:tab w:val="left" w:pos="9360"/>
        </w:tabs>
        <w:spacing w:after="240"/>
        <w:ind w:left="2880" w:hanging="720"/>
        <w:jc w:val="both"/>
        <w:rPr>
          <w:lang w:val="fr-CA"/>
        </w:rPr>
      </w:pPr>
      <w:r w:rsidRPr="00B63BD5">
        <w:rPr>
          <w:lang w:val="fr-CA"/>
        </w:rPr>
        <w:t>l</w:t>
      </w:r>
      <w:r w:rsidR="00564B0C" w:rsidRPr="00B63BD5">
        <w:rPr>
          <w:lang w:val="fr-CA"/>
        </w:rPr>
        <w:t>’</w:t>
      </w:r>
      <w:r w:rsidRPr="00B63BD5">
        <w:rPr>
          <w:lang w:val="fr-CA"/>
        </w:rPr>
        <w:t xml:space="preserve">administrateur </w:t>
      </w:r>
      <w:r w:rsidR="00464E96" w:rsidRPr="00B63BD5">
        <w:rPr>
          <w:lang w:val="fr-CA"/>
        </w:rPr>
        <w:t xml:space="preserve">de ce taux </w:t>
      </w:r>
      <w:r w:rsidRPr="00B63BD5">
        <w:rPr>
          <w:lang w:val="fr-CA"/>
        </w:rPr>
        <w:t xml:space="preserve">ou son superviseur annonce publiquement que </w:t>
      </w:r>
      <w:r w:rsidR="00464E96" w:rsidRPr="00B63BD5">
        <w:rPr>
          <w:lang w:val="fr-CA"/>
        </w:rPr>
        <w:t xml:space="preserve">ce taux </w:t>
      </w:r>
      <w:r w:rsidRPr="00B63BD5">
        <w:rPr>
          <w:lang w:val="fr-CA"/>
        </w:rPr>
        <w:t xml:space="preserve">ne peut plus être utilisé. </w:t>
      </w:r>
    </w:p>
    <w:p w14:paraId="090C34EA" w14:textId="07110291" w:rsidR="005F4D71" w:rsidRPr="00B63BD5" w:rsidRDefault="005F4D71" w:rsidP="00632863">
      <w:pPr>
        <w:pStyle w:val="ListParagraph"/>
        <w:spacing w:after="240"/>
        <w:ind w:left="1440"/>
        <w:jc w:val="both"/>
        <w:rPr>
          <w:lang w:val="fr-CA"/>
        </w:rPr>
      </w:pPr>
      <w:r w:rsidRPr="00B63BD5">
        <w:rPr>
          <w:b/>
          <w:iCs/>
          <w:lang w:val="fr-CA"/>
        </w:rPr>
        <w:t>«</w:t>
      </w:r>
      <w:r w:rsidR="0094743F" w:rsidRPr="00B63BD5">
        <w:rPr>
          <w:b/>
          <w:iCs/>
          <w:lang w:val="fr-CA"/>
        </w:rPr>
        <w:t> </w:t>
      </w:r>
      <w:r w:rsidRPr="00B63BD5">
        <w:rPr>
          <w:b/>
          <w:iCs/>
          <w:lang w:val="fr-CA"/>
        </w:rPr>
        <w:t>Rajustement du taux de référence de remplacement</w:t>
      </w:r>
      <w:r w:rsidR="0094743F" w:rsidRPr="00B63BD5">
        <w:rPr>
          <w:b/>
          <w:iCs/>
          <w:lang w:val="fr-CA"/>
        </w:rPr>
        <w:t> </w:t>
      </w:r>
      <w:r w:rsidRPr="00B63BD5">
        <w:rPr>
          <w:b/>
          <w:iCs/>
          <w:lang w:val="fr-CA"/>
        </w:rPr>
        <w:t>»</w:t>
      </w:r>
      <w:r w:rsidRPr="00B63BD5">
        <w:rPr>
          <w:lang w:val="fr-CA"/>
        </w:rPr>
        <w:t xml:space="preserve"> désigne, en ce qui concerne le taux de référence de rechange pour chaque Période d</w:t>
      </w:r>
      <w:r w:rsidR="00564B0C" w:rsidRPr="00B63BD5">
        <w:rPr>
          <w:lang w:val="fr-CA"/>
        </w:rPr>
        <w:t>’</w:t>
      </w:r>
      <w:r w:rsidRPr="00B63BD5">
        <w:rPr>
          <w:lang w:val="fr-CA"/>
        </w:rPr>
        <w:t>intérêt ou d</w:t>
      </w:r>
      <w:r w:rsidR="00564B0C" w:rsidRPr="00B63BD5">
        <w:rPr>
          <w:lang w:val="fr-CA"/>
        </w:rPr>
        <w:t>’</w:t>
      </w:r>
      <w:r w:rsidRPr="00B63BD5">
        <w:rPr>
          <w:lang w:val="fr-CA"/>
        </w:rPr>
        <w:t>escompte applicable, le rajustement de l</w:t>
      </w:r>
      <w:r w:rsidR="00564B0C" w:rsidRPr="00B63BD5">
        <w:rPr>
          <w:lang w:val="fr-CA"/>
        </w:rPr>
        <w:t>’</w:t>
      </w:r>
      <w:r w:rsidRPr="00B63BD5">
        <w:rPr>
          <w:lang w:val="fr-CA"/>
        </w:rPr>
        <w:t>écart ou la méthode de calcul du rajustement de l</w:t>
      </w:r>
      <w:r w:rsidR="00564B0C" w:rsidRPr="00B63BD5">
        <w:rPr>
          <w:lang w:val="fr-CA"/>
        </w:rPr>
        <w:t>’</w:t>
      </w:r>
      <w:r w:rsidRPr="00B63BD5">
        <w:rPr>
          <w:lang w:val="fr-CA"/>
        </w:rPr>
        <w:t xml:space="preserve">écart (qui peut être une valeur positive, une valeur négative ou zéro) que choisit la Banque dans le but de rajuster le taux de référence de rechange afin de le rendre comparable au taux </w:t>
      </w:r>
      <w:r w:rsidR="00536F85" w:rsidRPr="00B63BD5">
        <w:rPr>
          <w:lang w:val="fr-CA"/>
        </w:rPr>
        <w:t>d’intér</w:t>
      </w:r>
      <w:r w:rsidR="00FC6401" w:rsidRPr="00B63BD5">
        <w:rPr>
          <w:lang w:val="fr-CA"/>
        </w:rPr>
        <w:t>ê</w:t>
      </w:r>
      <w:r w:rsidR="00536F85" w:rsidRPr="00B63BD5">
        <w:rPr>
          <w:lang w:val="fr-CA"/>
        </w:rPr>
        <w:t xml:space="preserve">t </w:t>
      </w:r>
      <w:r w:rsidRPr="00B63BD5">
        <w:rPr>
          <w:lang w:val="fr-CA"/>
        </w:rPr>
        <w:t xml:space="preserve">de référence en vigueur qui tient compte </w:t>
      </w:r>
      <w:r w:rsidR="00D33630" w:rsidRPr="00B63BD5">
        <w:rPr>
          <w:lang w:val="fr-CA"/>
        </w:rPr>
        <w:t>(</w:t>
      </w:r>
      <w:r w:rsidRPr="00B63BD5">
        <w:rPr>
          <w:lang w:val="fr-CA"/>
        </w:rPr>
        <w:t>i) de toute sélection ou recommandation d</w:t>
      </w:r>
      <w:r w:rsidR="00564B0C" w:rsidRPr="00B63BD5">
        <w:rPr>
          <w:lang w:val="fr-CA"/>
        </w:rPr>
        <w:t>’</w:t>
      </w:r>
      <w:r w:rsidRPr="00B63BD5">
        <w:rPr>
          <w:lang w:val="fr-CA"/>
        </w:rPr>
        <w:t>un ajustement de l</w:t>
      </w:r>
      <w:r w:rsidR="00564B0C" w:rsidRPr="00B63BD5">
        <w:rPr>
          <w:lang w:val="fr-CA"/>
        </w:rPr>
        <w:t>’</w:t>
      </w:r>
      <w:r w:rsidRPr="00B63BD5">
        <w:rPr>
          <w:lang w:val="fr-CA"/>
        </w:rPr>
        <w:t>écart ou d</w:t>
      </w:r>
      <w:r w:rsidR="00564B0C" w:rsidRPr="00B63BD5">
        <w:rPr>
          <w:lang w:val="fr-CA"/>
        </w:rPr>
        <w:t>’</w:t>
      </w:r>
      <w:r w:rsidRPr="00B63BD5">
        <w:rPr>
          <w:lang w:val="fr-CA"/>
        </w:rPr>
        <w:t>une méthode de calcul du rajustement de l</w:t>
      </w:r>
      <w:r w:rsidR="00564B0C" w:rsidRPr="00B63BD5">
        <w:rPr>
          <w:lang w:val="fr-CA"/>
        </w:rPr>
        <w:t>’</w:t>
      </w:r>
      <w:r w:rsidRPr="00B63BD5">
        <w:rPr>
          <w:lang w:val="fr-CA"/>
        </w:rPr>
        <w:t xml:space="preserve">écart visant le remplacement du taux de référence en vigueur par le taux </w:t>
      </w:r>
      <w:r w:rsidR="00536F85" w:rsidRPr="00B63BD5">
        <w:rPr>
          <w:lang w:val="fr-CA"/>
        </w:rPr>
        <w:t xml:space="preserve">d’intérêt </w:t>
      </w:r>
      <w:r w:rsidRPr="00B63BD5">
        <w:rPr>
          <w:lang w:val="fr-CA"/>
        </w:rPr>
        <w:t xml:space="preserve">de référence de rechange par un organisme gouvernemental pertinent (ou un comité formé par cet organisme) ou </w:t>
      </w:r>
      <w:r w:rsidR="00D33630" w:rsidRPr="00B63BD5">
        <w:rPr>
          <w:lang w:val="fr-CA"/>
        </w:rPr>
        <w:t>(</w:t>
      </w:r>
      <w:r w:rsidRPr="00B63BD5">
        <w:rPr>
          <w:lang w:val="fr-CA"/>
        </w:rPr>
        <w:t>ii) de toute nouvelle convention ou convention alors en vigueur sur le marché pour déterminer un rajustement de l</w:t>
      </w:r>
      <w:r w:rsidR="00564B0C" w:rsidRPr="00B63BD5">
        <w:rPr>
          <w:lang w:val="fr-CA"/>
        </w:rPr>
        <w:t>’</w:t>
      </w:r>
      <w:r w:rsidRPr="00B63BD5">
        <w:rPr>
          <w:lang w:val="fr-CA"/>
        </w:rPr>
        <w:t>écart visant le remplacement du taux d</w:t>
      </w:r>
      <w:r w:rsidR="00564B0C" w:rsidRPr="00B63BD5">
        <w:rPr>
          <w:lang w:val="fr-CA"/>
        </w:rPr>
        <w:t>’</w:t>
      </w:r>
      <w:r w:rsidRPr="00B63BD5">
        <w:rPr>
          <w:lang w:val="fr-CA"/>
        </w:rPr>
        <w:t xml:space="preserve">intérêt de référence existant par le taux de référence de rechange. </w:t>
      </w:r>
    </w:p>
    <w:p w14:paraId="5CB78CF2" w14:textId="77777777" w:rsidR="000918CC" w:rsidRPr="00B63BD5" w:rsidRDefault="000918CC" w:rsidP="00632863">
      <w:pPr>
        <w:pStyle w:val="ListParagraph"/>
        <w:spacing w:after="240"/>
        <w:ind w:left="1440"/>
        <w:jc w:val="both"/>
        <w:rPr>
          <w:b/>
          <w:iCs/>
          <w:lang w:val="fr-CA"/>
        </w:rPr>
      </w:pPr>
    </w:p>
    <w:p w14:paraId="43FF5836" w14:textId="41F94B2A" w:rsidR="005F4D71" w:rsidRPr="00B63BD5" w:rsidRDefault="005F4D71" w:rsidP="00632863">
      <w:pPr>
        <w:pStyle w:val="ListParagraph"/>
        <w:spacing w:after="240"/>
        <w:ind w:left="1440"/>
        <w:jc w:val="both"/>
        <w:rPr>
          <w:lang w:val="fr-CA"/>
        </w:rPr>
      </w:pPr>
      <w:r w:rsidRPr="00B63BD5">
        <w:rPr>
          <w:b/>
          <w:iCs/>
          <w:lang w:val="fr-CA"/>
        </w:rPr>
        <w:t>«</w:t>
      </w:r>
      <w:r w:rsidR="0094743F" w:rsidRPr="00B63BD5">
        <w:rPr>
          <w:b/>
          <w:iCs/>
          <w:lang w:val="fr-CA"/>
        </w:rPr>
        <w:t> </w:t>
      </w:r>
      <w:r w:rsidRPr="00B63BD5">
        <w:rPr>
          <w:b/>
          <w:iCs/>
          <w:lang w:val="fr-CA"/>
        </w:rPr>
        <w:t>Taux de référence de remplacement</w:t>
      </w:r>
      <w:r w:rsidR="0094743F" w:rsidRPr="00B63BD5">
        <w:rPr>
          <w:b/>
          <w:iCs/>
          <w:lang w:val="fr-CA"/>
        </w:rPr>
        <w:t> </w:t>
      </w:r>
      <w:r w:rsidRPr="00B63BD5">
        <w:rPr>
          <w:b/>
          <w:iCs/>
          <w:lang w:val="fr-CA"/>
        </w:rPr>
        <w:t>»</w:t>
      </w:r>
      <w:r w:rsidRPr="00B63BD5">
        <w:rPr>
          <w:lang w:val="fr-CA"/>
        </w:rPr>
        <w:t xml:space="preserve"> désigne la somme : </w:t>
      </w:r>
      <w:r w:rsidR="00D33630" w:rsidRPr="00B63BD5">
        <w:rPr>
          <w:lang w:val="fr-CA"/>
        </w:rPr>
        <w:t>(</w:t>
      </w:r>
      <w:r w:rsidRPr="00B63BD5">
        <w:rPr>
          <w:lang w:val="fr-CA"/>
        </w:rPr>
        <w:t>a) du taux de référence de rechange (qui peut être un taux sans risque simple ou composé ou, selon le cas, le taux d</w:t>
      </w:r>
      <w:r w:rsidR="00564B0C" w:rsidRPr="00B63BD5">
        <w:rPr>
          <w:lang w:val="fr-CA"/>
        </w:rPr>
        <w:t>’</w:t>
      </w:r>
      <w:r w:rsidRPr="00B63BD5">
        <w:rPr>
          <w:lang w:val="fr-CA"/>
        </w:rPr>
        <w:t xml:space="preserve">une banque centrale, un taux fixe, un taux à terme ou tout autre taux calculé par la Banque) choisi par la Banque en tenant compte </w:t>
      </w:r>
      <w:r w:rsidR="00D33630" w:rsidRPr="00B63BD5">
        <w:rPr>
          <w:lang w:val="fr-CA"/>
        </w:rPr>
        <w:t>(</w:t>
      </w:r>
      <w:r w:rsidRPr="00B63BD5">
        <w:rPr>
          <w:lang w:val="fr-CA"/>
        </w:rPr>
        <w:t>i) de toute sélection ou recommandation d</w:t>
      </w:r>
      <w:r w:rsidR="00564B0C" w:rsidRPr="00B63BD5">
        <w:rPr>
          <w:lang w:val="fr-CA"/>
        </w:rPr>
        <w:t>’</w:t>
      </w:r>
      <w:r w:rsidRPr="00B63BD5">
        <w:rPr>
          <w:lang w:val="fr-CA"/>
        </w:rPr>
        <w:t xml:space="preserve">un taux de remplacement ou du mécanisme utilisé pour déterminer un tel taux par un organisme gouvernemental pertinent (ou un comité formé par cet organisme) ou </w:t>
      </w:r>
      <w:r w:rsidR="00D33630" w:rsidRPr="00B63BD5">
        <w:rPr>
          <w:lang w:val="fr-CA"/>
        </w:rPr>
        <w:t>(</w:t>
      </w:r>
      <w:r w:rsidR="00AA70A0" w:rsidRPr="00B63BD5">
        <w:rPr>
          <w:lang w:val="fr-CA"/>
        </w:rPr>
        <w:t>ii) de toute nouvelle convention ou convention alors en vigueur sur le marché pour déterminer un taux d</w:t>
      </w:r>
      <w:r w:rsidR="00564B0C" w:rsidRPr="00B63BD5">
        <w:rPr>
          <w:lang w:val="fr-CA"/>
        </w:rPr>
        <w:t>’</w:t>
      </w:r>
      <w:r w:rsidR="00AA70A0" w:rsidRPr="00B63BD5">
        <w:rPr>
          <w:lang w:val="fr-CA"/>
        </w:rPr>
        <w:t>intérêt en remplacement du taux d</w:t>
      </w:r>
      <w:r w:rsidR="00564B0C" w:rsidRPr="00B63BD5">
        <w:rPr>
          <w:lang w:val="fr-CA"/>
        </w:rPr>
        <w:t>’</w:t>
      </w:r>
      <w:r w:rsidR="00AA70A0" w:rsidRPr="00B63BD5">
        <w:rPr>
          <w:lang w:val="fr-CA"/>
        </w:rPr>
        <w:t>intérêt de référence applicable à cette date (y compris le Taux de référence SOFR ou le Taux de référence SONIA, selon le cas)</w:t>
      </w:r>
      <w:r w:rsidR="00A51679" w:rsidRPr="00B63BD5">
        <w:rPr>
          <w:lang w:val="fr-CA"/>
        </w:rPr>
        <w:t xml:space="preserve"> </w:t>
      </w:r>
      <w:r w:rsidRPr="00B63BD5">
        <w:rPr>
          <w:lang w:val="fr-CA"/>
        </w:rPr>
        <w:t xml:space="preserve">et </w:t>
      </w:r>
      <w:r w:rsidR="00D33630" w:rsidRPr="00B63BD5">
        <w:rPr>
          <w:lang w:val="fr-CA"/>
        </w:rPr>
        <w:t>(</w:t>
      </w:r>
      <w:r w:rsidRPr="00B63BD5">
        <w:rPr>
          <w:lang w:val="fr-CA"/>
        </w:rPr>
        <w:t>b) du rajustement du Taux de référence de remplacement; étant entendu que si le Taux de référence de remplacement ainsi établi est inférieur à zéro, il est réputé être égal à zéro aux fins de la présente Lettre relative aux facilités.</w:t>
      </w:r>
    </w:p>
    <w:p w14:paraId="313CBC8C" w14:textId="1243696A" w:rsidR="009926E7" w:rsidRPr="00B63BD5" w:rsidRDefault="00FF7020" w:rsidP="00632863">
      <w:pPr>
        <w:pStyle w:val="ListNumber"/>
        <w:spacing w:after="240"/>
        <w:ind w:left="709"/>
        <w:jc w:val="both"/>
        <w:rPr>
          <w:lang w:val="fr-CA"/>
        </w:rPr>
      </w:pPr>
      <w:r w:rsidRPr="00B63BD5">
        <w:rPr>
          <w:lang w:val="fr-CA"/>
        </w:rPr>
        <w:t>Renonciation</w:t>
      </w:r>
      <w:r w:rsidR="008B6797" w:rsidRPr="00B63BD5">
        <w:rPr>
          <w:lang w:val="fr-CA"/>
        </w:rPr>
        <w:t>;</w:t>
      </w:r>
      <w:r w:rsidRPr="00B63BD5">
        <w:rPr>
          <w:lang w:val="fr-CA"/>
        </w:rPr>
        <w:t xml:space="preserve"> modification</w:t>
      </w:r>
    </w:p>
    <w:p w14:paraId="021A22A7" w14:textId="731CA349" w:rsidR="009926E7" w:rsidRPr="00B63BD5" w:rsidRDefault="00FF7020" w:rsidP="00632863">
      <w:pPr>
        <w:pStyle w:val="Heading4"/>
        <w:jc w:val="both"/>
      </w:pPr>
      <w:r w:rsidRPr="00B63BD5">
        <w:t>Aucune modalité de la présente Lettre relative aux facilités ou de l</w:t>
      </w:r>
      <w:r w:rsidR="00564B0C" w:rsidRPr="00B63BD5">
        <w:t>’</w:t>
      </w:r>
      <w:r w:rsidRPr="00B63BD5">
        <w:t>un ou l</w:t>
      </w:r>
      <w:r w:rsidR="00564B0C" w:rsidRPr="00B63BD5">
        <w:t>’</w:t>
      </w:r>
      <w:r w:rsidRPr="00B63BD5">
        <w:t xml:space="preserve">autre des </w:t>
      </w:r>
      <w:r w:rsidR="0048139D" w:rsidRPr="00B63BD5">
        <w:t xml:space="preserve">autres </w:t>
      </w:r>
      <w:r w:rsidRPr="00B63BD5">
        <w:t>Documents de prêt ne peut faire l</w:t>
      </w:r>
      <w:r w:rsidR="00564B0C" w:rsidRPr="00B63BD5">
        <w:t>’</w:t>
      </w:r>
      <w:r w:rsidRPr="00B63BD5">
        <w:t>objet d</w:t>
      </w:r>
      <w:r w:rsidR="00564B0C" w:rsidRPr="00B63BD5">
        <w:t>’</w:t>
      </w:r>
      <w:r w:rsidRPr="00B63BD5">
        <w:t xml:space="preserve">une renonciation ou être modifiée </w:t>
      </w:r>
      <w:r w:rsidR="00081BF6" w:rsidRPr="00B63BD5">
        <w:t xml:space="preserve">verbalement </w:t>
      </w:r>
      <w:r w:rsidRPr="00B63BD5">
        <w:t xml:space="preserve">ni être réputée </w:t>
      </w:r>
      <w:r w:rsidR="007F225E" w:rsidRPr="00B63BD5">
        <w:t xml:space="preserve">avoir </w:t>
      </w:r>
      <w:r w:rsidRPr="00B63BD5">
        <w:t>fai</w:t>
      </w:r>
      <w:r w:rsidR="007F225E" w:rsidRPr="00B63BD5">
        <w:t>t</w:t>
      </w:r>
      <w:r w:rsidRPr="00B63BD5">
        <w:t xml:space="preserve"> l</w:t>
      </w:r>
      <w:r w:rsidR="00564B0C" w:rsidRPr="00B63BD5">
        <w:t>’</w:t>
      </w:r>
      <w:r w:rsidRPr="00B63BD5">
        <w:t>objet d</w:t>
      </w:r>
      <w:r w:rsidR="00564B0C" w:rsidRPr="00B63BD5">
        <w:t>’</w:t>
      </w:r>
      <w:r w:rsidRPr="00B63BD5">
        <w:t>une</w:t>
      </w:r>
      <w:r w:rsidR="009C2A56" w:rsidRPr="00B63BD5">
        <w:t> </w:t>
      </w:r>
      <w:r w:rsidR="00081BF6" w:rsidRPr="00B63BD5">
        <w:t xml:space="preserve">renonciation </w:t>
      </w:r>
      <w:r w:rsidRPr="00B63BD5">
        <w:t xml:space="preserve">ou </w:t>
      </w:r>
      <w:r w:rsidR="00C84CDA" w:rsidRPr="00B63BD5">
        <w:t xml:space="preserve">avoir </w:t>
      </w:r>
      <w:r w:rsidR="007F225E" w:rsidRPr="00B63BD5">
        <w:t>été</w:t>
      </w:r>
      <w:r w:rsidRPr="00B63BD5">
        <w:t xml:space="preserve"> modifiée </w:t>
      </w:r>
      <w:r w:rsidR="007F225E" w:rsidRPr="00B63BD5">
        <w:t xml:space="preserve">pour quelque </w:t>
      </w:r>
      <w:r w:rsidR="00081BF6" w:rsidRPr="00B63BD5">
        <w:t xml:space="preserve">motif </w:t>
      </w:r>
      <w:r w:rsidR="007F225E" w:rsidRPr="00B63BD5">
        <w:t xml:space="preserve">que ce soit ou </w:t>
      </w:r>
      <w:r w:rsidRPr="00B63BD5">
        <w:t xml:space="preserve">par </w:t>
      </w:r>
      <w:r w:rsidR="007F225E" w:rsidRPr="00B63BD5">
        <w:t>quelque</w:t>
      </w:r>
      <w:r w:rsidRPr="00B63BD5">
        <w:t xml:space="preserve"> comportement</w:t>
      </w:r>
      <w:r w:rsidR="007F225E" w:rsidRPr="00B63BD5">
        <w:t xml:space="preserve"> que</w:t>
      </w:r>
      <w:r w:rsidR="009C2A56" w:rsidRPr="00B63BD5">
        <w:t> </w:t>
      </w:r>
      <w:r w:rsidR="007F225E" w:rsidRPr="00B63BD5">
        <w:t>ce</w:t>
      </w:r>
      <w:r w:rsidR="009C2A56" w:rsidRPr="00B63BD5">
        <w:t> </w:t>
      </w:r>
      <w:r w:rsidR="007F225E" w:rsidRPr="00B63BD5">
        <w:t>soit</w:t>
      </w:r>
      <w:r w:rsidRPr="00B63BD5">
        <w:t xml:space="preserve"> d</w:t>
      </w:r>
      <w:r w:rsidR="00564B0C" w:rsidRPr="00B63BD5">
        <w:t>’</w:t>
      </w:r>
      <w:r w:rsidRPr="00B63BD5">
        <w:t>un dirigeant, d</w:t>
      </w:r>
      <w:r w:rsidR="00564B0C" w:rsidRPr="00B63BD5">
        <w:t>’</w:t>
      </w:r>
      <w:r w:rsidRPr="00B63BD5">
        <w:t>un employé ou d</w:t>
      </w:r>
      <w:r w:rsidR="00564B0C" w:rsidRPr="00B63BD5">
        <w:t>’</w:t>
      </w:r>
      <w:r w:rsidRPr="00B63BD5">
        <w:t xml:space="preserve">un mandataire de la Banque. Toutes les renonciations doivent être faites par écrit et signées par un dirigeant dûment autorisé de la Banque. </w:t>
      </w:r>
    </w:p>
    <w:p w14:paraId="5E302193" w14:textId="3934C457" w:rsidR="00663B8D" w:rsidRPr="00B63BD5" w:rsidRDefault="007F225E" w:rsidP="00632863">
      <w:pPr>
        <w:pStyle w:val="Heading4"/>
        <w:jc w:val="both"/>
      </w:pPr>
      <w:r w:rsidRPr="00B63BD5">
        <w:t xml:space="preserve">Toute </w:t>
      </w:r>
      <w:r w:rsidR="00FF7020" w:rsidRPr="00B63BD5">
        <w:t xml:space="preserve">modification de la présente Lettre relative aux facilités ou des autres Documents de prêt doit être faite par écrit et signée par un dirigeant dûment autorisé de la Banque. Sans restreindre la portée de ce qui précède, la Banque peut modifier la présente Lettre relative aux facilités si </w:t>
      </w:r>
      <w:r w:rsidRPr="00B63BD5">
        <w:t xml:space="preserve">cela est nécessaire en raison </w:t>
      </w:r>
      <w:r w:rsidRPr="00B63BD5">
        <w:lastRenderedPageBreak/>
        <w:t>d</w:t>
      </w:r>
      <w:r w:rsidR="00564B0C" w:rsidRPr="00B63BD5">
        <w:t>’</w:t>
      </w:r>
      <w:r w:rsidR="00FF7020" w:rsidRPr="00B63BD5">
        <w:t>une</w:t>
      </w:r>
      <w:r w:rsidR="009C2A56" w:rsidRPr="00B63BD5">
        <w:t> </w:t>
      </w:r>
      <w:r w:rsidR="00FF7020" w:rsidRPr="00B63BD5">
        <w:t>modification apportée aux lois applicables ou à l</w:t>
      </w:r>
      <w:r w:rsidRPr="00B63BD5">
        <w:t xml:space="preserve">eur interprétation </w:t>
      </w:r>
      <w:r w:rsidR="00FF7020" w:rsidRPr="00B63BD5">
        <w:t xml:space="preserve">ou </w:t>
      </w:r>
      <w:r w:rsidR="00776F67" w:rsidRPr="00B63BD5">
        <w:t>en raison d</w:t>
      </w:r>
      <w:r w:rsidR="00564B0C" w:rsidRPr="00B63BD5">
        <w:t>’</w:t>
      </w:r>
      <w:r w:rsidR="00FF7020" w:rsidRPr="00B63BD5">
        <w:t>une Exigence juridique</w:t>
      </w:r>
      <w:r w:rsidR="00081BF6" w:rsidRPr="00B63BD5">
        <w:t xml:space="preserve"> et, le cas échéant, elle </w:t>
      </w:r>
      <w:r w:rsidR="00FF7020" w:rsidRPr="00B63BD5">
        <w:t>doit donner un avis écrit préalable de 30</w:t>
      </w:r>
      <w:r w:rsidR="00AC4107" w:rsidRPr="00B63BD5">
        <w:t xml:space="preserve"> </w:t>
      </w:r>
      <w:r w:rsidR="00FF7020" w:rsidRPr="00B63BD5">
        <w:t>jour</w:t>
      </w:r>
      <w:r w:rsidR="00776F67" w:rsidRPr="00B63BD5">
        <w:t>s</w:t>
      </w:r>
      <w:r w:rsidR="00FF7020" w:rsidRPr="00B63BD5">
        <w:t xml:space="preserve"> </w:t>
      </w:r>
      <w:r w:rsidR="00081BF6" w:rsidRPr="00B63BD5">
        <w:t xml:space="preserve">de la </w:t>
      </w:r>
      <w:r w:rsidR="00FF7020" w:rsidRPr="00B63BD5">
        <w:t>modification.</w:t>
      </w:r>
    </w:p>
    <w:p w14:paraId="7784F35E" w14:textId="03F04627" w:rsidR="001941B7" w:rsidRPr="00B63BD5" w:rsidRDefault="00FF7020" w:rsidP="00632863">
      <w:pPr>
        <w:pStyle w:val="ListNumber"/>
        <w:spacing w:after="240"/>
        <w:ind w:left="709"/>
        <w:jc w:val="both"/>
        <w:rPr>
          <w:lang w:val="fr-CA"/>
        </w:rPr>
      </w:pPr>
      <w:r w:rsidRPr="00B63BD5">
        <w:rPr>
          <w:lang w:val="fr-CA"/>
        </w:rPr>
        <w:t>Di</w:t>
      </w:r>
      <w:r w:rsidR="00421742" w:rsidRPr="00B63BD5">
        <w:rPr>
          <w:lang w:val="fr-CA"/>
        </w:rPr>
        <w:t>visibilité</w:t>
      </w:r>
    </w:p>
    <w:p w14:paraId="42795DBA" w14:textId="2E032CE5" w:rsidR="001941B7" w:rsidRPr="00B63BD5" w:rsidRDefault="00FF7020"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Une disposition de la présente Lettre relative aux facilités ou d</w:t>
      </w:r>
      <w:r w:rsidR="00CB20C6" w:rsidRPr="00B63BD5">
        <w:rPr>
          <w:lang w:val="fr-CA"/>
        </w:rPr>
        <w:t xml:space="preserve">e </w:t>
      </w:r>
      <w:r w:rsidR="0048139D" w:rsidRPr="00B63BD5">
        <w:rPr>
          <w:lang w:val="fr-CA"/>
        </w:rPr>
        <w:t xml:space="preserve">tout </w:t>
      </w:r>
      <w:r w:rsidRPr="00B63BD5">
        <w:rPr>
          <w:lang w:val="fr-CA"/>
        </w:rPr>
        <w:t xml:space="preserve">autre Document de prêt qui est </w:t>
      </w:r>
      <w:r w:rsidR="00421742" w:rsidRPr="00B63BD5">
        <w:rPr>
          <w:lang w:val="fr-CA"/>
        </w:rPr>
        <w:t>déclaré</w:t>
      </w:r>
      <w:r w:rsidR="00C84CDA" w:rsidRPr="00B63BD5">
        <w:rPr>
          <w:lang w:val="fr-CA"/>
        </w:rPr>
        <w:t>e</w:t>
      </w:r>
      <w:r w:rsidR="00421742" w:rsidRPr="00B63BD5">
        <w:rPr>
          <w:lang w:val="fr-CA"/>
        </w:rPr>
        <w:t xml:space="preserve"> </w:t>
      </w:r>
      <w:r w:rsidRPr="00B63BD5">
        <w:rPr>
          <w:lang w:val="fr-CA"/>
        </w:rPr>
        <w:t>illégale, invalide, interdite ou inexécutoire en vertu des lois applicables d</w:t>
      </w:r>
      <w:r w:rsidR="00564B0C" w:rsidRPr="00B63BD5">
        <w:rPr>
          <w:lang w:val="fr-CA"/>
        </w:rPr>
        <w:t>’</w:t>
      </w:r>
      <w:r w:rsidRPr="00B63BD5">
        <w:rPr>
          <w:lang w:val="fr-CA"/>
        </w:rPr>
        <w:t>un territoire e</w:t>
      </w:r>
      <w:r w:rsidR="00421742" w:rsidRPr="00B63BD5">
        <w:rPr>
          <w:lang w:val="fr-CA"/>
        </w:rPr>
        <w:t>s</w:t>
      </w:r>
      <w:r w:rsidRPr="00B63BD5">
        <w:rPr>
          <w:lang w:val="fr-CA"/>
        </w:rPr>
        <w:t xml:space="preserve">t, </w:t>
      </w:r>
      <w:r w:rsidR="00421742" w:rsidRPr="00B63BD5">
        <w:rPr>
          <w:lang w:val="fr-CA"/>
        </w:rPr>
        <w:t>dans le</w:t>
      </w:r>
      <w:r w:rsidRPr="00B63BD5">
        <w:rPr>
          <w:lang w:val="fr-CA"/>
        </w:rPr>
        <w:t xml:space="preserve"> territoire en</w:t>
      </w:r>
      <w:r w:rsidR="009C2A56" w:rsidRPr="00B63BD5">
        <w:rPr>
          <w:lang w:val="fr-CA"/>
        </w:rPr>
        <w:t> </w:t>
      </w:r>
      <w:r w:rsidRPr="00B63BD5">
        <w:rPr>
          <w:lang w:val="fr-CA"/>
        </w:rPr>
        <w:t xml:space="preserve">question, sans effet seulement dans la mesure </w:t>
      </w:r>
      <w:r w:rsidR="00421742" w:rsidRPr="00B63BD5">
        <w:rPr>
          <w:lang w:val="fr-CA"/>
        </w:rPr>
        <w:t>de ce</w:t>
      </w:r>
      <w:r w:rsidRPr="00B63BD5">
        <w:rPr>
          <w:lang w:val="fr-CA"/>
        </w:rPr>
        <w:t xml:space="preserve"> caractère illégal, invalide, interdit ou inexécutoire et</w:t>
      </w:r>
      <w:r w:rsidR="009C2A56" w:rsidRPr="00B63BD5">
        <w:rPr>
          <w:lang w:val="fr-CA"/>
        </w:rPr>
        <w:t> </w:t>
      </w:r>
      <w:r w:rsidRPr="00B63BD5">
        <w:rPr>
          <w:lang w:val="fr-CA"/>
        </w:rPr>
        <w:t>elle</w:t>
      </w:r>
      <w:r w:rsidR="009C2A56" w:rsidRPr="00B63BD5">
        <w:rPr>
          <w:lang w:val="fr-CA"/>
        </w:rPr>
        <w:t> </w:t>
      </w:r>
      <w:r w:rsidRPr="00B63BD5">
        <w:rPr>
          <w:lang w:val="fr-CA"/>
        </w:rPr>
        <w:t xml:space="preserve">sera </w:t>
      </w:r>
      <w:r w:rsidR="00081BF6" w:rsidRPr="00B63BD5">
        <w:rPr>
          <w:lang w:val="fr-CA"/>
        </w:rPr>
        <w:t xml:space="preserve">retranchée </w:t>
      </w:r>
      <w:r w:rsidRPr="00B63BD5">
        <w:rPr>
          <w:lang w:val="fr-CA"/>
        </w:rPr>
        <w:t>d</w:t>
      </w:r>
      <w:r w:rsidR="00421742" w:rsidRPr="00B63BD5">
        <w:rPr>
          <w:lang w:val="fr-CA"/>
        </w:rPr>
        <w:t xml:space="preserve">u reste </w:t>
      </w:r>
      <w:r w:rsidRPr="00B63BD5">
        <w:rPr>
          <w:lang w:val="fr-CA"/>
        </w:rPr>
        <w:t xml:space="preserve">de la Lettre relative aux facilités </w:t>
      </w:r>
      <w:r w:rsidR="00421742" w:rsidRPr="00B63BD5">
        <w:rPr>
          <w:lang w:val="fr-CA"/>
        </w:rPr>
        <w:t>ou</w:t>
      </w:r>
      <w:r w:rsidRPr="00B63BD5">
        <w:rPr>
          <w:lang w:val="fr-CA"/>
        </w:rPr>
        <w:t xml:space="preserve"> </w:t>
      </w:r>
      <w:r w:rsidR="00CB20C6" w:rsidRPr="00B63BD5">
        <w:rPr>
          <w:lang w:val="fr-CA"/>
        </w:rPr>
        <w:t>de l</w:t>
      </w:r>
      <w:r w:rsidR="00564B0C" w:rsidRPr="00B63BD5">
        <w:rPr>
          <w:lang w:val="fr-CA"/>
        </w:rPr>
        <w:t>’</w:t>
      </w:r>
      <w:r w:rsidR="00CB20C6" w:rsidRPr="00B63BD5">
        <w:rPr>
          <w:lang w:val="fr-CA"/>
        </w:rPr>
        <w:t xml:space="preserve">autre </w:t>
      </w:r>
      <w:r w:rsidRPr="00B63BD5">
        <w:rPr>
          <w:lang w:val="fr-CA"/>
        </w:rPr>
        <w:t>Document de prêt en question, sans que cela porte atteinte aux dispositions restantes de la présente Lettre relative aux</w:t>
      </w:r>
      <w:r w:rsidR="009C2A56" w:rsidRPr="00B63BD5">
        <w:rPr>
          <w:lang w:val="fr-CA"/>
        </w:rPr>
        <w:t> </w:t>
      </w:r>
      <w:r w:rsidRPr="00B63BD5">
        <w:rPr>
          <w:lang w:val="fr-CA"/>
        </w:rPr>
        <w:t>facilités</w:t>
      </w:r>
      <w:r w:rsidR="009C2A56" w:rsidRPr="00B63BD5">
        <w:rPr>
          <w:lang w:val="fr-CA"/>
        </w:rPr>
        <w:t> </w:t>
      </w:r>
      <w:r w:rsidRPr="00B63BD5">
        <w:rPr>
          <w:lang w:val="fr-CA"/>
        </w:rPr>
        <w:t>ou</w:t>
      </w:r>
      <w:r w:rsidR="009C2A56" w:rsidRPr="00B63BD5">
        <w:rPr>
          <w:lang w:val="fr-CA"/>
        </w:rPr>
        <w:t> </w:t>
      </w:r>
      <w:r w:rsidR="00CB20C6" w:rsidRPr="00B63BD5">
        <w:rPr>
          <w:lang w:val="fr-CA"/>
        </w:rPr>
        <w:t>de</w:t>
      </w:r>
      <w:r w:rsidR="009C2A56" w:rsidRPr="00B63BD5">
        <w:rPr>
          <w:lang w:val="fr-CA"/>
        </w:rPr>
        <w:t> </w:t>
      </w:r>
      <w:r w:rsidR="00CB20C6" w:rsidRPr="00B63BD5">
        <w:rPr>
          <w:lang w:val="fr-CA"/>
        </w:rPr>
        <w:t>l</w:t>
      </w:r>
      <w:r w:rsidR="00564B0C" w:rsidRPr="00B63BD5">
        <w:rPr>
          <w:lang w:val="fr-CA"/>
        </w:rPr>
        <w:t>’</w:t>
      </w:r>
      <w:r w:rsidR="00CB20C6" w:rsidRPr="00B63BD5">
        <w:rPr>
          <w:lang w:val="fr-CA"/>
        </w:rPr>
        <w:t>autre</w:t>
      </w:r>
      <w:r w:rsidR="009C2A56" w:rsidRPr="00B63BD5">
        <w:rPr>
          <w:lang w:val="fr-CA"/>
        </w:rPr>
        <w:t> </w:t>
      </w:r>
      <w:r w:rsidRPr="00B63BD5">
        <w:rPr>
          <w:lang w:val="fr-CA"/>
        </w:rPr>
        <w:t xml:space="preserve">Document de prêt en question ou </w:t>
      </w:r>
      <w:r w:rsidR="00421742" w:rsidRPr="00B63BD5">
        <w:rPr>
          <w:lang w:val="fr-CA"/>
        </w:rPr>
        <w:t>à son</w:t>
      </w:r>
      <w:r w:rsidRPr="00B63BD5">
        <w:rPr>
          <w:lang w:val="fr-CA"/>
        </w:rPr>
        <w:t xml:space="preserve"> caractère légal, valide ou exécutoire dans</w:t>
      </w:r>
      <w:r w:rsidR="009C2A56" w:rsidRPr="00B63BD5">
        <w:rPr>
          <w:lang w:val="fr-CA"/>
        </w:rPr>
        <w:t> </w:t>
      </w:r>
      <w:r w:rsidR="00421742" w:rsidRPr="00B63BD5">
        <w:rPr>
          <w:lang w:val="fr-CA"/>
        </w:rPr>
        <w:t>tout</w:t>
      </w:r>
      <w:r w:rsidR="009C2A56" w:rsidRPr="00B63BD5">
        <w:rPr>
          <w:lang w:val="fr-CA"/>
        </w:rPr>
        <w:t> </w:t>
      </w:r>
      <w:r w:rsidRPr="00B63BD5">
        <w:rPr>
          <w:lang w:val="fr-CA"/>
        </w:rPr>
        <w:t xml:space="preserve">autre territoire. </w:t>
      </w:r>
    </w:p>
    <w:p w14:paraId="450D76B8" w14:textId="1608CD75" w:rsidR="00542B81" w:rsidRPr="00B63BD5" w:rsidRDefault="00FF7020" w:rsidP="00632863">
      <w:pPr>
        <w:pStyle w:val="ListNumber"/>
        <w:spacing w:after="240"/>
        <w:ind w:left="709"/>
        <w:jc w:val="both"/>
        <w:rPr>
          <w:lang w:val="fr-CA"/>
        </w:rPr>
      </w:pPr>
      <w:r w:rsidRPr="00B63BD5">
        <w:rPr>
          <w:lang w:val="fr-CA"/>
        </w:rPr>
        <w:t>Consentement à la communication</w:t>
      </w:r>
    </w:p>
    <w:p w14:paraId="30905BFE" w14:textId="4387DA7E" w:rsidR="00542B81" w:rsidRPr="000B7739" w:rsidRDefault="00D80FF3" w:rsidP="000C4154">
      <w:pPr>
        <w:pStyle w:val="04LOLglNew3"/>
        <w:numPr>
          <w:ilvl w:val="2"/>
          <w:numId w:val="49"/>
        </w:numPr>
        <w:rPr>
          <w:lang w:val="fr-CA"/>
        </w:rPr>
      </w:pPr>
      <w:r w:rsidRPr="000B7739">
        <w:rPr>
          <w:lang w:val="fr-CA"/>
        </w:rPr>
        <w:t xml:space="preserve">Chaque </w:t>
      </w:r>
      <w:r w:rsidR="008121D8" w:rsidRPr="000B7739">
        <w:rPr>
          <w:lang w:val="fr-CA"/>
        </w:rPr>
        <w:t>Bénéficiaire du crédit</w:t>
      </w:r>
      <w:r w:rsidR="000259C8" w:rsidRPr="000B7739">
        <w:rPr>
          <w:lang w:val="fr-CA"/>
        </w:rPr>
        <w:t xml:space="preserve"> </w:t>
      </w:r>
      <w:r w:rsidRPr="000B7739">
        <w:rPr>
          <w:lang w:val="fr-CA"/>
        </w:rPr>
        <w:t>reconnaît qu</w:t>
      </w:r>
      <w:r w:rsidR="00564B0C" w:rsidRPr="000B7739">
        <w:rPr>
          <w:lang w:val="fr-CA"/>
        </w:rPr>
        <w:t>’</w:t>
      </w:r>
      <w:r w:rsidR="008121D8" w:rsidRPr="000B7739">
        <w:rPr>
          <w:lang w:val="fr-CA"/>
        </w:rPr>
        <w:t xml:space="preserve">il </w:t>
      </w:r>
      <w:r w:rsidRPr="000B7739">
        <w:rPr>
          <w:lang w:val="fr-CA"/>
        </w:rPr>
        <w:t>est au courant du fait que des renseignements</w:t>
      </w:r>
      <w:r w:rsidR="000259C8" w:rsidRPr="000B7739">
        <w:rPr>
          <w:lang w:val="fr-CA"/>
        </w:rPr>
        <w:t>,</w:t>
      </w:r>
      <w:r w:rsidR="001E4619" w:rsidRPr="000B7739">
        <w:rPr>
          <w:lang w:val="fr-CA"/>
        </w:rPr>
        <w:t xml:space="preserve"> </w:t>
      </w:r>
      <w:r w:rsidRPr="000B7739">
        <w:rPr>
          <w:lang w:val="fr-CA"/>
        </w:rPr>
        <w:t>financiers et personnels</w:t>
      </w:r>
      <w:r w:rsidR="007F466F" w:rsidRPr="000B7739">
        <w:rPr>
          <w:lang w:val="fr-CA"/>
        </w:rPr>
        <w:t>,</w:t>
      </w:r>
      <w:r w:rsidRPr="000B7739">
        <w:rPr>
          <w:lang w:val="fr-CA"/>
        </w:rPr>
        <w:t xml:space="preserve"> </w:t>
      </w:r>
      <w:r w:rsidR="000259C8" w:rsidRPr="000B7739">
        <w:rPr>
          <w:lang w:val="fr-CA"/>
        </w:rPr>
        <w:t>l</w:t>
      </w:r>
      <w:r w:rsidR="008121D8" w:rsidRPr="000B7739">
        <w:rPr>
          <w:lang w:val="fr-CA"/>
        </w:rPr>
        <w:t>e</w:t>
      </w:r>
      <w:r w:rsidR="000259C8" w:rsidRPr="000B7739">
        <w:rPr>
          <w:lang w:val="fr-CA"/>
        </w:rPr>
        <w:t xml:space="preserve"> concernant et concernant les particuliers </w:t>
      </w:r>
      <w:r w:rsidR="00081BF6" w:rsidRPr="000B7739">
        <w:rPr>
          <w:lang w:val="fr-CA"/>
        </w:rPr>
        <w:t xml:space="preserve">qui </w:t>
      </w:r>
      <w:r w:rsidR="00F07619" w:rsidRPr="000B7739">
        <w:rPr>
          <w:lang w:val="fr-CA"/>
        </w:rPr>
        <w:t xml:space="preserve">lui sont </w:t>
      </w:r>
      <w:r w:rsidR="00081BF6" w:rsidRPr="000B7739">
        <w:rPr>
          <w:lang w:val="fr-CA"/>
        </w:rPr>
        <w:t>lié</w:t>
      </w:r>
      <w:r w:rsidR="00F07619" w:rsidRPr="000B7739">
        <w:rPr>
          <w:lang w:val="fr-CA"/>
        </w:rPr>
        <w:t>s</w:t>
      </w:r>
      <w:r w:rsidR="00081BF6" w:rsidRPr="000B7739">
        <w:rPr>
          <w:lang w:val="fr-CA"/>
        </w:rPr>
        <w:t xml:space="preserve"> ainsi que des renseignement</w:t>
      </w:r>
      <w:r w:rsidR="008121D8" w:rsidRPr="000B7739">
        <w:rPr>
          <w:lang w:val="fr-CA"/>
        </w:rPr>
        <w:t>s</w:t>
      </w:r>
      <w:r w:rsidR="00081BF6" w:rsidRPr="000B7739">
        <w:rPr>
          <w:lang w:val="fr-CA"/>
        </w:rPr>
        <w:t xml:space="preserve"> sur leur solvabilité </w:t>
      </w:r>
      <w:r w:rsidRPr="000B7739">
        <w:rPr>
          <w:lang w:val="fr-CA"/>
        </w:rPr>
        <w:t>(y</w:t>
      </w:r>
      <w:r w:rsidR="00AC4107" w:rsidRPr="000B7739">
        <w:rPr>
          <w:lang w:val="fr-CA"/>
        </w:rPr>
        <w:t xml:space="preserve"> </w:t>
      </w:r>
      <w:r w:rsidRPr="000B7739">
        <w:rPr>
          <w:lang w:val="fr-CA"/>
        </w:rPr>
        <w:t xml:space="preserve">compris les administrateurs, les dirigeants, les actionnaires et les particuliers agissant pour </w:t>
      </w:r>
      <w:r w:rsidR="000259C8" w:rsidRPr="000B7739">
        <w:rPr>
          <w:lang w:val="fr-CA"/>
        </w:rPr>
        <w:t>son</w:t>
      </w:r>
      <w:r w:rsidRPr="000B7739">
        <w:rPr>
          <w:lang w:val="fr-CA"/>
        </w:rPr>
        <w:t xml:space="preserve"> compte) peuvent être recueillis</w:t>
      </w:r>
      <w:r w:rsidR="000259C8" w:rsidRPr="000B7739">
        <w:rPr>
          <w:lang w:val="fr-CA"/>
        </w:rPr>
        <w:t>, demandés, mis à jour</w:t>
      </w:r>
      <w:r w:rsidRPr="000B7739">
        <w:rPr>
          <w:lang w:val="fr-CA"/>
        </w:rPr>
        <w:t xml:space="preserve"> ou utilisés à quelque moment que ce soit relativement (i)</w:t>
      </w:r>
      <w:r w:rsidR="00AC4107" w:rsidRPr="000B7739">
        <w:rPr>
          <w:lang w:val="fr-CA"/>
        </w:rPr>
        <w:t xml:space="preserve"> </w:t>
      </w:r>
      <w:r w:rsidRPr="000B7739">
        <w:rPr>
          <w:lang w:val="fr-CA"/>
        </w:rPr>
        <w:t>à</w:t>
      </w:r>
      <w:r w:rsidR="00AC4107" w:rsidRPr="000B7739">
        <w:rPr>
          <w:lang w:val="fr-CA"/>
        </w:rPr>
        <w:t xml:space="preserve"> </w:t>
      </w:r>
      <w:r w:rsidRPr="000B7739">
        <w:rPr>
          <w:lang w:val="fr-CA"/>
        </w:rPr>
        <w:t>l</w:t>
      </w:r>
      <w:r w:rsidR="00564B0C" w:rsidRPr="000B7739">
        <w:rPr>
          <w:lang w:val="fr-CA"/>
        </w:rPr>
        <w:t>’</w:t>
      </w:r>
      <w:r w:rsidRPr="000B7739">
        <w:rPr>
          <w:lang w:val="fr-CA"/>
        </w:rPr>
        <w:t xml:space="preserve">évaluation </w:t>
      </w:r>
      <w:r w:rsidR="000259C8" w:rsidRPr="000B7739">
        <w:rPr>
          <w:lang w:val="fr-CA"/>
        </w:rPr>
        <w:t>initiale et continue</w:t>
      </w:r>
      <w:r w:rsidR="00081BF6" w:rsidRPr="000B7739">
        <w:rPr>
          <w:lang w:val="fr-CA"/>
        </w:rPr>
        <w:t xml:space="preserve"> du dossier de solvabilité</w:t>
      </w:r>
      <w:r w:rsidRPr="000B7739">
        <w:rPr>
          <w:lang w:val="fr-CA"/>
        </w:rPr>
        <w:t>, (ii)</w:t>
      </w:r>
      <w:r w:rsidR="00AC4107" w:rsidRPr="000B7739">
        <w:rPr>
          <w:lang w:val="fr-CA"/>
        </w:rPr>
        <w:t xml:space="preserve"> </w:t>
      </w:r>
      <w:r w:rsidRPr="000B7739">
        <w:rPr>
          <w:lang w:val="fr-CA"/>
        </w:rPr>
        <w:t>au</w:t>
      </w:r>
      <w:r w:rsidR="00AC4107" w:rsidRPr="000B7739">
        <w:rPr>
          <w:lang w:val="fr-CA"/>
        </w:rPr>
        <w:t xml:space="preserve"> </w:t>
      </w:r>
      <w:r w:rsidRPr="000B7739">
        <w:rPr>
          <w:lang w:val="fr-CA"/>
        </w:rPr>
        <w:t>financement des Facilités de crédit par des investisseurs ou des participants ou à la cession ou à la vente des</w:t>
      </w:r>
      <w:r w:rsidR="009C2A56" w:rsidRPr="000B7739">
        <w:rPr>
          <w:lang w:val="fr-CA"/>
        </w:rPr>
        <w:t> </w:t>
      </w:r>
      <w:r w:rsidRPr="000B7739">
        <w:rPr>
          <w:lang w:val="fr-CA"/>
        </w:rPr>
        <w:t>Facilités de crédit par la Banque</w:t>
      </w:r>
      <w:r w:rsidR="000259C8" w:rsidRPr="000B7739">
        <w:rPr>
          <w:lang w:val="fr-CA"/>
        </w:rPr>
        <w:t>,</w:t>
      </w:r>
      <w:r w:rsidRPr="000B7739">
        <w:rPr>
          <w:lang w:val="fr-CA"/>
        </w:rPr>
        <w:t xml:space="preserve"> (iii)</w:t>
      </w:r>
      <w:r w:rsidR="00AC4107" w:rsidRPr="000B7739">
        <w:rPr>
          <w:lang w:val="fr-CA"/>
        </w:rPr>
        <w:t xml:space="preserve"> </w:t>
      </w:r>
      <w:r w:rsidRPr="000B7739">
        <w:rPr>
          <w:lang w:val="fr-CA"/>
        </w:rPr>
        <w:t>à</w:t>
      </w:r>
      <w:r w:rsidR="00AC4107" w:rsidRPr="000B7739">
        <w:rPr>
          <w:lang w:val="fr-CA"/>
        </w:rPr>
        <w:t xml:space="preserve"> </w:t>
      </w:r>
      <w:r w:rsidRPr="000B7739">
        <w:rPr>
          <w:lang w:val="fr-CA"/>
        </w:rPr>
        <w:t>l</w:t>
      </w:r>
      <w:r w:rsidR="00564B0C" w:rsidRPr="000B7739">
        <w:rPr>
          <w:lang w:val="fr-CA"/>
        </w:rPr>
        <w:t>’</w:t>
      </w:r>
      <w:r w:rsidRPr="000B7739">
        <w:rPr>
          <w:lang w:val="fr-CA"/>
        </w:rPr>
        <w:t xml:space="preserve">exercice de recours dont la Banque dispose aux termes des Facilités de crédit, </w:t>
      </w:r>
      <w:r w:rsidR="00D552C0" w:rsidRPr="000B7739">
        <w:rPr>
          <w:lang w:val="fr-CA"/>
        </w:rPr>
        <w:t xml:space="preserve">et </w:t>
      </w:r>
      <w:r w:rsidRPr="000B7739">
        <w:rPr>
          <w:lang w:val="fr-CA"/>
        </w:rPr>
        <w:t>(iv)</w:t>
      </w:r>
      <w:r w:rsidR="00AC4107" w:rsidRPr="000B7739">
        <w:rPr>
          <w:lang w:val="fr-CA"/>
        </w:rPr>
        <w:t xml:space="preserve"> </w:t>
      </w:r>
      <w:r w:rsidRPr="000B7739">
        <w:rPr>
          <w:lang w:val="fr-CA"/>
        </w:rPr>
        <w:t>à</w:t>
      </w:r>
      <w:r w:rsidR="00AC4107" w:rsidRPr="000B7739">
        <w:rPr>
          <w:lang w:val="fr-CA"/>
        </w:rPr>
        <w:t xml:space="preserve"> </w:t>
      </w:r>
      <w:r w:rsidR="000259C8" w:rsidRPr="000B7739">
        <w:rPr>
          <w:lang w:val="fr-CA"/>
        </w:rPr>
        <w:t xml:space="preserve">des fins de </w:t>
      </w:r>
      <w:r w:rsidRPr="000B7739">
        <w:rPr>
          <w:lang w:val="fr-CA"/>
        </w:rPr>
        <w:t>conformité et de surveillance des risques</w:t>
      </w:r>
      <w:r w:rsidR="000259C8" w:rsidRPr="000B7739">
        <w:rPr>
          <w:lang w:val="fr-CA"/>
        </w:rPr>
        <w:t>,</w:t>
      </w:r>
      <w:r w:rsidRPr="000B7739">
        <w:rPr>
          <w:lang w:val="fr-CA"/>
        </w:rPr>
        <w:t xml:space="preserve"> </w:t>
      </w:r>
      <w:r w:rsidR="00581BCD" w:rsidRPr="000B7739">
        <w:rPr>
          <w:lang w:val="fr-CA"/>
        </w:rPr>
        <w:t xml:space="preserve">et </w:t>
      </w:r>
      <w:r w:rsidR="008121D8" w:rsidRPr="000B7739">
        <w:rPr>
          <w:lang w:val="fr-CA"/>
        </w:rPr>
        <w:t xml:space="preserve">il </w:t>
      </w:r>
      <w:r w:rsidR="00581BCD" w:rsidRPr="000B7739">
        <w:rPr>
          <w:lang w:val="fr-CA"/>
        </w:rPr>
        <w:t>y consent</w:t>
      </w:r>
      <w:r w:rsidR="00D552C0" w:rsidRPr="000B7739">
        <w:rPr>
          <w:lang w:val="fr-CA"/>
        </w:rPr>
        <w:t>.</w:t>
      </w:r>
      <w:r w:rsidRPr="000B7739">
        <w:rPr>
          <w:lang w:val="fr-CA"/>
        </w:rPr>
        <w:t xml:space="preserve"> </w:t>
      </w:r>
      <w:r w:rsidR="00D552C0" w:rsidRPr="000B7739">
        <w:rPr>
          <w:lang w:val="fr-CA"/>
        </w:rPr>
        <w:t>C</w:t>
      </w:r>
      <w:r w:rsidRPr="000B7739">
        <w:rPr>
          <w:lang w:val="fr-CA"/>
        </w:rPr>
        <w:t xml:space="preserve">haque </w:t>
      </w:r>
      <w:r w:rsidR="008121D8" w:rsidRPr="000B7739">
        <w:rPr>
          <w:lang w:val="fr-CA"/>
        </w:rPr>
        <w:t>Bénéficiaire du crédit</w:t>
      </w:r>
      <w:r w:rsidR="000259C8" w:rsidRPr="000B7739">
        <w:rPr>
          <w:lang w:val="fr-CA"/>
        </w:rPr>
        <w:t xml:space="preserve"> </w:t>
      </w:r>
      <w:r w:rsidRPr="000B7739">
        <w:rPr>
          <w:lang w:val="fr-CA"/>
        </w:rPr>
        <w:t>consent à ce que de tel</w:t>
      </w:r>
      <w:r w:rsidR="000259C8" w:rsidRPr="000B7739">
        <w:rPr>
          <w:lang w:val="fr-CA"/>
        </w:rPr>
        <w:t>le</w:t>
      </w:r>
      <w:r w:rsidRPr="000B7739">
        <w:rPr>
          <w:lang w:val="fr-CA"/>
        </w:rPr>
        <w:t>s</w:t>
      </w:r>
      <w:r w:rsidR="000259C8" w:rsidRPr="000B7739">
        <w:rPr>
          <w:lang w:val="fr-CA"/>
        </w:rPr>
        <w:t xml:space="preserve"> demandes de</w:t>
      </w:r>
      <w:r w:rsidRPr="000B7739">
        <w:rPr>
          <w:lang w:val="fr-CA"/>
        </w:rPr>
        <w:t xml:space="preserve"> renseignements soient </w:t>
      </w:r>
      <w:r w:rsidR="00581BCD" w:rsidRPr="000B7739">
        <w:rPr>
          <w:lang w:val="fr-CA"/>
        </w:rPr>
        <w:t>faites</w:t>
      </w:r>
      <w:r w:rsidRPr="000B7739">
        <w:rPr>
          <w:lang w:val="fr-CA"/>
        </w:rPr>
        <w:t xml:space="preserve"> par </w:t>
      </w:r>
      <w:r w:rsidR="00581BCD" w:rsidRPr="000B7739">
        <w:rPr>
          <w:lang w:val="fr-CA"/>
        </w:rPr>
        <w:t>la Banque ou pour son compte</w:t>
      </w:r>
      <w:r w:rsidR="00D552C0" w:rsidRPr="000B7739">
        <w:rPr>
          <w:lang w:val="fr-CA"/>
        </w:rPr>
        <w:t>, confirme que le consentement des particuliers qui lui sont liés a</w:t>
      </w:r>
      <w:r w:rsidR="009C2A56" w:rsidRPr="000B7739">
        <w:rPr>
          <w:lang w:val="fr-CA"/>
        </w:rPr>
        <w:t> </w:t>
      </w:r>
      <w:r w:rsidR="00D552C0" w:rsidRPr="000B7739">
        <w:rPr>
          <w:lang w:val="fr-CA"/>
        </w:rPr>
        <w:t>été</w:t>
      </w:r>
      <w:r w:rsidR="009C2A56" w:rsidRPr="000B7739">
        <w:rPr>
          <w:lang w:val="fr-CA"/>
        </w:rPr>
        <w:t> </w:t>
      </w:r>
      <w:r w:rsidR="00D552C0" w:rsidRPr="000B7739">
        <w:rPr>
          <w:lang w:val="fr-CA"/>
        </w:rPr>
        <w:t>fourni, s</w:t>
      </w:r>
      <w:r w:rsidR="00564B0C" w:rsidRPr="000B7739">
        <w:rPr>
          <w:lang w:val="fr-CA"/>
        </w:rPr>
        <w:t>’</w:t>
      </w:r>
      <w:r w:rsidR="00D552C0" w:rsidRPr="000B7739">
        <w:rPr>
          <w:lang w:val="fr-CA"/>
        </w:rPr>
        <w:t>il y a lieu, relativement à la collecte, à l</w:t>
      </w:r>
      <w:r w:rsidR="00564B0C" w:rsidRPr="000B7739">
        <w:rPr>
          <w:lang w:val="fr-CA"/>
        </w:rPr>
        <w:t>’</w:t>
      </w:r>
      <w:r w:rsidR="00D552C0" w:rsidRPr="000B7739">
        <w:rPr>
          <w:lang w:val="fr-CA"/>
        </w:rPr>
        <w:t>utilisation et à la communication de tels renseignements</w:t>
      </w:r>
      <w:r w:rsidR="00581BCD" w:rsidRPr="000B7739">
        <w:rPr>
          <w:lang w:val="fr-CA"/>
        </w:rPr>
        <w:t xml:space="preserve"> et</w:t>
      </w:r>
      <w:r w:rsidR="00D552C0" w:rsidRPr="000B7739">
        <w:rPr>
          <w:lang w:val="fr-CA"/>
        </w:rPr>
        <w:t xml:space="preserve"> consent</w:t>
      </w:r>
      <w:r w:rsidRPr="000B7739">
        <w:rPr>
          <w:lang w:val="fr-CA"/>
        </w:rPr>
        <w:t>, sans restriction et sans autre avis ou consentement de sa part, à</w:t>
      </w:r>
      <w:r w:rsidR="00C063F5" w:rsidRPr="000B7739">
        <w:rPr>
          <w:lang w:val="fr-CA"/>
        </w:rPr>
        <w:t> </w:t>
      </w:r>
      <w:r w:rsidR="00581BCD" w:rsidRPr="000B7739">
        <w:rPr>
          <w:lang w:val="fr-CA"/>
        </w:rPr>
        <w:t>ce</w:t>
      </w:r>
      <w:r w:rsidR="00C063F5" w:rsidRPr="000B7739">
        <w:rPr>
          <w:lang w:val="fr-CA"/>
        </w:rPr>
        <w:t> </w:t>
      </w:r>
      <w:r w:rsidR="00581BCD" w:rsidRPr="000B7739">
        <w:rPr>
          <w:lang w:val="fr-CA"/>
        </w:rPr>
        <w:t>que</w:t>
      </w:r>
      <w:r w:rsidR="00C063F5" w:rsidRPr="000B7739">
        <w:rPr>
          <w:lang w:val="fr-CA"/>
        </w:rPr>
        <w:t> </w:t>
      </w:r>
      <w:r w:rsidRPr="000B7739">
        <w:rPr>
          <w:lang w:val="fr-CA"/>
        </w:rPr>
        <w:t>ces</w:t>
      </w:r>
      <w:r w:rsidR="00C063F5" w:rsidRPr="000B7739">
        <w:rPr>
          <w:lang w:val="fr-CA"/>
        </w:rPr>
        <w:t> </w:t>
      </w:r>
      <w:r w:rsidRPr="000B7739">
        <w:rPr>
          <w:lang w:val="fr-CA"/>
        </w:rPr>
        <w:t>renseignements</w:t>
      </w:r>
      <w:r w:rsidR="00581BCD" w:rsidRPr="000B7739">
        <w:rPr>
          <w:lang w:val="fr-CA"/>
        </w:rPr>
        <w:t xml:space="preserve"> soient communiqués</w:t>
      </w:r>
      <w:r w:rsidRPr="000B7739">
        <w:rPr>
          <w:lang w:val="fr-CA"/>
        </w:rPr>
        <w:t xml:space="preserve"> </w:t>
      </w:r>
      <w:r w:rsidR="00D36A00" w:rsidRPr="000B7739">
        <w:rPr>
          <w:lang w:val="fr-CA"/>
        </w:rPr>
        <w:t xml:space="preserve">aux fournisseurs de services, </w:t>
      </w:r>
      <w:r w:rsidRPr="000B7739">
        <w:rPr>
          <w:lang w:val="fr-CA"/>
        </w:rPr>
        <w:t>aux investisseurs, aux participants, aux cessionnaires ou aux acheteurs</w:t>
      </w:r>
      <w:r w:rsidR="00581BCD" w:rsidRPr="000B7739">
        <w:rPr>
          <w:lang w:val="fr-CA"/>
        </w:rPr>
        <w:t xml:space="preserve"> éventuels</w:t>
      </w:r>
      <w:r w:rsidRPr="000B7739">
        <w:rPr>
          <w:lang w:val="fr-CA"/>
        </w:rPr>
        <w:t xml:space="preserve"> des Facilités de crédit</w:t>
      </w:r>
      <w:r w:rsidR="00581BCD" w:rsidRPr="000B7739">
        <w:rPr>
          <w:lang w:val="fr-CA"/>
        </w:rPr>
        <w:t xml:space="preserve"> ou d</w:t>
      </w:r>
      <w:r w:rsidR="00564B0C" w:rsidRPr="000B7739">
        <w:rPr>
          <w:lang w:val="fr-CA"/>
        </w:rPr>
        <w:t>’</w:t>
      </w:r>
      <w:r w:rsidR="00581BCD" w:rsidRPr="000B7739">
        <w:rPr>
          <w:lang w:val="fr-CA"/>
        </w:rPr>
        <w:t>une partie de celles</w:t>
      </w:r>
      <w:r w:rsidR="00581BCD" w:rsidRPr="000B7739">
        <w:rPr>
          <w:lang w:val="fr-CA"/>
        </w:rPr>
        <w:noBreakHyphen/>
        <w:t>ci</w:t>
      </w:r>
      <w:r w:rsidR="00D36A00" w:rsidRPr="000B7739">
        <w:rPr>
          <w:lang w:val="fr-CA"/>
        </w:rPr>
        <w:t>,</w:t>
      </w:r>
      <w:r w:rsidRPr="000B7739">
        <w:rPr>
          <w:lang w:val="fr-CA"/>
        </w:rPr>
        <w:t xml:space="preserve"> </w:t>
      </w:r>
      <w:r w:rsidR="00D36A00" w:rsidRPr="000B7739">
        <w:rPr>
          <w:lang w:val="fr-CA"/>
        </w:rPr>
        <w:t>à des sociétés affiliées ou des fournisseurs de la Banque, ou à tout autre organisme de</w:t>
      </w:r>
      <w:r w:rsidR="00C063F5" w:rsidRPr="000B7739">
        <w:rPr>
          <w:lang w:val="fr-CA"/>
        </w:rPr>
        <w:t> </w:t>
      </w:r>
      <w:r w:rsidR="00D36A00" w:rsidRPr="000B7739">
        <w:rPr>
          <w:lang w:val="fr-CA"/>
        </w:rPr>
        <w:t>réglementation, examinateur, surveillant, vérificateur ou toute autre personne exerçant une fonction</w:t>
      </w:r>
      <w:r w:rsidR="00952856" w:rsidRPr="000B7739">
        <w:rPr>
          <w:lang w:val="fr-CA"/>
        </w:rPr>
        <w:t> </w:t>
      </w:r>
      <w:r w:rsidR="00D36A00" w:rsidRPr="000B7739">
        <w:rPr>
          <w:lang w:val="fr-CA"/>
        </w:rPr>
        <w:t>similaire.</w:t>
      </w:r>
    </w:p>
    <w:p w14:paraId="2D25EF60" w14:textId="34A88E94" w:rsidR="008A5C75" w:rsidRPr="00B63BD5" w:rsidRDefault="008A5C75" w:rsidP="00511093">
      <w:pPr>
        <w:pStyle w:val="Heading4"/>
        <w:keepNext w:val="0"/>
        <w:widowControl w:val="0"/>
        <w:ind w:left="357"/>
        <w:jc w:val="both"/>
        <w:rPr>
          <w:b/>
          <w:color w:val="00B0F0"/>
        </w:rPr>
      </w:pPr>
      <w:r w:rsidRPr="00B63BD5">
        <w:rPr>
          <w:b/>
          <w:color w:val="00B0F0"/>
          <w:highlight w:val="yellow"/>
        </w:rPr>
        <w:t>[</w:t>
      </w:r>
      <w:r w:rsidR="00EC3CB5" w:rsidRPr="00B63BD5">
        <w:rPr>
          <w:b/>
          <w:color w:val="00B0F0"/>
          <w:highlight w:val="yellow"/>
        </w:rPr>
        <w:t>N.B. :</w:t>
      </w:r>
      <w:r w:rsidRPr="00B63BD5">
        <w:rPr>
          <w:b/>
          <w:color w:val="00B0F0"/>
          <w:highlight w:val="yellow"/>
        </w:rPr>
        <w:t xml:space="preserve"> </w:t>
      </w:r>
      <w:r w:rsidR="00D80FF3" w:rsidRPr="00B63BD5">
        <w:rPr>
          <w:b/>
          <w:color w:val="00B0F0"/>
          <w:highlight w:val="yellow"/>
        </w:rPr>
        <w:t xml:space="preserve">Ne pas modifier la </w:t>
      </w:r>
      <w:r w:rsidR="00081BF6" w:rsidRPr="00B63BD5">
        <w:rPr>
          <w:b/>
          <w:color w:val="00B0F0"/>
          <w:highlight w:val="yellow"/>
        </w:rPr>
        <w:t xml:space="preserve">substance </w:t>
      </w:r>
      <w:r w:rsidR="00D80FF3" w:rsidRPr="00B63BD5">
        <w:rPr>
          <w:b/>
          <w:color w:val="00B0F0"/>
          <w:highlight w:val="yellow"/>
        </w:rPr>
        <w:t xml:space="preserve">de la disposition suivante sans le consentement </w:t>
      </w:r>
      <w:r w:rsidR="00F67453" w:rsidRPr="00B63BD5">
        <w:rPr>
          <w:b/>
          <w:color w:val="00B0F0"/>
          <w:highlight w:val="yellow"/>
        </w:rPr>
        <w:t xml:space="preserve">écrit </w:t>
      </w:r>
      <w:r w:rsidR="00D80FF3" w:rsidRPr="00B63BD5">
        <w:rPr>
          <w:b/>
          <w:color w:val="00B0F0"/>
          <w:highlight w:val="yellow"/>
        </w:rPr>
        <w:t xml:space="preserve">préalable </w:t>
      </w:r>
      <w:r w:rsidR="00B026FA" w:rsidRPr="00B63BD5">
        <w:rPr>
          <w:b/>
          <w:color w:val="00B0F0"/>
          <w:highlight w:val="yellow"/>
        </w:rPr>
        <w:t>des services juridiques</w:t>
      </w:r>
      <w:r w:rsidR="00D80FF3" w:rsidRPr="00B63BD5">
        <w:rPr>
          <w:b/>
          <w:color w:val="00B0F0"/>
          <w:highlight w:val="yellow"/>
        </w:rPr>
        <w:t xml:space="preserve"> de la Banque.</w:t>
      </w:r>
      <w:r w:rsidRPr="00B63BD5">
        <w:rPr>
          <w:b/>
          <w:color w:val="00B0F0"/>
          <w:highlight w:val="yellow"/>
        </w:rPr>
        <w:t>]</w:t>
      </w:r>
    </w:p>
    <w:p w14:paraId="235CF005" w14:textId="25C10FD7" w:rsidR="008A5C75" w:rsidRPr="00B63BD5" w:rsidRDefault="00D80FF3" w:rsidP="000B7739">
      <w:pPr>
        <w:pStyle w:val="04LOLglNew3"/>
        <w:rPr>
          <w:lang w:val="fr-CA"/>
        </w:rPr>
      </w:pPr>
      <w:r w:rsidRPr="00B63BD5">
        <w:rPr>
          <w:lang w:val="fr-CA"/>
        </w:rPr>
        <w:t xml:space="preserve">La Banque peut </w:t>
      </w:r>
      <w:r w:rsidR="00581BCD" w:rsidRPr="00B63BD5">
        <w:rPr>
          <w:lang w:val="fr-CA"/>
        </w:rPr>
        <w:t>recueillir</w:t>
      </w:r>
      <w:r w:rsidRPr="00B63BD5">
        <w:rPr>
          <w:lang w:val="fr-CA"/>
        </w:rPr>
        <w:t>, utiliser, transférer et communiquer des renseignements aux fins et</w:t>
      </w:r>
      <w:r w:rsidR="00C063F5" w:rsidRPr="00B63BD5">
        <w:rPr>
          <w:lang w:val="fr-CA"/>
        </w:rPr>
        <w:t> </w:t>
      </w:r>
      <w:r w:rsidR="00581BCD" w:rsidRPr="00B63BD5">
        <w:rPr>
          <w:lang w:val="fr-CA"/>
        </w:rPr>
        <w:t>aux</w:t>
      </w:r>
      <w:r w:rsidR="00C063F5" w:rsidRPr="00B63BD5">
        <w:rPr>
          <w:lang w:val="fr-CA"/>
        </w:rPr>
        <w:t> </w:t>
      </w:r>
      <w:r w:rsidR="00581BCD" w:rsidRPr="00B63BD5">
        <w:rPr>
          <w:lang w:val="fr-CA"/>
        </w:rPr>
        <w:t>personnes suivantes</w:t>
      </w:r>
      <w:r w:rsidR="00AC4107" w:rsidRPr="00B63BD5">
        <w:rPr>
          <w:lang w:val="fr-CA"/>
        </w:rPr>
        <w:t xml:space="preserve"> </w:t>
      </w:r>
      <w:r w:rsidRPr="00B63BD5">
        <w:rPr>
          <w:lang w:val="fr-CA"/>
        </w:rPr>
        <w:t xml:space="preserve">: </w:t>
      </w:r>
    </w:p>
    <w:p w14:paraId="3F70C7DC" w14:textId="5506B547" w:rsidR="008A5C75" w:rsidRPr="00B63BD5" w:rsidRDefault="00D80FF3" w:rsidP="00404E07">
      <w:pPr>
        <w:pStyle w:val="04LOLglNew4"/>
        <w:rPr>
          <w:lang w:val="fr-CA"/>
        </w:rPr>
      </w:pPr>
      <w:r w:rsidRPr="00B63BD5">
        <w:rPr>
          <w:lang w:val="fr-CA"/>
        </w:rPr>
        <w:t xml:space="preserve">fournir </w:t>
      </w:r>
      <w:r w:rsidR="00AD7C0C" w:rsidRPr="00B63BD5">
        <w:rPr>
          <w:lang w:val="fr-CA"/>
        </w:rPr>
        <w:t>des Facilités de crédit (y compris l</w:t>
      </w:r>
      <w:r w:rsidR="00564B0C" w:rsidRPr="00B63BD5">
        <w:rPr>
          <w:lang w:val="fr-CA"/>
        </w:rPr>
        <w:t>’</w:t>
      </w:r>
      <w:r w:rsidR="00AD7C0C" w:rsidRPr="00B63BD5">
        <w:rPr>
          <w:lang w:val="fr-CA"/>
        </w:rPr>
        <w:t>évaluation, la surveillance et l</w:t>
      </w:r>
      <w:r w:rsidR="00564B0C" w:rsidRPr="00B63BD5">
        <w:rPr>
          <w:lang w:val="fr-CA"/>
        </w:rPr>
        <w:t>’</w:t>
      </w:r>
      <w:r w:rsidR="00AD7C0C" w:rsidRPr="00B63BD5">
        <w:rPr>
          <w:lang w:val="fr-CA"/>
        </w:rPr>
        <w:t xml:space="preserve">examen de la disponibilité des Facilités de crédit) et </w:t>
      </w:r>
      <w:r w:rsidRPr="00B63BD5">
        <w:rPr>
          <w:lang w:val="fr-CA"/>
        </w:rPr>
        <w:t xml:space="preserve">des renseignements sur </w:t>
      </w:r>
      <w:r w:rsidR="00581BCD" w:rsidRPr="00B63BD5">
        <w:rPr>
          <w:lang w:val="fr-CA"/>
        </w:rPr>
        <w:t>d</w:t>
      </w:r>
      <w:r w:rsidR="00564B0C" w:rsidRPr="00B63BD5">
        <w:rPr>
          <w:lang w:val="fr-CA"/>
        </w:rPr>
        <w:t>’</w:t>
      </w:r>
      <w:r w:rsidRPr="00B63BD5">
        <w:rPr>
          <w:lang w:val="fr-CA"/>
        </w:rPr>
        <w:t>autres services;</w:t>
      </w:r>
    </w:p>
    <w:p w14:paraId="64B006CE" w14:textId="3676FA9A" w:rsidR="008A5C75" w:rsidRPr="00B63BD5" w:rsidRDefault="00D80FF3" w:rsidP="00404E07">
      <w:pPr>
        <w:pStyle w:val="04LOLglNew4"/>
        <w:rPr>
          <w:lang w:val="fr-CA"/>
        </w:rPr>
      </w:pPr>
      <w:r w:rsidRPr="00B63BD5">
        <w:rPr>
          <w:lang w:val="fr-CA"/>
        </w:rPr>
        <w:t>prendre l</w:t>
      </w:r>
      <w:r w:rsidR="00564B0C" w:rsidRPr="00B63BD5">
        <w:rPr>
          <w:lang w:val="fr-CA"/>
        </w:rPr>
        <w:t>’</w:t>
      </w:r>
      <w:r w:rsidRPr="00B63BD5">
        <w:rPr>
          <w:lang w:val="fr-CA"/>
        </w:rPr>
        <w:t>une ou l</w:t>
      </w:r>
      <w:r w:rsidR="00564B0C" w:rsidRPr="00B63BD5">
        <w:rPr>
          <w:lang w:val="fr-CA"/>
        </w:rPr>
        <w:t>’</w:t>
      </w:r>
      <w:r w:rsidRPr="00B63BD5">
        <w:rPr>
          <w:lang w:val="fr-CA"/>
        </w:rPr>
        <w:t>autre des Mesures de conformité dont il est question dans la présente Annexe</w:t>
      </w:r>
      <w:r w:rsidR="00AC4107" w:rsidRPr="00B63BD5">
        <w:rPr>
          <w:lang w:val="fr-CA"/>
        </w:rPr>
        <w:t xml:space="preserve"> </w:t>
      </w:r>
      <w:r w:rsidRPr="00B63BD5">
        <w:rPr>
          <w:lang w:val="fr-CA"/>
        </w:rPr>
        <w:t>A (y</w:t>
      </w:r>
      <w:r w:rsidR="00AC4107" w:rsidRPr="00B63BD5">
        <w:rPr>
          <w:lang w:val="fr-CA"/>
        </w:rPr>
        <w:t xml:space="preserve"> </w:t>
      </w:r>
      <w:r w:rsidRPr="00B63BD5">
        <w:rPr>
          <w:lang w:val="fr-CA"/>
        </w:rPr>
        <w:t xml:space="preserve">compris </w:t>
      </w:r>
      <w:r w:rsidR="00581BCD" w:rsidRPr="00B63BD5">
        <w:rPr>
          <w:lang w:val="fr-CA"/>
        </w:rPr>
        <w:t>d</w:t>
      </w:r>
      <w:r w:rsidRPr="00B63BD5">
        <w:rPr>
          <w:lang w:val="fr-CA"/>
        </w:rPr>
        <w:t xml:space="preserve">es mesures prises </w:t>
      </w:r>
      <w:r w:rsidR="00581BCD" w:rsidRPr="00B63BD5">
        <w:rPr>
          <w:lang w:val="fr-CA"/>
        </w:rPr>
        <w:t>afin de</w:t>
      </w:r>
      <w:r w:rsidRPr="00B63BD5">
        <w:rPr>
          <w:lang w:val="fr-CA"/>
        </w:rPr>
        <w:t xml:space="preserve"> se conformer aux lois, aux </w:t>
      </w:r>
      <w:r w:rsidR="00081BF6" w:rsidRPr="00B63BD5">
        <w:rPr>
          <w:lang w:val="fr-CA"/>
        </w:rPr>
        <w:t xml:space="preserve">directives </w:t>
      </w:r>
      <w:r w:rsidRPr="00B63BD5">
        <w:rPr>
          <w:lang w:val="fr-CA"/>
        </w:rPr>
        <w:t>internationales, aux</w:t>
      </w:r>
      <w:r w:rsidR="00C063F5" w:rsidRPr="00B63BD5">
        <w:rPr>
          <w:lang w:val="fr-CA"/>
        </w:rPr>
        <w:t> </w:t>
      </w:r>
      <w:r w:rsidRPr="00B63BD5">
        <w:rPr>
          <w:lang w:val="fr-CA"/>
        </w:rPr>
        <w:t>politiques ou</w:t>
      </w:r>
      <w:r w:rsidR="00581BCD" w:rsidRPr="00B63BD5">
        <w:rPr>
          <w:lang w:val="fr-CA"/>
        </w:rPr>
        <w:t xml:space="preserve"> aux</w:t>
      </w:r>
      <w:r w:rsidRPr="00B63BD5">
        <w:rPr>
          <w:lang w:val="fr-CA"/>
        </w:rPr>
        <w:t xml:space="preserve"> méthodes internes, </w:t>
      </w:r>
      <w:r w:rsidR="00C84CDA" w:rsidRPr="00B63BD5">
        <w:rPr>
          <w:lang w:val="fr-CA"/>
        </w:rPr>
        <w:t xml:space="preserve">ou </w:t>
      </w:r>
      <w:r w:rsidRPr="00B63BD5">
        <w:rPr>
          <w:lang w:val="fr-CA"/>
        </w:rPr>
        <w:t xml:space="preserve">aux exigences </w:t>
      </w:r>
      <w:r w:rsidR="00C84CDA" w:rsidRPr="00B63BD5">
        <w:rPr>
          <w:lang w:val="fr-CA"/>
        </w:rPr>
        <w:t xml:space="preserve">émanant </w:t>
      </w:r>
      <w:r w:rsidRPr="00B63BD5">
        <w:rPr>
          <w:lang w:val="fr-CA"/>
        </w:rPr>
        <w:t>d</w:t>
      </w:r>
      <w:r w:rsidR="00564B0C" w:rsidRPr="00B63BD5">
        <w:rPr>
          <w:lang w:val="fr-CA"/>
        </w:rPr>
        <w:t>’</w:t>
      </w:r>
      <w:r w:rsidRPr="00B63BD5">
        <w:rPr>
          <w:lang w:val="fr-CA"/>
        </w:rPr>
        <w:t>autorités ju</w:t>
      </w:r>
      <w:r w:rsidR="00581BCD" w:rsidRPr="00B63BD5">
        <w:rPr>
          <w:lang w:val="fr-CA"/>
        </w:rPr>
        <w:t>diciaires</w:t>
      </w:r>
      <w:r w:rsidR="00081BF6" w:rsidRPr="00B63BD5">
        <w:rPr>
          <w:lang w:val="fr-CA"/>
        </w:rPr>
        <w:t xml:space="preserve"> ou</w:t>
      </w:r>
      <w:r w:rsidR="00C063F5" w:rsidRPr="00B63BD5">
        <w:rPr>
          <w:lang w:val="fr-CA"/>
        </w:rPr>
        <w:t> </w:t>
      </w:r>
      <w:r w:rsidRPr="00B63BD5">
        <w:rPr>
          <w:lang w:val="fr-CA"/>
        </w:rPr>
        <w:t>administratives</w:t>
      </w:r>
      <w:r w:rsidR="00081BF6" w:rsidRPr="00B63BD5">
        <w:rPr>
          <w:lang w:val="fr-CA"/>
        </w:rPr>
        <w:t xml:space="preserve"> ou d</w:t>
      </w:r>
      <w:r w:rsidR="00564B0C" w:rsidRPr="00B63BD5">
        <w:rPr>
          <w:lang w:val="fr-CA"/>
        </w:rPr>
        <w:t>’</w:t>
      </w:r>
      <w:r w:rsidR="00081BF6" w:rsidRPr="00B63BD5">
        <w:rPr>
          <w:lang w:val="fr-CA"/>
        </w:rPr>
        <w:t xml:space="preserve">organismes </w:t>
      </w:r>
      <w:r w:rsidRPr="00B63BD5">
        <w:rPr>
          <w:lang w:val="fr-CA"/>
        </w:rPr>
        <w:t>d</w:t>
      </w:r>
      <w:r w:rsidR="00564B0C" w:rsidRPr="00B63BD5">
        <w:rPr>
          <w:lang w:val="fr-CA"/>
        </w:rPr>
        <w:t>’</w:t>
      </w:r>
      <w:r w:rsidRPr="00B63BD5">
        <w:rPr>
          <w:lang w:val="fr-CA"/>
        </w:rPr>
        <w:t xml:space="preserve">application de la loi et </w:t>
      </w:r>
      <w:r w:rsidR="00C84CDA" w:rsidRPr="00B63BD5">
        <w:rPr>
          <w:lang w:val="fr-CA"/>
        </w:rPr>
        <w:t xml:space="preserve">de </w:t>
      </w:r>
      <w:r w:rsidRPr="00B63BD5">
        <w:rPr>
          <w:lang w:val="fr-CA"/>
        </w:rPr>
        <w:t>réglementa</w:t>
      </w:r>
      <w:r w:rsidR="00C84CDA" w:rsidRPr="00B63BD5">
        <w:rPr>
          <w:lang w:val="fr-CA"/>
        </w:rPr>
        <w:t>tion</w:t>
      </w:r>
      <w:r w:rsidRPr="00B63BD5">
        <w:rPr>
          <w:lang w:val="fr-CA"/>
        </w:rPr>
        <w:t xml:space="preserve">); </w:t>
      </w:r>
    </w:p>
    <w:p w14:paraId="5001FC67" w14:textId="5CFA503C" w:rsidR="008A5C75" w:rsidRPr="00B63BD5" w:rsidRDefault="00C55806" w:rsidP="00404E07">
      <w:pPr>
        <w:pStyle w:val="04LOLglNew4"/>
        <w:rPr>
          <w:lang w:val="fr-CA"/>
        </w:rPr>
      </w:pPr>
      <w:r w:rsidRPr="00B63BD5">
        <w:rPr>
          <w:lang w:val="fr-CA"/>
        </w:rPr>
        <w:t xml:space="preserve">exercer des activités de gestion des risques liés </w:t>
      </w:r>
      <w:r w:rsidR="00581BCD" w:rsidRPr="00B63BD5">
        <w:rPr>
          <w:lang w:val="fr-CA"/>
        </w:rPr>
        <w:t>à la criminalité</w:t>
      </w:r>
      <w:r w:rsidRPr="00B63BD5">
        <w:rPr>
          <w:lang w:val="fr-CA"/>
        </w:rPr>
        <w:t xml:space="preserve"> financi</w:t>
      </w:r>
      <w:r w:rsidR="00581BCD" w:rsidRPr="00B63BD5">
        <w:rPr>
          <w:lang w:val="fr-CA"/>
        </w:rPr>
        <w:t>ère</w:t>
      </w:r>
      <w:r w:rsidRPr="00B63BD5">
        <w:rPr>
          <w:lang w:val="fr-CA"/>
        </w:rPr>
        <w:t>, y</w:t>
      </w:r>
      <w:r w:rsidR="00AC4107" w:rsidRPr="00B63BD5">
        <w:rPr>
          <w:lang w:val="fr-CA"/>
        </w:rPr>
        <w:t xml:space="preserve"> </w:t>
      </w:r>
      <w:r w:rsidRPr="00B63BD5">
        <w:rPr>
          <w:lang w:val="fr-CA"/>
        </w:rPr>
        <w:t>compris la vérification de l</w:t>
      </w:r>
      <w:r w:rsidR="00564B0C" w:rsidRPr="00B63BD5">
        <w:rPr>
          <w:lang w:val="fr-CA"/>
        </w:rPr>
        <w:t>’</w:t>
      </w:r>
      <w:r w:rsidRPr="00B63BD5">
        <w:rPr>
          <w:lang w:val="fr-CA"/>
        </w:rPr>
        <w:t>identité d</w:t>
      </w:r>
      <w:r w:rsidR="008121D8" w:rsidRPr="00B63BD5">
        <w:rPr>
          <w:lang w:val="fr-CA"/>
        </w:rPr>
        <w:t>u Bénéficiaire du crédit</w:t>
      </w:r>
      <w:r w:rsidR="00581BCD" w:rsidRPr="00B63BD5">
        <w:rPr>
          <w:lang w:val="fr-CA"/>
        </w:rPr>
        <w:t xml:space="preserve"> </w:t>
      </w:r>
      <w:r w:rsidRPr="00B63BD5">
        <w:rPr>
          <w:lang w:val="fr-CA"/>
        </w:rPr>
        <w:t>et des particuliers</w:t>
      </w:r>
      <w:r w:rsidR="00581BCD" w:rsidRPr="00B63BD5">
        <w:rPr>
          <w:lang w:val="fr-CA"/>
        </w:rPr>
        <w:t xml:space="preserve"> </w:t>
      </w:r>
      <w:r w:rsidR="00081BF6" w:rsidRPr="00B63BD5">
        <w:rPr>
          <w:lang w:val="fr-CA"/>
        </w:rPr>
        <w:t xml:space="preserve">liés </w:t>
      </w:r>
      <w:r w:rsidR="008B397C" w:rsidRPr="00B63BD5">
        <w:rPr>
          <w:lang w:val="fr-CA"/>
        </w:rPr>
        <w:t>à cel</w:t>
      </w:r>
      <w:r w:rsidR="008121D8" w:rsidRPr="00B63BD5">
        <w:rPr>
          <w:lang w:val="fr-CA"/>
        </w:rPr>
        <w:t>ui</w:t>
      </w:r>
      <w:r w:rsidR="008B397C" w:rsidRPr="00B63BD5">
        <w:rPr>
          <w:lang w:val="fr-CA"/>
        </w:rPr>
        <w:noBreakHyphen/>
        <w:t>ci</w:t>
      </w:r>
      <w:r w:rsidRPr="00B63BD5">
        <w:rPr>
          <w:lang w:val="fr-CA"/>
        </w:rPr>
        <w:t>,</w:t>
      </w:r>
      <w:r w:rsidR="00581BCD" w:rsidRPr="00B63BD5">
        <w:rPr>
          <w:lang w:val="fr-CA"/>
        </w:rPr>
        <w:t xml:space="preserve"> l</w:t>
      </w:r>
      <w:r w:rsidR="00564B0C" w:rsidRPr="00B63BD5">
        <w:rPr>
          <w:lang w:val="fr-CA"/>
        </w:rPr>
        <w:t>’</w:t>
      </w:r>
      <w:r w:rsidR="00581BCD" w:rsidRPr="00B63BD5">
        <w:rPr>
          <w:lang w:val="fr-CA"/>
        </w:rPr>
        <w:t>examen initial</w:t>
      </w:r>
      <w:r w:rsidRPr="00B63BD5">
        <w:rPr>
          <w:lang w:val="fr-CA"/>
        </w:rPr>
        <w:t xml:space="preserve">, </w:t>
      </w:r>
      <w:r w:rsidR="00581BCD" w:rsidRPr="00B63BD5">
        <w:rPr>
          <w:lang w:val="fr-CA"/>
        </w:rPr>
        <w:t>la</w:t>
      </w:r>
      <w:r w:rsidR="00C063F5" w:rsidRPr="00B63BD5">
        <w:rPr>
          <w:lang w:val="fr-CA"/>
        </w:rPr>
        <w:t> </w:t>
      </w:r>
      <w:r w:rsidRPr="00B63BD5">
        <w:rPr>
          <w:lang w:val="fr-CA"/>
        </w:rPr>
        <w:t xml:space="preserve">surveillance et </w:t>
      </w:r>
      <w:r w:rsidR="00581BCD" w:rsidRPr="00B63BD5">
        <w:rPr>
          <w:lang w:val="fr-CA"/>
        </w:rPr>
        <w:t>l</w:t>
      </w:r>
      <w:r w:rsidR="00564B0C" w:rsidRPr="00B63BD5">
        <w:rPr>
          <w:lang w:val="fr-CA"/>
        </w:rPr>
        <w:t>’</w:t>
      </w:r>
      <w:r w:rsidRPr="00B63BD5">
        <w:rPr>
          <w:lang w:val="fr-CA"/>
        </w:rPr>
        <w:t>enquête</w:t>
      </w:r>
      <w:r w:rsidR="0084683C" w:rsidRPr="00B63BD5">
        <w:rPr>
          <w:lang w:val="fr-CA"/>
        </w:rPr>
        <w:t>,</w:t>
      </w:r>
      <w:r w:rsidRPr="00B63BD5">
        <w:rPr>
          <w:lang w:val="fr-CA"/>
        </w:rPr>
        <w:t xml:space="preserve"> et partager des renseignements au sein du Groupe HSBC, y</w:t>
      </w:r>
      <w:r w:rsidR="00AC4107" w:rsidRPr="00B63BD5">
        <w:rPr>
          <w:lang w:val="fr-CA"/>
        </w:rPr>
        <w:t xml:space="preserve"> </w:t>
      </w:r>
      <w:r w:rsidRPr="00B63BD5">
        <w:rPr>
          <w:lang w:val="fr-CA"/>
        </w:rPr>
        <w:t>compris dans d</w:t>
      </w:r>
      <w:r w:rsidR="00564B0C" w:rsidRPr="00B63BD5">
        <w:rPr>
          <w:lang w:val="fr-CA"/>
        </w:rPr>
        <w:t>’</w:t>
      </w:r>
      <w:r w:rsidRPr="00B63BD5">
        <w:rPr>
          <w:lang w:val="fr-CA"/>
        </w:rPr>
        <w:t xml:space="preserve">autres territoires, à ces fins; </w:t>
      </w:r>
    </w:p>
    <w:p w14:paraId="773CE703" w14:textId="2F443BAA" w:rsidR="00E1067E" w:rsidRPr="00B63BD5" w:rsidRDefault="002E1D11" w:rsidP="00404E07">
      <w:pPr>
        <w:pStyle w:val="04LOLglNew4"/>
        <w:rPr>
          <w:lang w:val="fr-CA"/>
        </w:rPr>
      </w:pPr>
      <w:r w:rsidRPr="00B63BD5">
        <w:rPr>
          <w:lang w:val="fr-CA"/>
        </w:rPr>
        <w:t xml:space="preserve">à leur demande ou selon leurs exigences, </w:t>
      </w:r>
      <w:r w:rsidR="009B012D" w:rsidRPr="00B63BD5">
        <w:rPr>
          <w:lang w:val="fr-CA"/>
        </w:rPr>
        <w:t xml:space="preserve">communiquer des renseignements à </w:t>
      </w:r>
      <w:r w:rsidR="00C55806" w:rsidRPr="00B63BD5">
        <w:rPr>
          <w:lang w:val="fr-CA"/>
        </w:rPr>
        <w:t>des organismes judiciaires, administratifs, publics ou de réglementation, ainsi qu</w:t>
      </w:r>
      <w:r w:rsidR="00564B0C" w:rsidRPr="00B63BD5">
        <w:rPr>
          <w:lang w:val="fr-CA"/>
        </w:rPr>
        <w:t>’</w:t>
      </w:r>
      <w:r w:rsidR="009B012D" w:rsidRPr="00B63BD5">
        <w:rPr>
          <w:lang w:val="fr-CA"/>
        </w:rPr>
        <w:t xml:space="preserve">à </w:t>
      </w:r>
      <w:r w:rsidR="00C55806" w:rsidRPr="00B63BD5">
        <w:rPr>
          <w:lang w:val="fr-CA"/>
        </w:rPr>
        <w:t>des gouvernements, autorités fiscales, agences du revenu</w:t>
      </w:r>
      <w:r w:rsidR="0084683C" w:rsidRPr="00B63BD5">
        <w:rPr>
          <w:lang w:val="fr-CA"/>
        </w:rPr>
        <w:t>,</w:t>
      </w:r>
      <w:r w:rsidR="00C55806" w:rsidRPr="00B63BD5">
        <w:rPr>
          <w:lang w:val="fr-CA"/>
        </w:rPr>
        <w:t xml:space="preserve"> autorités monétaires, examinateurs, surveillants, bourses de titres</w:t>
      </w:r>
      <w:r w:rsidR="0084683C" w:rsidRPr="00B63BD5">
        <w:rPr>
          <w:lang w:val="fr-CA"/>
        </w:rPr>
        <w:t>,</w:t>
      </w:r>
      <w:r w:rsidR="00C55806" w:rsidRPr="00B63BD5">
        <w:rPr>
          <w:lang w:val="fr-CA"/>
        </w:rPr>
        <w:t xml:space="preserve"> marchés à terme, tribunaux, banques centrales ou organismes d</w:t>
      </w:r>
      <w:r w:rsidR="00564B0C" w:rsidRPr="00B63BD5">
        <w:rPr>
          <w:lang w:val="fr-CA"/>
        </w:rPr>
        <w:t>’</w:t>
      </w:r>
      <w:r w:rsidR="00C55806" w:rsidRPr="00B63BD5">
        <w:rPr>
          <w:lang w:val="fr-CA"/>
        </w:rPr>
        <w:t>application de la loi ayant compétence sur l</w:t>
      </w:r>
      <w:r w:rsidR="00564B0C" w:rsidRPr="00B63BD5">
        <w:rPr>
          <w:lang w:val="fr-CA"/>
        </w:rPr>
        <w:t>’</w:t>
      </w:r>
      <w:r w:rsidR="00C55806" w:rsidRPr="00B63BD5">
        <w:rPr>
          <w:lang w:val="fr-CA"/>
        </w:rPr>
        <w:t>un ou l</w:t>
      </w:r>
      <w:r w:rsidR="00564B0C" w:rsidRPr="00B63BD5">
        <w:rPr>
          <w:lang w:val="fr-CA"/>
        </w:rPr>
        <w:t>’</w:t>
      </w:r>
      <w:r w:rsidR="00C55806" w:rsidRPr="00B63BD5">
        <w:rPr>
          <w:lang w:val="fr-CA"/>
        </w:rPr>
        <w:t xml:space="preserve">autre des membres du Groupe HSBC. </w:t>
      </w:r>
    </w:p>
    <w:p w14:paraId="767757FF" w14:textId="378D375D" w:rsidR="008A5C75" w:rsidRPr="00B63BD5" w:rsidRDefault="00C55806" w:rsidP="000B7739">
      <w:pPr>
        <w:pStyle w:val="04LOLglNew3"/>
        <w:rPr>
          <w:lang w:val="fr-CA"/>
        </w:rPr>
      </w:pPr>
      <w:r w:rsidRPr="00B63BD5">
        <w:rPr>
          <w:lang w:val="fr-CA"/>
        </w:rPr>
        <w:lastRenderedPageBreak/>
        <w:t xml:space="preserve">La Banque peut </w:t>
      </w:r>
      <w:r w:rsidR="009B012D" w:rsidRPr="00B63BD5">
        <w:rPr>
          <w:lang w:val="fr-CA"/>
        </w:rPr>
        <w:t xml:space="preserve">recueillir </w:t>
      </w:r>
      <w:r w:rsidRPr="00B63BD5">
        <w:rPr>
          <w:lang w:val="fr-CA"/>
        </w:rPr>
        <w:t xml:space="preserve">des renseignements </w:t>
      </w:r>
      <w:r w:rsidR="008B397C" w:rsidRPr="00B63BD5">
        <w:rPr>
          <w:lang w:val="fr-CA"/>
        </w:rPr>
        <w:t xml:space="preserve">auprès </w:t>
      </w:r>
      <w:r w:rsidRPr="00B63BD5">
        <w:rPr>
          <w:lang w:val="fr-CA"/>
        </w:rPr>
        <w:t>de membres du Groupe HSBC, de sous</w:t>
      </w:r>
      <w:r w:rsidRPr="00B63BD5">
        <w:rPr>
          <w:lang w:val="fr-CA"/>
        </w:rPr>
        <w:noBreakHyphen/>
        <w:t>traitants, de mandataires et de fournisseurs de service</w:t>
      </w:r>
      <w:r w:rsidR="00C84CDA" w:rsidRPr="00B63BD5">
        <w:rPr>
          <w:lang w:val="fr-CA"/>
        </w:rPr>
        <w:t>s</w:t>
      </w:r>
      <w:r w:rsidRPr="00B63BD5">
        <w:rPr>
          <w:lang w:val="fr-CA"/>
        </w:rPr>
        <w:t xml:space="preserve"> et</w:t>
      </w:r>
      <w:r w:rsidR="008B397C" w:rsidRPr="00B63BD5">
        <w:rPr>
          <w:lang w:val="fr-CA"/>
        </w:rPr>
        <w:t xml:space="preserve"> transférer et communiquer des renseignements </w:t>
      </w:r>
      <w:r w:rsidRPr="00B63BD5">
        <w:rPr>
          <w:lang w:val="fr-CA"/>
        </w:rPr>
        <w:t>à</w:t>
      </w:r>
      <w:r w:rsidR="00C063F5" w:rsidRPr="00B63BD5">
        <w:rPr>
          <w:lang w:val="fr-CA"/>
        </w:rPr>
        <w:t> </w:t>
      </w:r>
      <w:r w:rsidRPr="00B63BD5">
        <w:rPr>
          <w:lang w:val="fr-CA"/>
        </w:rPr>
        <w:t>ceux</w:t>
      </w:r>
      <w:r w:rsidRPr="00B63BD5">
        <w:rPr>
          <w:lang w:val="fr-CA"/>
        </w:rPr>
        <w:noBreakHyphen/>
        <w:t>ci</w:t>
      </w:r>
      <w:r w:rsidR="008B397C" w:rsidRPr="00B63BD5">
        <w:rPr>
          <w:lang w:val="fr-CA"/>
        </w:rPr>
        <w:t xml:space="preserve"> à ces fins au Canada et dans d</w:t>
      </w:r>
      <w:r w:rsidR="00564B0C" w:rsidRPr="00B63BD5">
        <w:rPr>
          <w:lang w:val="fr-CA"/>
        </w:rPr>
        <w:t>’</w:t>
      </w:r>
      <w:r w:rsidR="008B397C" w:rsidRPr="00B63BD5">
        <w:rPr>
          <w:lang w:val="fr-CA"/>
        </w:rPr>
        <w:t>autres territoires</w:t>
      </w:r>
      <w:r w:rsidRPr="00B63BD5">
        <w:rPr>
          <w:lang w:val="fr-CA"/>
        </w:rPr>
        <w:t xml:space="preserve">. </w:t>
      </w:r>
    </w:p>
    <w:p w14:paraId="6B5456A2" w14:textId="77777777" w:rsidR="00494A98" w:rsidRPr="00B63BD5" w:rsidRDefault="00C55806" w:rsidP="000B7739">
      <w:pPr>
        <w:pStyle w:val="04LOLglNew3"/>
        <w:rPr>
          <w:lang w:val="fr-CA"/>
        </w:rPr>
      </w:pPr>
      <w:r w:rsidRPr="00B63BD5">
        <w:rPr>
          <w:lang w:val="fr-CA"/>
        </w:rPr>
        <w:t>Avant de fournir à la Banque des r</w:t>
      </w:r>
      <w:r w:rsidR="00F07619" w:rsidRPr="00B63BD5">
        <w:rPr>
          <w:lang w:val="fr-CA"/>
        </w:rPr>
        <w:t>enseignements personnels sur un</w:t>
      </w:r>
      <w:r w:rsidRPr="00B63BD5">
        <w:rPr>
          <w:lang w:val="fr-CA"/>
        </w:rPr>
        <w:t xml:space="preserve"> </w:t>
      </w:r>
      <w:r w:rsidR="00F07619" w:rsidRPr="00B63BD5">
        <w:rPr>
          <w:lang w:val="fr-CA"/>
        </w:rPr>
        <w:t xml:space="preserve">particulier </w:t>
      </w:r>
      <w:r w:rsidR="00C84CDA" w:rsidRPr="00B63BD5">
        <w:rPr>
          <w:lang w:val="fr-CA"/>
        </w:rPr>
        <w:t xml:space="preserve">qui lui est </w:t>
      </w:r>
      <w:r w:rsidR="00F07619" w:rsidRPr="00B63BD5">
        <w:rPr>
          <w:lang w:val="fr-CA"/>
        </w:rPr>
        <w:t>lié</w:t>
      </w:r>
      <w:r w:rsidRPr="00B63BD5">
        <w:rPr>
          <w:lang w:val="fr-CA"/>
        </w:rPr>
        <w:t>, l</w:t>
      </w:r>
      <w:r w:rsidR="008121D8" w:rsidRPr="00B63BD5">
        <w:rPr>
          <w:lang w:val="fr-CA"/>
        </w:rPr>
        <w:t>e</w:t>
      </w:r>
      <w:r w:rsidR="00C063F5" w:rsidRPr="00B63BD5">
        <w:rPr>
          <w:lang w:val="fr-CA"/>
        </w:rPr>
        <w:t> </w:t>
      </w:r>
      <w:r w:rsidR="008121D8" w:rsidRPr="00B63BD5">
        <w:rPr>
          <w:lang w:val="fr-CA"/>
        </w:rPr>
        <w:t>Bénéficiaire du crédit</w:t>
      </w:r>
      <w:r w:rsidR="004E5804" w:rsidRPr="00B63BD5">
        <w:rPr>
          <w:lang w:val="fr-CA"/>
        </w:rPr>
        <w:t xml:space="preserve"> </w:t>
      </w:r>
      <w:r w:rsidR="009B012D" w:rsidRPr="00B63BD5">
        <w:rPr>
          <w:lang w:val="fr-CA"/>
        </w:rPr>
        <w:t xml:space="preserve">doit </w:t>
      </w:r>
      <w:r w:rsidRPr="00B63BD5">
        <w:rPr>
          <w:lang w:val="fr-CA"/>
        </w:rPr>
        <w:t>s</w:t>
      </w:r>
      <w:r w:rsidR="00564B0C" w:rsidRPr="00B63BD5">
        <w:rPr>
          <w:lang w:val="fr-CA"/>
        </w:rPr>
        <w:t>’</w:t>
      </w:r>
      <w:r w:rsidRPr="00B63BD5">
        <w:rPr>
          <w:lang w:val="fr-CA"/>
        </w:rPr>
        <w:t xml:space="preserve">assurer </w:t>
      </w:r>
      <w:r w:rsidR="004E5804" w:rsidRPr="00B63BD5">
        <w:rPr>
          <w:lang w:val="fr-CA"/>
        </w:rPr>
        <w:t>d</w:t>
      </w:r>
      <w:r w:rsidR="00564B0C" w:rsidRPr="00B63BD5">
        <w:rPr>
          <w:lang w:val="fr-CA"/>
        </w:rPr>
        <w:t>’</w:t>
      </w:r>
      <w:r w:rsidR="004E5804" w:rsidRPr="00B63BD5">
        <w:rPr>
          <w:lang w:val="fr-CA"/>
        </w:rPr>
        <w:t xml:space="preserve">avoir </w:t>
      </w:r>
      <w:r w:rsidRPr="00B63BD5">
        <w:rPr>
          <w:lang w:val="fr-CA"/>
        </w:rPr>
        <w:t xml:space="preserve">fourni tous les renseignements nécessaires </w:t>
      </w:r>
      <w:r w:rsidR="00F07619" w:rsidRPr="00B63BD5">
        <w:rPr>
          <w:lang w:val="fr-CA"/>
        </w:rPr>
        <w:t xml:space="preserve">au particulier </w:t>
      </w:r>
      <w:r w:rsidR="00C84CDA" w:rsidRPr="00B63BD5">
        <w:rPr>
          <w:lang w:val="fr-CA"/>
        </w:rPr>
        <w:t xml:space="preserve">en question </w:t>
      </w:r>
      <w:r w:rsidRPr="00B63BD5">
        <w:rPr>
          <w:lang w:val="fr-CA"/>
        </w:rPr>
        <w:t>et obtenu de ce</w:t>
      </w:r>
      <w:r w:rsidR="004E5804" w:rsidRPr="00B63BD5">
        <w:rPr>
          <w:lang w:val="fr-CA"/>
        </w:rPr>
        <w:t>l</w:t>
      </w:r>
      <w:r w:rsidR="00F07619" w:rsidRPr="00B63BD5">
        <w:rPr>
          <w:lang w:val="fr-CA"/>
        </w:rPr>
        <w:t>ui</w:t>
      </w:r>
      <w:r w:rsidRPr="00B63BD5">
        <w:rPr>
          <w:lang w:val="fr-CA"/>
        </w:rPr>
        <w:noBreakHyphen/>
        <w:t>ci tous les consentements nécessaires relativement à la collecte, à</w:t>
      </w:r>
      <w:r w:rsidR="00C063F5" w:rsidRPr="00B63BD5">
        <w:rPr>
          <w:lang w:val="fr-CA"/>
        </w:rPr>
        <w:t> </w:t>
      </w:r>
      <w:r w:rsidRPr="00B63BD5">
        <w:rPr>
          <w:lang w:val="fr-CA"/>
        </w:rPr>
        <w:t>l</w:t>
      </w:r>
      <w:r w:rsidR="00564B0C" w:rsidRPr="00B63BD5">
        <w:rPr>
          <w:lang w:val="fr-CA"/>
        </w:rPr>
        <w:t>’</w:t>
      </w:r>
      <w:r w:rsidRPr="00B63BD5">
        <w:rPr>
          <w:lang w:val="fr-CA"/>
        </w:rPr>
        <w:t>utilisation et à la communication de tels renseignements par la Banque.</w:t>
      </w:r>
    </w:p>
    <w:p w14:paraId="1C0815E5" w14:textId="6EFF37DD" w:rsidR="009926E7" w:rsidRPr="00B63BD5" w:rsidRDefault="00575E06" w:rsidP="00632863">
      <w:pPr>
        <w:pStyle w:val="ListNumber"/>
        <w:spacing w:after="240"/>
        <w:ind w:left="709"/>
        <w:jc w:val="both"/>
        <w:rPr>
          <w:lang w:val="fr-CA"/>
        </w:rPr>
      </w:pPr>
      <w:r w:rsidRPr="00B63BD5">
        <w:rPr>
          <w:lang w:val="fr-CA"/>
        </w:rPr>
        <w:t>D</w:t>
      </w:r>
      <w:r w:rsidR="00C55806" w:rsidRPr="00B63BD5">
        <w:rPr>
          <w:lang w:val="fr-CA"/>
        </w:rPr>
        <w:t>élais</w:t>
      </w:r>
      <w:r w:rsidRPr="00B63BD5">
        <w:rPr>
          <w:lang w:val="fr-CA"/>
        </w:rPr>
        <w:t xml:space="preserve"> de rigueur</w:t>
      </w:r>
    </w:p>
    <w:p w14:paraId="2CD73333" w14:textId="77777777" w:rsidR="00494A98" w:rsidRPr="00B63BD5" w:rsidRDefault="00C5580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Les délais</w:t>
      </w:r>
      <w:r w:rsidR="004E5804" w:rsidRPr="00B63BD5">
        <w:rPr>
          <w:lang w:val="fr-CA"/>
        </w:rPr>
        <w:t xml:space="preserve"> prévus </w:t>
      </w:r>
      <w:r w:rsidRPr="00B63BD5">
        <w:rPr>
          <w:lang w:val="fr-CA"/>
        </w:rPr>
        <w:t>dans la présente Lettre relative aux facilités</w:t>
      </w:r>
      <w:r w:rsidR="004E5804" w:rsidRPr="00B63BD5">
        <w:rPr>
          <w:lang w:val="fr-CA"/>
        </w:rPr>
        <w:t xml:space="preserve"> sont de rigueur</w:t>
      </w:r>
      <w:r w:rsidRPr="00B63BD5">
        <w:rPr>
          <w:lang w:val="fr-CA"/>
        </w:rPr>
        <w:t>.</w:t>
      </w:r>
    </w:p>
    <w:p w14:paraId="1A648607" w14:textId="1E77F9A9" w:rsidR="00121BB1" w:rsidRPr="00B63BD5" w:rsidRDefault="00C55806" w:rsidP="00632863">
      <w:pPr>
        <w:pStyle w:val="ListNumber"/>
        <w:spacing w:after="240"/>
        <w:ind w:left="709" w:hanging="709"/>
        <w:jc w:val="both"/>
        <w:rPr>
          <w:lang w:val="fr-CA"/>
        </w:rPr>
      </w:pPr>
      <w:r w:rsidRPr="00B63BD5">
        <w:rPr>
          <w:lang w:val="fr-CA"/>
        </w:rPr>
        <w:t>Indemnisation</w:t>
      </w:r>
    </w:p>
    <w:p w14:paraId="742B0B8C" w14:textId="06D79455" w:rsidR="00B26E9C" w:rsidRPr="00B63BD5" w:rsidRDefault="00B26E9C" w:rsidP="00632863">
      <w:pPr>
        <w:spacing w:after="240"/>
        <w:jc w:val="both"/>
        <w:rPr>
          <w:b/>
          <w:color w:val="00B0F0"/>
          <w:lang w:val="fr-CA"/>
        </w:rPr>
      </w:pPr>
      <w:r w:rsidRPr="00B63BD5">
        <w:rPr>
          <w:b/>
          <w:color w:val="00B0F0"/>
          <w:highlight w:val="yellow"/>
          <w:lang w:val="fr-CA"/>
        </w:rPr>
        <w:t>[N.B.</w:t>
      </w:r>
      <w:r w:rsidR="00AC4107" w:rsidRPr="00B63BD5">
        <w:rPr>
          <w:b/>
          <w:color w:val="00B0F0"/>
          <w:highlight w:val="yellow"/>
          <w:lang w:val="fr-CA"/>
        </w:rPr>
        <w:t xml:space="preserve"> </w:t>
      </w:r>
      <w:r w:rsidRPr="00B63BD5">
        <w:rPr>
          <w:b/>
          <w:color w:val="00B0F0"/>
          <w:highlight w:val="yellow"/>
          <w:lang w:val="fr-CA"/>
        </w:rPr>
        <w:t>: Ne pas modifier la substance de la disposition suivante sans le consentement écrit préalable des</w:t>
      </w:r>
      <w:r w:rsidR="00C063F5" w:rsidRPr="00B63BD5">
        <w:rPr>
          <w:b/>
          <w:color w:val="00B0F0"/>
          <w:highlight w:val="yellow"/>
          <w:lang w:val="fr-CA"/>
        </w:rPr>
        <w:t> </w:t>
      </w:r>
      <w:r w:rsidRPr="00B63BD5">
        <w:rPr>
          <w:b/>
          <w:color w:val="00B0F0"/>
          <w:highlight w:val="yellow"/>
          <w:lang w:val="fr-CA"/>
        </w:rPr>
        <w:t>services juridiques de la Banque.]</w:t>
      </w:r>
    </w:p>
    <w:p w14:paraId="1D7687F2" w14:textId="570C21E5" w:rsidR="00121BB1" w:rsidRPr="00B63BD5" w:rsidRDefault="00C5580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L</w:t>
      </w:r>
      <w:r w:rsidR="00564B0C" w:rsidRPr="00B63BD5">
        <w:rPr>
          <w:lang w:val="fr-CA"/>
        </w:rPr>
        <w:t>’</w:t>
      </w:r>
      <w:r w:rsidRPr="00B63BD5">
        <w:rPr>
          <w:lang w:val="fr-CA"/>
        </w:rPr>
        <w:t>Emprunteur convient d</w:t>
      </w:r>
      <w:r w:rsidR="00564B0C" w:rsidRPr="00B63BD5">
        <w:rPr>
          <w:lang w:val="fr-CA"/>
        </w:rPr>
        <w:t>’</w:t>
      </w:r>
      <w:r w:rsidRPr="00B63BD5">
        <w:rPr>
          <w:lang w:val="fr-CA"/>
        </w:rPr>
        <w:t>indemniser la Banque et ses dirigeants, ses administrateurs, ses employés, ses</w:t>
      </w:r>
      <w:r w:rsidR="00C063F5" w:rsidRPr="00B63BD5">
        <w:rPr>
          <w:lang w:val="fr-CA"/>
        </w:rPr>
        <w:t> </w:t>
      </w:r>
      <w:r w:rsidRPr="00B63BD5">
        <w:rPr>
          <w:lang w:val="fr-CA"/>
        </w:rPr>
        <w:t>avocats</w:t>
      </w:r>
      <w:r w:rsidR="00C84CDA" w:rsidRPr="00B63BD5">
        <w:rPr>
          <w:lang w:val="fr-CA"/>
        </w:rPr>
        <w:t>,</w:t>
      </w:r>
      <w:r w:rsidRPr="00B63BD5">
        <w:rPr>
          <w:lang w:val="fr-CA"/>
        </w:rPr>
        <w:t xml:space="preserve"> ses mandataires et les membres de son groupe des réclamations relatives </w:t>
      </w:r>
      <w:r w:rsidR="00957B9E" w:rsidRPr="00B63BD5">
        <w:rPr>
          <w:lang w:val="fr-CA"/>
        </w:rPr>
        <w:t>à des</w:t>
      </w:r>
      <w:r w:rsidRPr="00B63BD5">
        <w:rPr>
          <w:lang w:val="fr-CA"/>
        </w:rPr>
        <w:t xml:space="preserve"> dommages, pertes ou frais (y</w:t>
      </w:r>
      <w:r w:rsidR="00AC4107" w:rsidRPr="00B63BD5">
        <w:rPr>
          <w:lang w:val="fr-CA"/>
        </w:rPr>
        <w:t xml:space="preserve"> </w:t>
      </w:r>
      <w:r w:rsidRPr="00B63BD5">
        <w:rPr>
          <w:lang w:val="fr-CA"/>
        </w:rPr>
        <w:t>compris les honoraires d</w:t>
      </w:r>
      <w:r w:rsidR="00564B0C" w:rsidRPr="00B63BD5">
        <w:rPr>
          <w:lang w:val="fr-CA"/>
        </w:rPr>
        <w:t>’</w:t>
      </w:r>
      <w:r w:rsidRPr="00B63BD5">
        <w:rPr>
          <w:lang w:val="fr-CA"/>
        </w:rPr>
        <w:t>avocat</w:t>
      </w:r>
      <w:r w:rsidR="00957B9E" w:rsidRPr="00B63BD5">
        <w:rPr>
          <w:lang w:val="fr-CA"/>
        </w:rPr>
        <w:t>s</w:t>
      </w:r>
      <w:r w:rsidRPr="00B63BD5">
        <w:rPr>
          <w:lang w:val="fr-CA"/>
        </w:rPr>
        <w:t xml:space="preserve"> établis selon le tarif applicable entre un avocat et son client) engagés ou subis par l</w:t>
      </w:r>
      <w:r w:rsidR="00564B0C" w:rsidRPr="00B63BD5">
        <w:rPr>
          <w:lang w:val="fr-CA"/>
        </w:rPr>
        <w:t>’</w:t>
      </w:r>
      <w:r w:rsidRPr="00B63BD5">
        <w:rPr>
          <w:lang w:val="fr-CA"/>
        </w:rPr>
        <w:t>un ou l</w:t>
      </w:r>
      <w:r w:rsidR="00564B0C" w:rsidRPr="00B63BD5">
        <w:rPr>
          <w:lang w:val="fr-CA"/>
        </w:rPr>
        <w:t>’</w:t>
      </w:r>
      <w:r w:rsidRPr="00B63BD5">
        <w:rPr>
          <w:lang w:val="fr-CA"/>
        </w:rPr>
        <w:t xml:space="preserve">autre </w:t>
      </w:r>
      <w:r w:rsidR="00B26E9C" w:rsidRPr="00B63BD5">
        <w:rPr>
          <w:lang w:val="fr-CA"/>
        </w:rPr>
        <w:t>d</w:t>
      </w:r>
      <w:r w:rsidR="00564B0C" w:rsidRPr="00B63BD5">
        <w:rPr>
          <w:lang w:val="fr-CA"/>
        </w:rPr>
        <w:t>’</w:t>
      </w:r>
      <w:r w:rsidR="00B26E9C" w:rsidRPr="00B63BD5">
        <w:rPr>
          <w:lang w:val="fr-CA"/>
        </w:rPr>
        <w:t>entre eux</w:t>
      </w:r>
      <w:r w:rsidRPr="00B63BD5">
        <w:rPr>
          <w:lang w:val="fr-CA"/>
        </w:rPr>
        <w:t xml:space="preserve"> relativement à la présente Lettre relative aux facilités</w:t>
      </w:r>
      <w:r w:rsidR="00957B9E" w:rsidRPr="00B63BD5">
        <w:rPr>
          <w:lang w:val="fr-CA"/>
        </w:rPr>
        <w:t>,</w:t>
      </w:r>
      <w:r w:rsidRPr="00B63BD5">
        <w:rPr>
          <w:lang w:val="fr-CA"/>
        </w:rPr>
        <w:t xml:space="preserve"> en</w:t>
      </w:r>
      <w:r w:rsidR="00C063F5" w:rsidRPr="00B63BD5">
        <w:rPr>
          <w:lang w:val="fr-CA"/>
        </w:rPr>
        <w:t> </w:t>
      </w:r>
      <w:r w:rsidRPr="00B63BD5">
        <w:rPr>
          <w:lang w:val="fr-CA"/>
        </w:rPr>
        <w:t xml:space="preserve">conséquence </w:t>
      </w:r>
      <w:r w:rsidR="00957B9E" w:rsidRPr="00B63BD5">
        <w:rPr>
          <w:lang w:val="fr-CA"/>
        </w:rPr>
        <w:t>(</w:t>
      </w:r>
      <w:r w:rsidRPr="00B63BD5">
        <w:rPr>
          <w:lang w:val="fr-CA"/>
        </w:rPr>
        <w:t>directe ou indirecte</w:t>
      </w:r>
      <w:r w:rsidR="00957B9E" w:rsidRPr="00B63BD5">
        <w:rPr>
          <w:lang w:val="fr-CA"/>
        </w:rPr>
        <w:t>)</w:t>
      </w:r>
      <w:r w:rsidRPr="00B63BD5">
        <w:rPr>
          <w:lang w:val="fr-CA"/>
        </w:rPr>
        <w:t xml:space="preserve"> d</w:t>
      </w:r>
      <w:r w:rsidR="00564B0C" w:rsidRPr="00B63BD5">
        <w:rPr>
          <w:lang w:val="fr-CA"/>
        </w:rPr>
        <w:t>’</w:t>
      </w:r>
      <w:r w:rsidRPr="00B63BD5">
        <w:rPr>
          <w:lang w:val="fr-CA"/>
        </w:rPr>
        <w:t>une violation</w:t>
      </w:r>
      <w:r w:rsidR="00560E08" w:rsidRPr="00B63BD5">
        <w:rPr>
          <w:lang w:val="fr-CA"/>
        </w:rPr>
        <w:t xml:space="preserve"> </w:t>
      </w:r>
      <w:r w:rsidRPr="00B63BD5">
        <w:rPr>
          <w:lang w:val="fr-CA"/>
        </w:rPr>
        <w:t>de la présente Lettre relative aux facilités</w:t>
      </w:r>
      <w:r w:rsidR="00560E08" w:rsidRPr="00B63BD5">
        <w:rPr>
          <w:lang w:val="fr-CA"/>
        </w:rPr>
        <w:t xml:space="preserve"> par l</w:t>
      </w:r>
      <w:r w:rsidR="00564B0C" w:rsidRPr="00B63BD5">
        <w:rPr>
          <w:lang w:val="fr-CA"/>
        </w:rPr>
        <w:t>’</w:t>
      </w:r>
      <w:r w:rsidR="00560E08" w:rsidRPr="00B63BD5">
        <w:rPr>
          <w:lang w:val="fr-CA"/>
        </w:rPr>
        <w:t>Emprunteur</w:t>
      </w:r>
      <w:r w:rsidRPr="00B63BD5">
        <w:rPr>
          <w:lang w:val="fr-CA"/>
        </w:rPr>
        <w:t xml:space="preserve"> ou en raison d</w:t>
      </w:r>
      <w:r w:rsidR="00564B0C" w:rsidRPr="00B63BD5">
        <w:rPr>
          <w:lang w:val="fr-CA"/>
        </w:rPr>
        <w:t>’</w:t>
      </w:r>
      <w:r w:rsidRPr="00B63BD5">
        <w:rPr>
          <w:lang w:val="fr-CA"/>
        </w:rPr>
        <w:t>une cotisation imposée par une autorité fiscale relativement à un paiement fait par la Banque à</w:t>
      </w:r>
      <w:r w:rsidR="00C063F5" w:rsidRPr="00B63BD5">
        <w:rPr>
          <w:lang w:val="fr-CA"/>
        </w:rPr>
        <w:t> </w:t>
      </w:r>
      <w:r w:rsidRPr="00B63BD5">
        <w:rPr>
          <w:lang w:val="fr-CA"/>
        </w:rPr>
        <w:t>un tiers, y</w:t>
      </w:r>
      <w:r w:rsidR="00AC4107" w:rsidRPr="00B63BD5">
        <w:rPr>
          <w:lang w:val="fr-CA"/>
        </w:rPr>
        <w:t xml:space="preserve"> </w:t>
      </w:r>
      <w:r w:rsidRPr="00B63BD5">
        <w:rPr>
          <w:lang w:val="fr-CA"/>
        </w:rPr>
        <w:t xml:space="preserve">compris </w:t>
      </w:r>
      <w:r w:rsidR="009728E4" w:rsidRPr="00B63BD5">
        <w:rPr>
          <w:lang w:val="fr-CA"/>
        </w:rPr>
        <w:t>le</w:t>
      </w:r>
      <w:r w:rsidRPr="00B63BD5">
        <w:rPr>
          <w:lang w:val="fr-CA"/>
        </w:rPr>
        <w:t xml:space="preserve"> bénéficiaire d</w:t>
      </w:r>
      <w:r w:rsidR="00564B0C" w:rsidRPr="00B63BD5">
        <w:rPr>
          <w:lang w:val="fr-CA"/>
        </w:rPr>
        <w:t>’</w:t>
      </w:r>
      <w:r w:rsidRPr="00B63BD5">
        <w:rPr>
          <w:lang w:val="fr-CA"/>
        </w:rPr>
        <w:t>une Lettre de garantie, sauf si ces dommages, pertes ou frais</w:t>
      </w:r>
      <w:r w:rsidR="009728E4" w:rsidRPr="00B63BD5">
        <w:rPr>
          <w:lang w:val="fr-CA"/>
        </w:rPr>
        <w:t xml:space="preserve"> sont uniquement et </w:t>
      </w:r>
      <w:r w:rsidRPr="00B63BD5">
        <w:rPr>
          <w:lang w:val="fr-CA"/>
        </w:rPr>
        <w:t xml:space="preserve">directement </w:t>
      </w:r>
      <w:r w:rsidR="009728E4" w:rsidRPr="00B63BD5">
        <w:rPr>
          <w:lang w:val="fr-CA"/>
        </w:rPr>
        <w:t>attribuables à</w:t>
      </w:r>
      <w:r w:rsidRPr="00B63BD5">
        <w:rPr>
          <w:lang w:val="fr-CA"/>
        </w:rPr>
        <w:t xml:space="preserve"> </w:t>
      </w:r>
      <w:r w:rsidR="00560E08" w:rsidRPr="00B63BD5">
        <w:rPr>
          <w:lang w:val="fr-CA"/>
        </w:rPr>
        <w:t xml:space="preserve">une faute lourde ou intentionnelle </w:t>
      </w:r>
      <w:r w:rsidRPr="00B63BD5">
        <w:rPr>
          <w:lang w:val="fr-CA"/>
        </w:rPr>
        <w:t xml:space="preserve">de la Banque. </w:t>
      </w:r>
    </w:p>
    <w:p w14:paraId="674A1ABD" w14:textId="4F033EB3" w:rsidR="009926E7" w:rsidRPr="00B63BD5" w:rsidRDefault="00C55806" w:rsidP="00632863">
      <w:pPr>
        <w:pStyle w:val="ListNumber"/>
        <w:spacing w:after="240"/>
        <w:ind w:left="709"/>
        <w:jc w:val="both"/>
        <w:rPr>
          <w:lang w:val="fr-CA"/>
        </w:rPr>
      </w:pPr>
      <w:r w:rsidRPr="00B63BD5">
        <w:rPr>
          <w:lang w:val="fr-CA"/>
        </w:rPr>
        <w:t>Lois applicables</w:t>
      </w:r>
    </w:p>
    <w:p w14:paraId="20F0BDF9" w14:textId="7B156519" w:rsidR="009926E7" w:rsidRPr="00B63BD5" w:rsidRDefault="00C55806" w:rsidP="00632863">
      <w:pPr>
        <w:spacing w:after="240"/>
        <w:jc w:val="both"/>
        <w:rPr>
          <w:lang w:val="fr-CA"/>
        </w:rPr>
      </w:pPr>
      <w:r w:rsidRPr="00B63BD5">
        <w:rPr>
          <w:lang w:val="fr-CA"/>
        </w:rPr>
        <w:t>La présente Lettre relative aux facilités et, sauf disposition expresse à l</w:t>
      </w:r>
      <w:r w:rsidR="00564B0C" w:rsidRPr="00B63BD5">
        <w:rPr>
          <w:lang w:val="fr-CA"/>
        </w:rPr>
        <w:t>’</w:t>
      </w:r>
      <w:r w:rsidRPr="00B63BD5">
        <w:rPr>
          <w:lang w:val="fr-CA"/>
        </w:rPr>
        <w:t>effet contraire d</w:t>
      </w:r>
      <w:r w:rsidR="00560E08" w:rsidRPr="00B63BD5">
        <w:rPr>
          <w:lang w:val="fr-CA"/>
        </w:rPr>
        <w:t xml:space="preserve">e </w:t>
      </w:r>
      <w:r w:rsidR="007B537F" w:rsidRPr="00B63BD5">
        <w:rPr>
          <w:lang w:val="fr-CA"/>
        </w:rPr>
        <w:t>ce</w:t>
      </w:r>
      <w:r w:rsidR="00B02EF7" w:rsidRPr="00B63BD5">
        <w:rPr>
          <w:lang w:val="fr-CA"/>
        </w:rPr>
        <w:t>s documents</w:t>
      </w:r>
      <w:r w:rsidR="007B537F" w:rsidRPr="00B63BD5">
        <w:rPr>
          <w:lang w:val="fr-CA"/>
        </w:rPr>
        <w:t>, tous les Documents de prêt ou effet</w:t>
      </w:r>
      <w:r w:rsidR="00367FE3" w:rsidRPr="00B63BD5">
        <w:rPr>
          <w:lang w:val="fr-CA"/>
        </w:rPr>
        <w:t>s</w:t>
      </w:r>
      <w:r w:rsidR="007B537F" w:rsidRPr="00B63BD5">
        <w:rPr>
          <w:lang w:val="fr-CA"/>
        </w:rPr>
        <w:t xml:space="preserve"> remis conformément à la présente Lettre relative aux facilités sont régis par</w:t>
      </w:r>
      <w:r w:rsidR="00C063F5" w:rsidRPr="00B63BD5">
        <w:rPr>
          <w:lang w:val="fr-CA"/>
        </w:rPr>
        <w:t> </w:t>
      </w:r>
      <w:r w:rsidR="007B537F" w:rsidRPr="00B63BD5">
        <w:rPr>
          <w:lang w:val="fr-CA"/>
        </w:rPr>
        <w:t>les</w:t>
      </w:r>
      <w:r w:rsidR="00C063F5" w:rsidRPr="00B63BD5">
        <w:rPr>
          <w:lang w:val="fr-CA"/>
        </w:rPr>
        <w:t> </w:t>
      </w:r>
      <w:r w:rsidR="007B537F" w:rsidRPr="00B63BD5">
        <w:rPr>
          <w:lang w:val="fr-CA"/>
        </w:rPr>
        <w:t xml:space="preserve">lois de la province de </w:t>
      </w:r>
      <w:r w:rsidR="009D0841" w:rsidRPr="00B63BD5">
        <w:rPr>
          <w:lang w:val="fr-CA"/>
        </w:rPr>
        <w:t>●</w:t>
      </w:r>
      <w:r w:rsidR="007B537F" w:rsidRPr="00B63BD5">
        <w:rPr>
          <w:lang w:val="fr-CA"/>
        </w:rPr>
        <w:t xml:space="preserve"> </w:t>
      </w:r>
      <w:r w:rsidR="007B537F" w:rsidRPr="00B63BD5">
        <w:rPr>
          <w:b/>
          <w:color w:val="00B0F0"/>
          <w:lang w:val="fr-CA"/>
        </w:rPr>
        <w:t>[insérer la province où la Succursale est située et</w:t>
      </w:r>
      <w:r w:rsidR="00560E08" w:rsidRPr="00B63BD5">
        <w:rPr>
          <w:b/>
          <w:color w:val="00B0F0"/>
          <w:lang w:val="fr-CA"/>
        </w:rPr>
        <w:t xml:space="preserve"> qui est le territoire de</w:t>
      </w:r>
      <w:r w:rsidR="00C063F5" w:rsidRPr="00B63BD5">
        <w:rPr>
          <w:b/>
          <w:color w:val="00B0F0"/>
          <w:lang w:val="fr-CA"/>
        </w:rPr>
        <w:t> </w:t>
      </w:r>
      <w:r w:rsidR="00560E08" w:rsidRPr="00B63BD5">
        <w:rPr>
          <w:b/>
          <w:color w:val="00B0F0"/>
          <w:lang w:val="fr-CA"/>
        </w:rPr>
        <w:t>constitution de l</w:t>
      </w:r>
      <w:r w:rsidR="00564B0C" w:rsidRPr="00B63BD5">
        <w:rPr>
          <w:b/>
          <w:color w:val="00B0F0"/>
          <w:lang w:val="fr-CA"/>
        </w:rPr>
        <w:t>’</w:t>
      </w:r>
      <w:r w:rsidR="00560E08" w:rsidRPr="00B63BD5">
        <w:rPr>
          <w:b/>
          <w:color w:val="00B0F0"/>
          <w:lang w:val="fr-CA"/>
        </w:rPr>
        <w:t>Emprunteur</w:t>
      </w:r>
      <w:r w:rsidR="007B537F" w:rsidRPr="00B63BD5">
        <w:rPr>
          <w:b/>
          <w:color w:val="00B0F0"/>
          <w:lang w:val="fr-CA"/>
        </w:rPr>
        <w:t>]</w:t>
      </w:r>
      <w:r w:rsidR="007B537F" w:rsidRPr="00B63BD5">
        <w:rPr>
          <w:lang w:val="fr-CA"/>
        </w:rPr>
        <w:t xml:space="preserve"> (le</w:t>
      </w:r>
      <w:r w:rsidR="00AC4107" w:rsidRPr="00B63BD5">
        <w:rPr>
          <w:lang w:val="fr-CA"/>
        </w:rPr>
        <w:t xml:space="preserve"> </w:t>
      </w:r>
      <w:r w:rsidR="007B537F" w:rsidRPr="00B63BD5">
        <w:rPr>
          <w:lang w:val="fr-CA"/>
        </w:rPr>
        <w:t>«</w:t>
      </w:r>
      <w:r w:rsidR="0094743F" w:rsidRPr="00B63BD5">
        <w:rPr>
          <w:lang w:val="fr-CA"/>
        </w:rPr>
        <w:t> </w:t>
      </w:r>
      <w:r w:rsidR="007B537F" w:rsidRPr="00B63BD5">
        <w:rPr>
          <w:b/>
          <w:lang w:val="fr-CA"/>
        </w:rPr>
        <w:t>Territoire</w:t>
      </w:r>
      <w:r w:rsidR="00B02EF7" w:rsidRPr="00B63BD5">
        <w:rPr>
          <w:b/>
          <w:lang w:val="fr-CA"/>
        </w:rPr>
        <w:t xml:space="preserve"> compétent</w:t>
      </w:r>
      <w:r w:rsidR="0094743F" w:rsidRPr="00B63BD5">
        <w:rPr>
          <w:lang w:val="fr-CA"/>
        </w:rPr>
        <w:t> </w:t>
      </w:r>
      <w:r w:rsidR="007B537F" w:rsidRPr="00B63BD5">
        <w:rPr>
          <w:lang w:val="fr-CA"/>
        </w:rPr>
        <w:t>») et les lois fédérales du Canada qui</w:t>
      </w:r>
      <w:r w:rsidR="00C063F5" w:rsidRPr="00B63BD5">
        <w:rPr>
          <w:lang w:val="fr-CA"/>
        </w:rPr>
        <w:t> </w:t>
      </w:r>
      <w:r w:rsidR="007B537F" w:rsidRPr="00B63BD5">
        <w:rPr>
          <w:lang w:val="fr-CA"/>
        </w:rPr>
        <w:t>s</w:t>
      </w:r>
      <w:r w:rsidR="00564B0C" w:rsidRPr="00B63BD5">
        <w:rPr>
          <w:lang w:val="fr-CA"/>
        </w:rPr>
        <w:t>’</w:t>
      </w:r>
      <w:r w:rsidR="007B537F" w:rsidRPr="00B63BD5">
        <w:rPr>
          <w:lang w:val="fr-CA"/>
        </w:rPr>
        <w:t>y</w:t>
      </w:r>
      <w:r w:rsidR="00C063F5" w:rsidRPr="00B63BD5">
        <w:rPr>
          <w:lang w:val="fr-CA"/>
        </w:rPr>
        <w:t> </w:t>
      </w:r>
      <w:r w:rsidR="007B537F" w:rsidRPr="00B63BD5">
        <w:rPr>
          <w:lang w:val="fr-CA"/>
        </w:rPr>
        <w:t xml:space="preserve">appliquent et doivent être interprétés conformément à ces lois. Chaque </w:t>
      </w:r>
      <w:r w:rsidR="008121D8" w:rsidRPr="00B63BD5">
        <w:rPr>
          <w:lang w:val="fr-CA"/>
        </w:rPr>
        <w:t>Bénéficiaire du crédit</w:t>
      </w:r>
      <w:r w:rsidR="00B02EF7" w:rsidRPr="00B63BD5">
        <w:rPr>
          <w:lang w:val="fr-CA"/>
        </w:rPr>
        <w:t xml:space="preserve"> </w:t>
      </w:r>
      <w:r w:rsidR="007B537F" w:rsidRPr="00B63BD5">
        <w:rPr>
          <w:lang w:val="fr-CA"/>
        </w:rPr>
        <w:t>se soumet irrévocablement à la compétence non exclusive des tribunaux du Territoire</w:t>
      </w:r>
      <w:r w:rsidR="00B02EF7" w:rsidRPr="00B63BD5">
        <w:rPr>
          <w:lang w:val="fr-CA"/>
        </w:rPr>
        <w:t xml:space="preserve"> compétent </w:t>
      </w:r>
      <w:r w:rsidR="007B537F" w:rsidRPr="00B63BD5">
        <w:rPr>
          <w:lang w:val="fr-CA"/>
        </w:rPr>
        <w:t xml:space="preserve">et renonce, dans la pleine mesure permise par les lois applicables, à une défense fondée sur </w:t>
      </w:r>
      <w:r w:rsidR="00B02EF7" w:rsidRPr="00B63BD5">
        <w:rPr>
          <w:lang w:val="fr-CA"/>
        </w:rPr>
        <w:t>le forum approprié</w:t>
      </w:r>
      <w:r w:rsidR="007B537F" w:rsidRPr="00B63BD5">
        <w:rPr>
          <w:lang w:val="fr-CA"/>
        </w:rPr>
        <w:t xml:space="preserve">. </w:t>
      </w:r>
    </w:p>
    <w:p w14:paraId="4EB4AFDB" w14:textId="7CF65707" w:rsidR="007F2763" w:rsidRPr="00B63BD5" w:rsidRDefault="00912173"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Style w:val="Prompt"/>
          <w:b/>
          <w:color w:val="00B0F0"/>
          <w:lang w:val="fr-CA"/>
        </w:rPr>
      </w:pPr>
      <w:r w:rsidRPr="00B63BD5">
        <w:rPr>
          <w:rStyle w:val="Prompt"/>
          <w:b/>
          <w:color w:val="00B0F0"/>
          <w:lang w:val="fr-CA"/>
        </w:rPr>
        <w:t>[</w:t>
      </w:r>
      <w:r w:rsidR="00EC3CB5" w:rsidRPr="00B63BD5">
        <w:rPr>
          <w:rStyle w:val="Prompt"/>
          <w:b/>
          <w:color w:val="00B0F0"/>
          <w:lang w:val="fr-CA"/>
        </w:rPr>
        <w:t>N.B. :</w:t>
      </w:r>
      <w:r w:rsidR="009B61B1" w:rsidRPr="00B63BD5">
        <w:rPr>
          <w:rStyle w:val="Prompt"/>
          <w:b/>
          <w:color w:val="00B0F0"/>
          <w:lang w:val="fr-CA"/>
        </w:rPr>
        <w:t xml:space="preserve"> </w:t>
      </w:r>
      <w:r w:rsidR="007B537F" w:rsidRPr="00B63BD5">
        <w:rPr>
          <w:rStyle w:val="Prompt"/>
          <w:b/>
          <w:color w:val="00B0F0"/>
          <w:lang w:val="fr-CA"/>
        </w:rPr>
        <w:t>S</w:t>
      </w:r>
      <w:r w:rsidR="00564B0C" w:rsidRPr="00B63BD5">
        <w:rPr>
          <w:rStyle w:val="Prompt"/>
          <w:b/>
          <w:color w:val="00B0F0"/>
          <w:lang w:val="fr-CA"/>
        </w:rPr>
        <w:t>’</w:t>
      </w:r>
      <w:r w:rsidR="00B02EF7" w:rsidRPr="00B63BD5">
        <w:rPr>
          <w:rStyle w:val="Prompt"/>
          <w:b/>
          <w:color w:val="00B0F0"/>
          <w:lang w:val="fr-CA"/>
        </w:rPr>
        <w:t xml:space="preserve">il faut indiquer </w:t>
      </w:r>
      <w:r w:rsidR="007B537F" w:rsidRPr="00B63BD5">
        <w:rPr>
          <w:rStyle w:val="Prompt"/>
          <w:b/>
          <w:color w:val="00B0F0"/>
          <w:lang w:val="fr-CA"/>
        </w:rPr>
        <w:t>plus</w:t>
      </w:r>
      <w:r w:rsidR="00B02EF7" w:rsidRPr="00B63BD5">
        <w:rPr>
          <w:rStyle w:val="Prompt"/>
          <w:b/>
          <w:color w:val="00B0F0"/>
          <w:lang w:val="fr-CA"/>
        </w:rPr>
        <w:t>ieurs</w:t>
      </w:r>
      <w:r w:rsidR="007B537F" w:rsidRPr="00B63BD5">
        <w:rPr>
          <w:rStyle w:val="Prompt"/>
          <w:b/>
          <w:color w:val="00B0F0"/>
          <w:lang w:val="fr-CA"/>
        </w:rPr>
        <w:t xml:space="preserve"> province</w:t>
      </w:r>
      <w:r w:rsidR="00367FE3" w:rsidRPr="00B63BD5">
        <w:rPr>
          <w:rStyle w:val="Prompt"/>
          <w:b/>
          <w:color w:val="00B0F0"/>
          <w:lang w:val="fr-CA"/>
        </w:rPr>
        <w:t>s</w:t>
      </w:r>
      <w:r w:rsidR="007B537F" w:rsidRPr="00B63BD5">
        <w:rPr>
          <w:rStyle w:val="Prompt"/>
          <w:b/>
          <w:color w:val="00B0F0"/>
          <w:lang w:val="fr-CA"/>
        </w:rPr>
        <w:t xml:space="preserve">, </w:t>
      </w:r>
      <w:r w:rsidR="00B02EF7" w:rsidRPr="00B63BD5">
        <w:rPr>
          <w:rStyle w:val="Prompt"/>
          <w:b/>
          <w:color w:val="00B0F0"/>
          <w:lang w:val="fr-CA"/>
        </w:rPr>
        <w:t>suivre les directives du</w:t>
      </w:r>
      <w:r w:rsidR="007B537F" w:rsidRPr="00B63BD5">
        <w:rPr>
          <w:rStyle w:val="Prompt"/>
          <w:b/>
          <w:color w:val="00B0F0"/>
          <w:lang w:val="fr-CA"/>
        </w:rPr>
        <w:t xml:space="preserve"> manuel sur le crédit de gros de</w:t>
      </w:r>
      <w:r w:rsidR="00C063F5" w:rsidRPr="00B63BD5">
        <w:rPr>
          <w:rStyle w:val="Prompt"/>
          <w:b/>
          <w:color w:val="00B0F0"/>
          <w:lang w:val="fr-CA"/>
        </w:rPr>
        <w:t> </w:t>
      </w:r>
      <w:r w:rsidR="007B537F" w:rsidRPr="00B63BD5">
        <w:rPr>
          <w:rStyle w:val="Prompt"/>
          <w:b/>
          <w:color w:val="00B0F0"/>
          <w:lang w:val="fr-CA"/>
        </w:rPr>
        <w:t>la</w:t>
      </w:r>
      <w:r w:rsidR="00C063F5" w:rsidRPr="00B63BD5">
        <w:rPr>
          <w:rStyle w:val="Prompt"/>
          <w:b/>
          <w:color w:val="00B0F0"/>
          <w:lang w:val="fr-CA"/>
        </w:rPr>
        <w:t> </w:t>
      </w:r>
      <w:r w:rsidR="007B537F" w:rsidRPr="00B63BD5">
        <w:rPr>
          <w:rStyle w:val="Prompt"/>
          <w:b/>
          <w:color w:val="00B0F0"/>
          <w:lang w:val="fr-CA"/>
        </w:rPr>
        <w:t>Banque</w:t>
      </w:r>
      <w:r w:rsidR="00663B8D" w:rsidRPr="00B63BD5">
        <w:rPr>
          <w:rStyle w:val="Prompt"/>
          <w:b/>
          <w:color w:val="00B0F0"/>
          <w:lang w:val="fr-CA"/>
        </w:rPr>
        <w:t xml:space="preserve"> ou obtenir des conseils juridiques</w:t>
      </w:r>
      <w:r w:rsidR="007B537F" w:rsidRPr="00B63BD5">
        <w:rPr>
          <w:rStyle w:val="Prompt"/>
          <w:b/>
          <w:color w:val="00B0F0"/>
          <w:lang w:val="fr-CA"/>
        </w:rPr>
        <w:t>.</w:t>
      </w:r>
      <w:r w:rsidR="007F2763" w:rsidRPr="00B63BD5">
        <w:rPr>
          <w:rStyle w:val="Prompt"/>
          <w:b/>
          <w:color w:val="00B0F0"/>
          <w:lang w:val="fr-CA"/>
        </w:rPr>
        <w:t>]</w:t>
      </w:r>
    </w:p>
    <w:p w14:paraId="04CB3975" w14:textId="02543F04" w:rsidR="00B07ED2" w:rsidRPr="00B63BD5" w:rsidRDefault="00B07ED2" w:rsidP="00632863">
      <w:pPr>
        <w:spacing w:after="240"/>
        <w:jc w:val="both"/>
        <w:rPr>
          <w:b/>
          <w:color w:val="00B0F0"/>
          <w:lang w:val="fr-CA"/>
        </w:rPr>
      </w:pPr>
      <w:r w:rsidRPr="00B63BD5">
        <w:rPr>
          <w:b/>
          <w:color w:val="00B0F0"/>
          <w:highlight w:val="yellow"/>
          <w:lang w:val="fr-CA"/>
        </w:rPr>
        <w:t>[</w:t>
      </w:r>
      <w:r w:rsidR="00EC3CB5" w:rsidRPr="00B63BD5">
        <w:rPr>
          <w:b/>
          <w:color w:val="00B0F0"/>
          <w:highlight w:val="yellow"/>
          <w:lang w:val="fr-CA"/>
        </w:rPr>
        <w:t>N.B. :</w:t>
      </w:r>
      <w:r w:rsidR="009B61B1" w:rsidRPr="00B63BD5">
        <w:rPr>
          <w:b/>
          <w:color w:val="00B0F0"/>
          <w:highlight w:val="yellow"/>
          <w:lang w:val="fr-CA"/>
        </w:rPr>
        <w:t xml:space="preserve"> </w:t>
      </w:r>
      <w:r w:rsidR="007B537F" w:rsidRPr="00B63BD5">
        <w:rPr>
          <w:b/>
          <w:color w:val="00B0F0"/>
          <w:highlight w:val="yellow"/>
          <w:lang w:val="fr-CA"/>
        </w:rPr>
        <w:t xml:space="preserve">Ne pas modifier la </w:t>
      </w:r>
      <w:r w:rsidR="00AA4C3C" w:rsidRPr="00B63BD5">
        <w:rPr>
          <w:b/>
          <w:color w:val="00B0F0"/>
          <w:highlight w:val="yellow"/>
          <w:lang w:val="fr-CA"/>
        </w:rPr>
        <w:t xml:space="preserve">substance </w:t>
      </w:r>
      <w:r w:rsidR="007B537F" w:rsidRPr="00B63BD5">
        <w:rPr>
          <w:b/>
          <w:color w:val="00B0F0"/>
          <w:highlight w:val="yellow"/>
          <w:lang w:val="fr-CA"/>
        </w:rPr>
        <w:t xml:space="preserve">de la disposition suivante sans le consentement </w:t>
      </w:r>
      <w:r w:rsidR="00B26E9C" w:rsidRPr="00B63BD5">
        <w:rPr>
          <w:b/>
          <w:color w:val="00B0F0"/>
          <w:highlight w:val="yellow"/>
          <w:lang w:val="fr-CA"/>
        </w:rPr>
        <w:t xml:space="preserve">écrit </w:t>
      </w:r>
      <w:r w:rsidR="007B537F" w:rsidRPr="00B63BD5">
        <w:rPr>
          <w:b/>
          <w:color w:val="00B0F0"/>
          <w:highlight w:val="yellow"/>
          <w:lang w:val="fr-CA"/>
        </w:rPr>
        <w:t xml:space="preserve">préalable </w:t>
      </w:r>
      <w:r w:rsidR="00B026FA" w:rsidRPr="00B63BD5">
        <w:rPr>
          <w:b/>
          <w:color w:val="00B0F0"/>
          <w:highlight w:val="yellow"/>
          <w:lang w:val="fr-CA"/>
        </w:rPr>
        <w:t>des</w:t>
      </w:r>
      <w:r w:rsidR="00C063F5" w:rsidRPr="00B63BD5">
        <w:rPr>
          <w:b/>
          <w:color w:val="00B0F0"/>
          <w:highlight w:val="yellow"/>
          <w:lang w:val="fr-CA"/>
        </w:rPr>
        <w:t> </w:t>
      </w:r>
      <w:r w:rsidR="00B026FA" w:rsidRPr="00B63BD5">
        <w:rPr>
          <w:b/>
          <w:color w:val="00B0F0"/>
          <w:highlight w:val="yellow"/>
          <w:lang w:val="fr-CA"/>
        </w:rPr>
        <w:t>services juridiques</w:t>
      </w:r>
      <w:r w:rsidR="007B537F" w:rsidRPr="00B63BD5">
        <w:rPr>
          <w:b/>
          <w:color w:val="00B0F0"/>
          <w:highlight w:val="yellow"/>
          <w:lang w:val="fr-CA"/>
        </w:rPr>
        <w:t xml:space="preserve"> de la Banque</w:t>
      </w:r>
      <w:r w:rsidRPr="00B63BD5">
        <w:rPr>
          <w:b/>
          <w:color w:val="00B0F0"/>
          <w:highlight w:val="yellow"/>
          <w:lang w:val="fr-CA"/>
        </w:rPr>
        <w:t>.]</w:t>
      </w:r>
    </w:p>
    <w:p w14:paraId="0367E944" w14:textId="769CE614" w:rsidR="00A862D6" w:rsidRPr="00B63BD5" w:rsidRDefault="00634A7B" w:rsidP="00632863">
      <w:pPr>
        <w:pStyle w:val="ListNumber"/>
        <w:spacing w:after="240"/>
        <w:ind w:left="709" w:hanging="709"/>
        <w:jc w:val="both"/>
        <w:rPr>
          <w:lang w:val="fr-CA"/>
        </w:rPr>
      </w:pPr>
      <w:r w:rsidRPr="00B63BD5">
        <w:rPr>
          <w:lang w:val="fr-CA"/>
        </w:rPr>
        <w:t>I</w:t>
      </w:r>
      <w:r w:rsidR="007B537F" w:rsidRPr="00B63BD5">
        <w:rPr>
          <w:lang w:val="fr-CA"/>
        </w:rPr>
        <w:t xml:space="preserve">ndemnisation </w:t>
      </w:r>
      <w:r w:rsidRPr="00B63BD5">
        <w:rPr>
          <w:lang w:val="fr-CA"/>
        </w:rPr>
        <w:t xml:space="preserve">et reconnaissances </w:t>
      </w:r>
      <w:r w:rsidR="007B537F" w:rsidRPr="00B63BD5">
        <w:rPr>
          <w:lang w:val="fr-CA"/>
        </w:rPr>
        <w:t>en vertu des lois r</w:t>
      </w:r>
      <w:r w:rsidRPr="00B63BD5">
        <w:rPr>
          <w:lang w:val="fr-CA"/>
        </w:rPr>
        <w:t xml:space="preserve">égissant </w:t>
      </w:r>
      <w:r w:rsidR="007B537F" w:rsidRPr="00B63BD5">
        <w:rPr>
          <w:lang w:val="fr-CA"/>
        </w:rPr>
        <w:t>l</w:t>
      </w:r>
      <w:r w:rsidRPr="00B63BD5">
        <w:rPr>
          <w:lang w:val="fr-CA"/>
        </w:rPr>
        <w:t xml:space="preserve">a criminalité </w:t>
      </w:r>
      <w:r w:rsidR="007B537F" w:rsidRPr="00B63BD5">
        <w:rPr>
          <w:lang w:val="fr-CA"/>
        </w:rPr>
        <w:t>financi</w:t>
      </w:r>
      <w:r w:rsidRPr="00B63BD5">
        <w:rPr>
          <w:lang w:val="fr-CA"/>
        </w:rPr>
        <w:t xml:space="preserve">ère </w:t>
      </w:r>
      <w:r w:rsidR="00281C51" w:rsidRPr="00B63BD5">
        <w:rPr>
          <w:lang w:val="fr-CA"/>
        </w:rPr>
        <w:t>et</w:t>
      </w:r>
      <w:r w:rsidR="00C063F5" w:rsidRPr="00B63BD5">
        <w:rPr>
          <w:lang w:val="fr-CA"/>
        </w:rPr>
        <w:t> </w:t>
      </w:r>
      <w:r w:rsidR="00281C51" w:rsidRPr="00B63BD5">
        <w:rPr>
          <w:lang w:val="fr-CA"/>
        </w:rPr>
        <w:t>les</w:t>
      </w:r>
      <w:r w:rsidR="00C063F5" w:rsidRPr="00B63BD5">
        <w:rPr>
          <w:lang w:val="fr-CA"/>
        </w:rPr>
        <w:t> </w:t>
      </w:r>
      <w:r w:rsidR="00281C51" w:rsidRPr="00B63BD5">
        <w:rPr>
          <w:lang w:val="fr-CA"/>
        </w:rPr>
        <w:t>S</w:t>
      </w:r>
      <w:r w:rsidRPr="00B63BD5">
        <w:rPr>
          <w:lang w:val="fr-CA"/>
        </w:rPr>
        <w:t>anctions</w:t>
      </w:r>
    </w:p>
    <w:p w14:paraId="446C8C2D" w14:textId="1186C143" w:rsidR="00A862D6" w:rsidRPr="00B63BD5" w:rsidRDefault="00BF105D" w:rsidP="00632863">
      <w:pPr>
        <w:keepNext/>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bCs/>
          <w:lang w:val="fr-CA"/>
        </w:rPr>
      </w:pPr>
      <w:r w:rsidRPr="00B63BD5">
        <w:rPr>
          <w:bCs/>
          <w:lang w:val="fr-CA"/>
        </w:rPr>
        <w:t xml:space="preserve">Chaque </w:t>
      </w:r>
      <w:r w:rsidR="008121D8" w:rsidRPr="00B63BD5">
        <w:rPr>
          <w:bCs/>
          <w:lang w:val="fr-CA"/>
        </w:rPr>
        <w:t>Bénéficiaire du crédit</w:t>
      </w:r>
      <w:r w:rsidRPr="00B63BD5">
        <w:rPr>
          <w:bCs/>
          <w:lang w:val="fr-CA"/>
        </w:rPr>
        <w:t xml:space="preserve"> reconnaît ce qui </w:t>
      </w:r>
      <w:r w:rsidR="00C04D83" w:rsidRPr="00B63BD5">
        <w:rPr>
          <w:bCs/>
          <w:lang w:val="fr-CA"/>
        </w:rPr>
        <w:t xml:space="preserve">suit </w:t>
      </w:r>
      <w:r w:rsidRPr="00B63BD5">
        <w:rPr>
          <w:bCs/>
          <w:lang w:val="fr-CA"/>
        </w:rPr>
        <w:t>et en convient</w:t>
      </w:r>
      <w:r w:rsidR="00AC4107" w:rsidRPr="00B63BD5">
        <w:rPr>
          <w:bCs/>
          <w:lang w:val="fr-CA"/>
        </w:rPr>
        <w:t xml:space="preserve"> </w:t>
      </w:r>
      <w:r w:rsidR="00A862D6" w:rsidRPr="00B63BD5">
        <w:rPr>
          <w:bCs/>
          <w:lang w:val="fr-CA"/>
        </w:rPr>
        <w:t>:</w:t>
      </w:r>
    </w:p>
    <w:p w14:paraId="134A7636" w14:textId="0A5050D7" w:rsidR="008F0D2F" w:rsidRPr="000B7739" w:rsidRDefault="00BF105D" w:rsidP="000C4154">
      <w:pPr>
        <w:pStyle w:val="04LOLglNew3"/>
        <w:numPr>
          <w:ilvl w:val="2"/>
          <w:numId w:val="50"/>
        </w:numPr>
        <w:rPr>
          <w:lang w:val="fr-CA"/>
        </w:rPr>
      </w:pPr>
      <w:r w:rsidRPr="000B7739">
        <w:rPr>
          <w:lang w:val="fr-CA"/>
        </w:rPr>
        <w:t xml:space="preserve">la Banque, </w:t>
      </w:r>
      <w:r w:rsidR="00A862D6" w:rsidRPr="000B7739">
        <w:rPr>
          <w:lang w:val="fr-CA"/>
        </w:rPr>
        <w:t xml:space="preserve">HSBC Holdings plc, </w:t>
      </w:r>
      <w:r w:rsidRPr="000B7739">
        <w:rPr>
          <w:lang w:val="fr-CA"/>
        </w:rPr>
        <w:t>les membres de son groupe et ses filiales (collectivement, le</w:t>
      </w:r>
      <w:r w:rsidR="00C063F5" w:rsidRPr="000B7739">
        <w:rPr>
          <w:lang w:val="fr-CA"/>
        </w:rPr>
        <w:t> </w:t>
      </w:r>
      <w:r w:rsidRPr="000B7739">
        <w:rPr>
          <w:lang w:val="fr-CA"/>
        </w:rPr>
        <w:t>«</w:t>
      </w:r>
      <w:r w:rsidR="0094743F" w:rsidRPr="000B7739">
        <w:rPr>
          <w:lang w:val="fr-CA"/>
        </w:rPr>
        <w:t> </w:t>
      </w:r>
      <w:r w:rsidRPr="000B7739">
        <w:rPr>
          <w:b/>
          <w:lang w:val="fr-CA"/>
        </w:rPr>
        <w:t>Groupe</w:t>
      </w:r>
      <w:r w:rsidR="00C063F5" w:rsidRPr="000B7739">
        <w:rPr>
          <w:b/>
          <w:lang w:val="fr-CA"/>
        </w:rPr>
        <w:t> </w:t>
      </w:r>
      <w:r w:rsidRPr="000B7739">
        <w:rPr>
          <w:b/>
          <w:lang w:val="fr-CA"/>
        </w:rPr>
        <w:t>HSBC</w:t>
      </w:r>
      <w:r w:rsidR="0094743F" w:rsidRPr="000B7739">
        <w:rPr>
          <w:lang w:val="fr-CA"/>
        </w:rPr>
        <w:t> </w:t>
      </w:r>
      <w:r w:rsidRPr="000B7739">
        <w:rPr>
          <w:lang w:val="fr-CA"/>
        </w:rPr>
        <w:t xml:space="preserve">») </w:t>
      </w:r>
      <w:r w:rsidR="00281C51" w:rsidRPr="000B7739">
        <w:rPr>
          <w:lang w:val="fr-CA"/>
        </w:rPr>
        <w:t>ainsi que</w:t>
      </w:r>
      <w:r w:rsidRPr="000B7739">
        <w:rPr>
          <w:lang w:val="fr-CA"/>
        </w:rPr>
        <w:t xml:space="preserve"> les fournisseurs de services du Groupe</w:t>
      </w:r>
      <w:r w:rsidR="00AC4107" w:rsidRPr="000B7739">
        <w:rPr>
          <w:lang w:val="fr-CA"/>
        </w:rPr>
        <w:t xml:space="preserve"> </w:t>
      </w:r>
      <w:r w:rsidRPr="000B7739">
        <w:rPr>
          <w:lang w:val="fr-CA"/>
        </w:rPr>
        <w:t xml:space="preserve">HSBC doivent agir conformément aux lois et aux règlements des divers territoires, </w:t>
      </w:r>
      <w:r w:rsidR="005C64D4" w:rsidRPr="000B7739">
        <w:rPr>
          <w:lang w:val="fr-CA"/>
        </w:rPr>
        <w:t>y</w:t>
      </w:r>
      <w:r w:rsidR="00AC4107" w:rsidRPr="000B7739">
        <w:rPr>
          <w:lang w:val="fr-CA"/>
        </w:rPr>
        <w:t xml:space="preserve"> </w:t>
      </w:r>
      <w:r w:rsidR="005C64D4" w:rsidRPr="000B7739">
        <w:rPr>
          <w:lang w:val="fr-CA"/>
        </w:rPr>
        <w:t xml:space="preserve">compris </w:t>
      </w:r>
      <w:r w:rsidR="00560E08" w:rsidRPr="000B7739">
        <w:rPr>
          <w:lang w:val="fr-CA"/>
        </w:rPr>
        <w:t xml:space="preserve">les lois et les règlements relatifs </w:t>
      </w:r>
      <w:r w:rsidRPr="000B7739">
        <w:rPr>
          <w:lang w:val="fr-CA"/>
        </w:rPr>
        <w:t xml:space="preserve">aux </w:t>
      </w:r>
      <w:r w:rsidR="00281C51" w:rsidRPr="000B7739">
        <w:rPr>
          <w:lang w:val="fr-CA"/>
        </w:rPr>
        <w:t>S</w:t>
      </w:r>
      <w:r w:rsidRPr="000B7739">
        <w:rPr>
          <w:lang w:val="fr-CA"/>
        </w:rPr>
        <w:t xml:space="preserve">anctions et </w:t>
      </w:r>
      <w:r w:rsidR="00560E08" w:rsidRPr="000B7739">
        <w:rPr>
          <w:lang w:val="fr-CA"/>
        </w:rPr>
        <w:t xml:space="preserve">à </w:t>
      </w:r>
      <w:r w:rsidRPr="000B7739">
        <w:rPr>
          <w:lang w:val="fr-CA"/>
        </w:rPr>
        <w:t xml:space="preserve">la prévention du recyclage des produits de la criminalité, </w:t>
      </w:r>
      <w:r w:rsidR="00560E08" w:rsidRPr="000B7739">
        <w:rPr>
          <w:lang w:val="fr-CA"/>
        </w:rPr>
        <w:t xml:space="preserve">au </w:t>
      </w:r>
      <w:r w:rsidRPr="000B7739">
        <w:rPr>
          <w:lang w:val="fr-CA"/>
        </w:rPr>
        <w:t>financement d</w:t>
      </w:r>
      <w:r w:rsidR="00564B0C" w:rsidRPr="000B7739">
        <w:rPr>
          <w:lang w:val="fr-CA"/>
        </w:rPr>
        <w:t>’</w:t>
      </w:r>
      <w:r w:rsidRPr="000B7739">
        <w:rPr>
          <w:lang w:val="fr-CA"/>
        </w:rPr>
        <w:t xml:space="preserve">activités terroristes, </w:t>
      </w:r>
      <w:r w:rsidR="00560E08" w:rsidRPr="000B7739">
        <w:rPr>
          <w:lang w:val="fr-CA"/>
        </w:rPr>
        <w:t xml:space="preserve">à </w:t>
      </w:r>
      <w:r w:rsidRPr="000B7739">
        <w:rPr>
          <w:lang w:val="fr-CA"/>
        </w:rPr>
        <w:t xml:space="preserve">la corruption et </w:t>
      </w:r>
      <w:r w:rsidR="00560E08" w:rsidRPr="000B7739">
        <w:rPr>
          <w:lang w:val="fr-CA"/>
        </w:rPr>
        <w:t xml:space="preserve">à </w:t>
      </w:r>
      <w:r w:rsidRPr="000B7739">
        <w:rPr>
          <w:lang w:val="fr-CA"/>
        </w:rPr>
        <w:t>la fraude fiscale;</w:t>
      </w:r>
    </w:p>
    <w:p w14:paraId="2AA5C39F" w14:textId="07AF8DA3" w:rsidR="00A862D6" w:rsidRPr="00B63BD5" w:rsidRDefault="00BF105D" w:rsidP="000B7739">
      <w:pPr>
        <w:pStyle w:val="04LOLglNew3"/>
        <w:rPr>
          <w:lang w:val="fr-CA"/>
        </w:rPr>
      </w:pPr>
      <w:r w:rsidRPr="00B63BD5">
        <w:rPr>
          <w:lang w:val="fr-CA"/>
        </w:rPr>
        <w:t>la Banque peut prendre</w:t>
      </w:r>
      <w:r w:rsidR="00281C51" w:rsidRPr="00B63BD5">
        <w:rPr>
          <w:lang w:val="fr-CA"/>
        </w:rPr>
        <w:t>,</w:t>
      </w:r>
      <w:r w:rsidRPr="00B63BD5">
        <w:rPr>
          <w:lang w:val="fr-CA"/>
        </w:rPr>
        <w:t xml:space="preserve"> et </w:t>
      </w:r>
      <w:r w:rsidR="00560E08" w:rsidRPr="00B63BD5">
        <w:rPr>
          <w:lang w:val="fr-CA"/>
        </w:rPr>
        <w:t xml:space="preserve">donner instruction </w:t>
      </w:r>
      <w:r w:rsidRPr="00B63BD5">
        <w:rPr>
          <w:lang w:val="fr-CA"/>
        </w:rPr>
        <w:t>à d</w:t>
      </w:r>
      <w:r w:rsidR="00564B0C" w:rsidRPr="00B63BD5">
        <w:rPr>
          <w:lang w:val="fr-CA"/>
        </w:rPr>
        <w:t>’</w:t>
      </w:r>
      <w:r w:rsidRPr="00B63BD5">
        <w:rPr>
          <w:lang w:val="fr-CA"/>
        </w:rPr>
        <w:t>autres membres du Groupe HSBC de prendre, dans</w:t>
      </w:r>
      <w:r w:rsidR="00C063F5" w:rsidRPr="00B63BD5">
        <w:rPr>
          <w:lang w:val="fr-CA"/>
        </w:rPr>
        <w:t> </w:t>
      </w:r>
      <w:r w:rsidRPr="00B63BD5">
        <w:rPr>
          <w:lang w:val="fr-CA"/>
        </w:rPr>
        <w:t>la</w:t>
      </w:r>
      <w:r w:rsidR="00C063F5" w:rsidRPr="00B63BD5">
        <w:rPr>
          <w:lang w:val="fr-CA"/>
        </w:rPr>
        <w:t> </w:t>
      </w:r>
      <w:r w:rsidRPr="00B63BD5">
        <w:rPr>
          <w:lang w:val="fr-CA"/>
        </w:rPr>
        <w:t>mesure où elle</w:t>
      </w:r>
      <w:r w:rsidRPr="00B63BD5">
        <w:rPr>
          <w:lang w:val="fr-CA"/>
        </w:rPr>
        <w:noBreakHyphen/>
        <w:t xml:space="preserve">même ou </w:t>
      </w:r>
      <w:r w:rsidR="00560E08" w:rsidRPr="00B63BD5">
        <w:rPr>
          <w:lang w:val="fr-CA"/>
        </w:rPr>
        <w:t xml:space="preserve">ce </w:t>
      </w:r>
      <w:r w:rsidRPr="00B63BD5">
        <w:rPr>
          <w:lang w:val="fr-CA"/>
        </w:rPr>
        <w:t>membre est légalement autorisé à le faire en vertu des lois de</w:t>
      </w:r>
      <w:r w:rsidR="00C063F5" w:rsidRPr="00B63BD5">
        <w:rPr>
          <w:lang w:val="fr-CA"/>
        </w:rPr>
        <w:t> </w:t>
      </w:r>
      <w:r w:rsidRPr="00B63BD5">
        <w:rPr>
          <w:lang w:val="fr-CA"/>
        </w:rPr>
        <w:t>son</w:t>
      </w:r>
      <w:r w:rsidR="00C063F5" w:rsidRPr="00B63BD5">
        <w:rPr>
          <w:lang w:val="fr-CA"/>
        </w:rPr>
        <w:t> </w:t>
      </w:r>
      <w:r w:rsidRPr="00B63BD5">
        <w:rPr>
          <w:lang w:val="fr-CA"/>
        </w:rPr>
        <w:t>territoire, une mesure (une</w:t>
      </w:r>
      <w:r w:rsidR="00AC4107" w:rsidRPr="00B63BD5">
        <w:rPr>
          <w:lang w:val="fr-CA"/>
        </w:rPr>
        <w:t xml:space="preserve"> </w:t>
      </w:r>
      <w:r w:rsidRPr="00B63BD5">
        <w:rPr>
          <w:lang w:val="fr-CA"/>
        </w:rPr>
        <w:t>«</w:t>
      </w:r>
      <w:r w:rsidR="0094743F" w:rsidRPr="00B63BD5">
        <w:rPr>
          <w:lang w:val="fr-CA"/>
        </w:rPr>
        <w:t> </w:t>
      </w:r>
      <w:r w:rsidRPr="00B63BD5">
        <w:rPr>
          <w:b/>
          <w:lang w:val="fr-CA"/>
        </w:rPr>
        <w:t>Mesure de conformité</w:t>
      </w:r>
      <w:r w:rsidR="0094743F" w:rsidRPr="00B63BD5">
        <w:rPr>
          <w:lang w:val="fr-CA"/>
        </w:rPr>
        <w:t> </w:t>
      </w:r>
      <w:r w:rsidRPr="00B63BD5">
        <w:rPr>
          <w:lang w:val="fr-CA"/>
        </w:rPr>
        <w:t>») qu</w:t>
      </w:r>
      <w:r w:rsidR="00564B0C" w:rsidRPr="00B63BD5">
        <w:rPr>
          <w:lang w:val="fr-CA"/>
        </w:rPr>
        <w:t>’</w:t>
      </w:r>
      <w:r w:rsidRPr="00B63BD5">
        <w:rPr>
          <w:lang w:val="fr-CA"/>
        </w:rPr>
        <w:t>e</w:t>
      </w:r>
      <w:r w:rsidR="00281C51" w:rsidRPr="00B63BD5">
        <w:rPr>
          <w:lang w:val="fr-CA"/>
        </w:rPr>
        <w:t>lle-même ou ce membre</w:t>
      </w:r>
      <w:r w:rsidRPr="00B63BD5">
        <w:rPr>
          <w:lang w:val="fr-CA"/>
        </w:rPr>
        <w:t xml:space="preserve">, à son entière discrétion, juge appropriée pour </w:t>
      </w:r>
      <w:r w:rsidR="00281C51" w:rsidRPr="00B63BD5">
        <w:rPr>
          <w:lang w:val="fr-CA"/>
        </w:rPr>
        <w:t xml:space="preserve">se </w:t>
      </w:r>
      <w:r w:rsidRPr="00B63BD5">
        <w:rPr>
          <w:lang w:val="fr-CA"/>
        </w:rPr>
        <w:t>conform</w:t>
      </w:r>
      <w:r w:rsidR="00281C51" w:rsidRPr="00B63BD5">
        <w:rPr>
          <w:lang w:val="fr-CA"/>
        </w:rPr>
        <w:t xml:space="preserve">er </w:t>
      </w:r>
      <w:r w:rsidRPr="00B63BD5">
        <w:rPr>
          <w:lang w:val="fr-CA"/>
        </w:rPr>
        <w:t>aux Sanctions ou aux lois et règlements nationaux et</w:t>
      </w:r>
      <w:r w:rsidR="00C063F5" w:rsidRPr="00B63BD5">
        <w:rPr>
          <w:lang w:val="fr-CA"/>
        </w:rPr>
        <w:t> </w:t>
      </w:r>
      <w:r w:rsidRPr="00B63BD5">
        <w:rPr>
          <w:lang w:val="fr-CA"/>
        </w:rPr>
        <w:t>étrangers. Une Mesure de conformité peut comprendre l</w:t>
      </w:r>
      <w:r w:rsidR="00564B0C" w:rsidRPr="00B63BD5">
        <w:rPr>
          <w:lang w:val="fr-CA"/>
        </w:rPr>
        <w:t>’</w:t>
      </w:r>
      <w:r w:rsidRPr="00B63BD5">
        <w:rPr>
          <w:lang w:val="fr-CA"/>
        </w:rPr>
        <w:t>interception d</w:t>
      </w:r>
      <w:r w:rsidR="00564B0C" w:rsidRPr="00B63BD5">
        <w:rPr>
          <w:lang w:val="fr-CA"/>
        </w:rPr>
        <w:t>’</w:t>
      </w:r>
      <w:r w:rsidRPr="00B63BD5">
        <w:rPr>
          <w:lang w:val="fr-CA"/>
        </w:rPr>
        <w:t xml:space="preserve">un paiement, </w:t>
      </w:r>
      <w:r w:rsidRPr="00B63BD5">
        <w:rPr>
          <w:lang w:val="fr-CA"/>
        </w:rPr>
        <w:lastRenderedPageBreak/>
        <w:t>d</w:t>
      </w:r>
      <w:r w:rsidR="00564B0C" w:rsidRPr="00B63BD5">
        <w:rPr>
          <w:lang w:val="fr-CA"/>
        </w:rPr>
        <w:t>’</w:t>
      </w:r>
      <w:r w:rsidRPr="00B63BD5">
        <w:rPr>
          <w:lang w:val="fr-CA"/>
        </w:rPr>
        <w:t>une</w:t>
      </w:r>
      <w:r w:rsidR="00C063F5" w:rsidRPr="00B63BD5">
        <w:rPr>
          <w:lang w:val="fr-CA"/>
        </w:rPr>
        <w:t> </w:t>
      </w:r>
      <w:r w:rsidRPr="00B63BD5">
        <w:rPr>
          <w:lang w:val="fr-CA"/>
        </w:rPr>
        <w:t>communication, d</w:t>
      </w:r>
      <w:r w:rsidR="00564B0C" w:rsidRPr="00B63BD5">
        <w:rPr>
          <w:lang w:val="fr-CA"/>
        </w:rPr>
        <w:t>’</w:t>
      </w:r>
      <w:r w:rsidRPr="00B63BD5">
        <w:rPr>
          <w:lang w:val="fr-CA"/>
        </w:rPr>
        <w:t xml:space="preserve">une </w:t>
      </w:r>
      <w:r w:rsidR="00281C51" w:rsidRPr="00B63BD5">
        <w:rPr>
          <w:lang w:val="fr-CA"/>
        </w:rPr>
        <w:t xml:space="preserve">directive </w:t>
      </w:r>
      <w:r w:rsidRPr="00B63BD5">
        <w:rPr>
          <w:lang w:val="fr-CA"/>
        </w:rPr>
        <w:t>ou d</w:t>
      </w:r>
      <w:r w:rsidR="00564B0C" w:rsidRPr="00B63BD5">
        <w:rPr>
          <w:lang w:val="fr-CA"/>
        </w:rPr>
        <w:t>’</w:t>
      </w:r>
      <w:r w:rsidRPr="00B63BD5">
        <w:rPr>
          <w:lang w:val="fr-CA"/>
        </w:rPr>
        <w:t>autres renseignements</w:t>
      </w:r>
      <w:r w:rsidR="00281C51" w:rsidRPr="00B63BD5">
        <w:rPr>
          <w:lang w:val="fr-CA"/>
        </w:rPr>
        <w:t>,</w:t>
      </w:r>
      <w:r w:rsidRPr="00B63BD5">
        <w:rPr>
          <w:lang w:val="fr-CA"/>
        </w:rPr>
        <w:t xml:space="preserve"> et l</w:t>
      </w:r>
      <w:r w:rsidR="00560E08" w:rsidRPr="00B63BD5">
        <w:rPr>
          <w:lang w:val="fr-CA"/>
        </w:rPr>
        <w:t xml:space="preserve">a tenue </w:t>
      </w:r>
      <w:r w:rsidRPr="00B63BD5">
        <w:rPr>
          <w:lang w:val="fr-CA"/>
        </w:rPr>
        <w:t>d</w:t>
      </w:r>
      <w:r w:rsidR="00564B0C" w:rsidRPr="00B63BD5">
        <w:rPr>
          <w:lang w:val="fr-CA"/>
        </w:rPr>
        <w:t>’</w:t>
      </w:r>
      <w:r w:rsidRPr="00B63BD5">
        <w:rPr>
          <w:lang w:val="fr-CA"/>
        </w:rPr>
        <w:t>une enquête s</w:t>
      </w:r>
      <w:r w:rsidR="00564B0C" w:rsidRPr="00B63BD5">
        <w:rPr>
          <w:lang w:val="fr-CA"/>
        </w:rPr>
        <w:t>’</w:t>
      </w:r>
      <w:r w:rsidRPr="00B63BD5">
        <w:rPr>
          <w:lang w:val="fr-CA"/>
        </w:rPr>
        <w:t>y</w:t>
      </w:r>
      <w:r w:rsidR="00C063F5" w:rsidRPr="00B63BD5">
        <w:rPr>
          <w:lang w:val="fr-CA"/>
        </w:rPr>
        <w:t> </w:t>
      </w:r>
      <w:r w:rsidRPr="00B63BD5">
        <w:rPr>
          <w:lang w:val="fr-CA"/>
        </w:rPr>
        <w:t xml:space="preserve">rapportant, </w:t>
      </w:r>
      <w:r w:rsidR="00560E08" w:rsidRPr="00B63BD5">
        <w:rPr>
          <w:lang w:val="fr-CA"/>
        </w:rPr>
        <w:t xml:space="preserve">la tenue </w:t>
      </w:r>
      <w:r w:rsidRPr="00B63BD5">
        <w:rPr>
          <w:lang w:val="fr-CA"/>
        </w:rPr>
        <w:t>d</w:t>
      </w:r>
      <w:r w:rsidR="00564B0C" w:rsidRPr="00B63BD5">
        <w:rPr>
          <w:lang w:val="fr-CA"/>
        </w:rPr>
        <w:t>’</w:t>
      </w:r>
      <w:r w:rsidRPr="00B63BD5">
        <w:rPr>
          <w:lang w:val="fr-CA"/>
        </w:rPr>
        <w:t xml:space="preserve">enquêtes supplémentaires </w:t>
      </w:r>
      <w:r w:rsidR="00281C51" w:rsidRPr="00B63BD5">
        <w:rPr>
          <w:lang w:val="fr-CA"/>
        </w:rPr>
        <w:t xml:space="preserve">visant à </w:t>
      </w:r>
      <w:r w:rsidRPr="00B63BD5">
        <w:rPr>
          <w:lang w:val="fr-CA"/>
        </w:rPr>
        <w:t>vérifier si une Personne ou une entité est</w:t>
      </w:r>
      <w:r w:rsidR="00C063F5" w:rsidRPr="00B63BD5">
        <w:rPr>
          <w:lang w:val="fr-CA"/>
        </w:rPr>
        <w:t> </w:t>
      </w:r>
      <w:r w:rsidRPr="00B63BD5">
        <w:rPr>
          <w:lang w:val="fr-CA"/>
        </w:rPr>
        <w:t xml:space="preserve">assujettie </w:t>
      </w:r>
      <w:r w:rsidR="00C04D83" w:rsidRPr="00B63BD5">
        <w:rPr>
          <w:lang w:val="fr-CA"/>
        </w:rPr>
        <w:t xml:space="preserve">à </w:t>
      </w:r>
      <w:r w:rsidRPr="00B63BD5">
        <w:rPr>
          <w:lang w:val="fr-CA"/>
        </w:rPr>
        <w:t>l</w:t>
      </w:r>
      <w:r w:rsidR="00564B0C" w:rsidRPr="00B63BD5">
        <w:rPr>
          <w:lang w:val="fr-CA"/>
        </w:rPr>
        <w:t>’</w:t>
      </w:r>
      <w:r w:rsidRPr="00B63BD5">
        <w:rPr>
          <w:lang w:val="fr-CA"/>
        </w:rPr>
        <w:t>une ou l</w:t>
      </w:r>
      <w:r w:rsidR="00564B0C" w:rsidRPr="00B63BD5">
        <w:rPr>
          <w:lang w:val="fr-CA"/>
        </w:rPr>
        <w:t>’</w:t>
      </w:r>
      <w:r w:rsidRPr="00B63BD5">
        <w:rPr>
          <w:lang w:val="fr-CA"/>
        </w:rPr>
        <w:t>autre des Sanctions et le refus d</w:t>
      </w:r>
      <w:r w:rsidR="00564B0C" w:rsidRPr="00B63BD5">
        <w:rPr>
          <w:lang w:val="fr-CA"/>
        </w:rPr>
        <w:t>’</w:t>
      </w:r>
      <w:r w:rsidRPr="00B63BD5">
        <w:rPr>
          <w:lang w:val="fr-CA"/>
        </w:rPr>
        <w:t>émettre, de payer, de renouveler, de pro</w:t>
      </w:r>
      <w:r w:rsidR="00281C51" w:rsidRPr="00B63BD5">
        <w:rPr>
          <w:lang w:val="fr-CA"/>
        </w:rPr>
        <w:t xml:space="preserve">roger </w:t>
      </w:r>
      <w:r w:rsidRPr="00B63BD5">
        <w:rPr>
          <w:lang w:val="fr-CA"/>
        </w:rPr>
        <w:t>ou de transférer un Crédit documentaire ou une Lettre de gar</w:t>
      </w:r>
      <w:r w:rsidR="00C04D83" w:rsidRPr="00B63BD5">
        <w:rPr>
          <w:lang w:val="fr-CA"/>
        </w:rPr>
        <w:t>a</w:t>
      </w:r>
      <w:r w:rsidRPr="00B63BD5">
        <w:rPr>
          <w:lang w:val="fr-CA"/>
        </w:rPr>
        <w:t>ntie ou de traiter une opération ou</w:t>
      </w:r>
      <w:r w:rsidR="00C063F5" w:rsidRPr="00B63BD5">
        <w:rPr>
          <w:lang w:val="fr-CA"/>
        </w:rPr>
        <w:t> </w:t>
      </w:r>
      <w:r w:rsidRPr="00B63BD5">
        <w:rPr>
          <w:lang w:val="fr-CA"/>
        </w:rPr>
        <w:t>une</w:t>
      </w:r>
      <w:r w:rsidR="00C063F5" w:rsidRPr="00B63BD5">
        <w:rPr>
          <w:lang w:val="fr-CA"/>
        </w:rPr>
        <w:t> </w:t>
      </w:r>
      <w:r w:rsidRPr="00B63BD5">
        <w:rPr>
          <w:lang w:val="fr-CA"/>
        </w:rPr>
        <w:t xml:space="preserve">directive </w:t>
      </w:r>
      <w:r w:rsidR="00560E08" w:rsidRPr="00B63BD5">
        <w:rPr>
          <w:lang w:val="fr-CA"/>
        </w:rPr>
        <w:t xml:space="preserve">dont </w:t>
      </w:r>
      <w:r w:rsidRPr="00B63BD5">
        <w:rPr>
          <w:lang w:val="fr-CA"/>
        </w:rPr>
        <w:t>la Banque</w:t>
      </w:r>
      <w:r w:rsidR="00560E08" w:rsidRPr="00B63BD5">
        <w:rPr>
          <w:lang w:val="fr-CA"/>
        </w:rPr>
        <w:t xml:space="preserve"> estime</w:t>
      </w:r>
      <w:r w:rsidR="005C64D4" w:rsidRPr="00B63BD5">
        <w:rPr>
          <w:lang w:val="fr-CA"/>
        </w:rPr>
        <w:t>,</w:t>
      </w:r>
      <w:r w:rsidR="00281C51" w:rsidRPr="00B63BD5">
        <w:rPr>
          <w:lang w:val="fr-CA"/>
        </w:rPr>
        <w:t xml:space="preserve"> à sa discrétion,</w:t>
      </w:r>
      <w:r w:rsidRPr="00B63BD5">
        <w:rPr>
          <w:lang w:val="fr-CA"/>
        </w:rPr>
        <w:t xml:space="preserve"> </w:t>
      </w:r>
      <w:r w:rsidR="00560E08" w:rsidRPr="00B63BD5">
        <w:rPr>
          <w:lang w:val="fr-CA"/>
        </w:rPr>
        <w:t>qu</w:t>
      </w:r>
      <w:r w:rsidR="00564B0C" w:rsidRPr="00B63BD5">
        <w:rPr>
          <w:lang w:val="fr-CA"/>
        </w:rPr>
        <w:t>’</w:t>
      </w:r>
      <w:r w:rsidR="00560E08" w:rsidRPr="00B63BD5">
        <w:rPr>
          <w:lang w:val="fr-CA"/>
        </w:rPr>
        <w:t xml:space="preserve">elle </w:t>
      </w:r>
      <w:r w:rsidRPr="00B63BD5">
        <w:rPr>
          <w:lang w:val="fr-CA"/>
        </w:rPr>
        <w:t>pourrait ne pas être conforme aux</w:t>
      </w:r>
      <w:r w:rsidR="00C063F5" w:rsidRPr="00B63BD5">
        <w:rPr>
          <w:lang w:val="fr-CA"/>
        </w:rPr>
        <w:t> </w:t>
      </w:r>
      <w:r w:rsidRPr="00B63BD5">
        <w:rPr>
          <w:lang w:val="fr-CA"/>
        </w:rPr>
        <w:t xml:space="preserve">Sanctions. La Banque </w:t>
      </w:r>
      <w:r w:rsidR="00560E08" w:rsidRPr="00B63BD5">
        <w:rPr>
          <w:lang w:val="fr-CA"/>
        </w:rPr>
        <w:t xml:space="preserve">doit faire </w:t>
      </w:r>
      <w:r w:rsidRPr="00B63BD5">
        <w:rPr>
          <w:lang w:val="fr-CA"/>
        </w:rPr>
        <w:t xml:space="preserve">des efforts raisonnables sur le plan commercial pour </w:t>
      </w:r>
      <w:r w:rsidR="00281C51" w:rsidRPr="00B63BD5">
        <w:rPr>
          <w:lang w:val="fr-CA"/>
        </w:rPr>
        <w:t>avise</w:t>
      </w:r>
      <w:r w:rsidR="00F21358" w:rsidRPr="00B63BD5">
        <w:rPr>
          <w:lang w:val="fr-CA"/>
        </w:rPr>
        <w:t>r</w:t>
      </w:r>
      <w:r w:rsidR="00281C51" w:rsidRPr="00B63BD5">
        <w:rPr>
          <w:lang w:val="fr-CA"/>
        </w:rPr>
        <w:t xml:space="preserve"> </w:t>
      </w:r>
      <w:r w:rsidR="00560E08" w:rsidRPr="00B63BD5">
        <w:rPr>
          <w:lang w:val="fr-CA"/>
        </w:rPr>
        <w:t>l</w:t>
      </w:r>
      <w:r w:rsidR="00564B0C" w:rsidRPr="00B63BD5">
        <w:rPr>
          <w:lang w:val="fr-CA"/>
        </w:rPr>
        <w:t>’</w:t>
      </w:r>
      <w:r w:rsidR="00560E08" w:rsidRPr="00B63BD5">
        <w:rPr>
          <w:lang w:val="fr-CA"/>
        </w:rPr>
        <w:t xml:space="preserve">Emprunteur </w:t>
      </w:r>
      <w:r w:rsidRPr="00B63BD5">
        <w:rPr>
          <w:lang w:val="fr-CA"/>
        </w:rPr>
        <w:t>de l</w:t>
      </w:r>
      <w:r w:rsidR="00564B0C" w:rsidRPr="00B63BD5">
        <w:rPr>
          <w:lang w:val="fr-CA"/>
        </w:rPr>
        <w:t>’</w:t>
      </w:r>
      <w:r w:rsidRPr="00B63BD5">
        <w:rPr>
          <w:lang w:val="fr-CA"/>
        </w:rPr>
        <w:t>exis</w:t>
      </w:r>
      <w:r w:rsidR="00C04D83" w:rsidRPr="00B63BD5">
        <w:rPr>
          <w:lang w:val="fr-CA"/>
        </w:rPr>
        <w:t>t</w:t>
      </w:r>
      <w:r w:rsidRPr="00B63BD5">
        <w:rPr>
          <w:lang w:val="fr-CA"/>
        </w:rPr>
        <w:t xml:space="preserve">ence de </w:t>
      </w:r>
      <w:r w:rsidR="005C19E1" w:rsidRPr="00B63BD5">
        <w:rPr>
          <w:lang w:val="fr-CA"/>
        </w:rPr>
        <w:t>ces</w:t>
      </w:r>
      <w:r w:rsidRPr="00B63BD5">
        <w:rPr>
          <w:lang w:val="fr-CA"/>
        </w:rPr>
        <w:t xml:space="preserve"> circonstances aussitôt que possible, dans la mesure permise par</w:t>
      </w:r>
      <w:r w:rsidR="00C063F5" w:rsidRPr="00B63BD5">
        <w:rPr>
          <w:lang w:val="fr-CA"/>
        </w:rPr>
        <w:t> </w:t>
      </w:r>
      <w:r w:rsidRPr="00B63BD5">
        <w:rPr>
          <w:lang w:val="fr-CA"/>
        </w:rPr>
        <w:t>la</w:t>
      </w:r>
      <w:r w:rsidR="00C063F5" w:rsidRPr="00B63BD5">
        <w:rPr>
          <w:lang w:val="fr-CA"/>
        </w:rPr>
        <w:t> </w:t>
      </w:r>
      <w:r w:rsidRPr="00B63BD5">
        <w:rPr>
          <w:lang w:val="fr-CA"/>
        </w:rPr>
        <w:t>loi;</w:t>
      </w:r>
      <w:r w:rsidR="00A862D6" w:rsidRPr="00B63BD5">
        <w:rPr>
          <w:lang w:val="fr-CA"/>
        </w:rPr>
        <w:t xml:space="preserve"> </w:t>
      </w:r>
    </w:p>
    <w:p w14:paraId="344E619C" w14:textId="66ED52B9" w:rsidR="00A862D6" w:rsidRPr="00B63BD5" w:rsidRDefault="00BF105D" w:rsidP="000B7739">
      <w:pPr>
        <w:pStyle w:val="04LOLglNew3"/>
        <w:rPr>
          <w:lang w:val="fr-CA"/>
        </w:rPr>
      </w:pPr>
      <w:r w:rsidRPr="00B63BD5">
        <w:rPr>
          <w:lang w:val="fr-CA"/>
        </w:rPr>
        <w:t>ni la Banque ni aucun membre du Groupe HSBC ne sera responsable des pertes, des frais, des</w:t>
      </w:r>
      <w:r w:rsidR="00C063F5" w:rsidRPr="00B63BD5">
        <w:rPr>
          <w:lang w:val="fr-CA"/>
        </w:rPr>
        <w:t> </w:t>
      </w:r>
      <w:r w:rsidRPr="00B63BD5">
        <w:rPr>
          <w:lang w:val="fr-CA"/>
        </w:rPr>
        <w:t xml:space="preserve">dommages, des réclamations, des actions, des </w:t>
      </w:r>
      <w:r w:rsidR="00560E08" w:rsidRPr="00B63BD5">
        <w:rPr>
          <w:lang w:val="fr-CA"/>
        </w:rPr>
        <w:t xml:space="preserve">poursuites </w:t>
      </w:r>
      <w:r w:rsidR="00FA6166" w:rsidRPr="00B63BD5">
        <w:rPr>
          <w:lang w:val="fr-CA"/>
        </w:rPr>
        <w:t>ou des</w:t>
      </w:r>
      <w:r w:rsidRPr="00B63BD5">
        <w:rPr>
          <w:lang w:val="fr-CA"/>
        </w:rPr>
        <w:t xml:space="preserve"> </w:t>
      </w:r>
      <w:r w:rsidR="00C04D83" w:rsidRPr="00B63BD5">
        <w:rPr>
          <w:lang w:val="fr-CA"/>
        </w:rPr>
        <w:t>r</w:t>
      </w:r>
      <w:r w:rsidRPr="00B63BD5">
        <w:rPr>
          <w:lang w:val="fr-CA"/>
        </w:rPr>
        <w:t>esponsabilités subis ou engagés par les Emprunteurs</w:t>
      </w:r>
      <w:r w:rsidR="005C64D4" w:rsidRPr="00B63BD5">
        <w:rPr>
          <w:lang w:val="fr-CA"/>
        </w:rPr>
        <w:t>,</w:t>
      </w:r>
      <w:r w:rsidRPr="00B63BD5">
        <w:rPr>
          <w:lang w:val="fr-CA"/>
        </w:rPr>
        <w:t xml:space="preserve"> l</w:t>
      </w:r>
      <w:r w:rsidR="00564B0C" w:rsidRPr="00B63BD5">
        <w:rPr>
          <w:lang w:val="fr-CA"/>
        </w:rPr>
        <w:t>’</w:t>
      </w:r>
      <w:r w:rsidRPr="00B63BD5">
        <w:rPr>
          <w:lang w:val="fr-CA"/>
        </w:rPr>
        <w:t>un ou l</w:t>
      </w:r>
      <w:r w:rsidR="00564B0C" w:rsidRPr="00B63BD5">
        <w:rPr>
          <w:lang w:val="fr-CA"/>
        </w:rPr>
        <w:t>’</w:t>
      </w:r>
      <w:r w:rsidRPr="00B63BD5">
        <w:rPr>
          <w:lang w:val="fr-CA"/>
        </w:rPr>
        <w:t>autre des Garants ou une autre Personne</w:t>
      </w:r>
      <w:r w:rsidR="00FA6166" w:rsidRPr="00B63BD5">
        <w:rPr>
          <w:lang w:val="fr-CA"/>
        </w:rPr>
        <w:t>, ou faits ou intentés à</w:t>
      </w:r>
      <w:r w:rsidR="00C063F5" w:rsidRPr="00B63BD5">
        <w:rPr>
          <w:lang w:val="fr-CA"/>
        </w:rPr>
        <w:t> </w:t>
      </w:r>
      <w:r w:rsidR="00FA6166" w:rsidRPr="00B63BD5">
        <w:rPr>
          <w:lang w:val="fr-CA"/>
        </w:rPr>
        <w:t>leur</w:t>
      </w:r>
      <w:r w:rsidR="00C063F5" w:rsidRPr="00B63BD5">
        <w:rPr>
          <w:lang w:val="fr-CA"/>
        </w:rPr>
        <w:t> </w:t>
      </w:r>
      <w:r w:rsidR="00FA6166" w:rsidRPr="00B63BD5">
        <w:rPr>
          <w:lang w:val="fr-CA"/>
        </w:rPr>
        <w:t>encontre,</w:t>
      </w:r>
      <w:r w:rsidRPr="00B63BD5">
        <w:rPr>
          <w:lang w:val="fr-CA"/>
        </w:rPr>
        <w:t xml:space="preserve"> ou du fait que la Banque tarde </w:t>
      </w:r>
      <w:r w:rsidR="00C04D83" w:rsidRPr="00B63BD5">
        <w:rPr>
          <w:lang w:val="fr-CA"/>
        </w:rPr>
        <w:t xml:space="preserve">à </w:t>
      </w:r>
      <w:r w:rsidRPr="00B63BD5">
        <w:rPr>
          <w:lang w:val="fr-CA"/>
        </w:rPr>
        <w:t>remplir ou ne r</w:t>
      </w:r>
      <w:r w:rsidR="00C04D83" w:rsidRPr="00B63BD5">
        <w:rPr>
          <w:lang w:val="fr-CA"/>
        </w:rPr>
        <w:t>e</w:t>
      </w:r>
      <w:r w:rsidRPr="00B63BD5">
        <w:rPr>
          <w:lang w:val="fr-CA"/>
        </w:rPr>
        <w:t>mplit pas les oblig</w:t>
      </w:r>
      <w:r w:rsidR="00C04D83" w:rsidRPr="00B63BD5">
        <w:rPr>
          <w:lang w:val="fr-CA"/>
        </w:rPr>
        <w:t>ations</w:t>
      </w:r>
      <w:r w:rsidRPr="00B63BD5">
        <w:rPr>
          <w:lang w:val="fr-CA"/>
        </w:rPr>
        <w:t xml:space="preserve"> qui</w:t>
      </w:r>
      <w:r w:rsidR="00C063F5" w:rsidRPr="00B63BD5">
        <w:rPr>
          <w:lang w:val="fr-CA"/>
        </w:rPr>
        <w:t> </w:t>
      </w:r>
      <w:r w:rsidRPr="00B63BD5">
        <w:rPr>
          <w:lang w:val="fr-CA"/>
        </w:rPr>
        <w:t>lui</w:t>
      </w:r>
      <w:r w:rsidR="00C063F5" w:rsidRPr="00B63BD5">
        <w:rPr>
          <w:lang w:val="fr-CA"/>
        </w:rPr>
        <w:t> </w:t>
      </w:r>
      <w:r w:rsidRPr="00B63BD5">
        <w:rPr>
          <w:lang w:val="fr-CA"/>
        </w:rPr>
        <w:t>incombent aux termes de</w:t>
      </w:r>
      <w:r w:rsidR="00A80EBB" w:rsidRPr="00B63BD5">
        <w:rPr>
          <w:lang w:val="fr-CA"/>
        </w:rPr>
        <w:t xml:space="preserve"> la</w:t>
      </w:r>
      <w:r w:rsidR="00C04D83" w:rsidRPr="00B63BD5">
        <w:rPr>
          <w:lang w:val="fr-CA"/>
        </w:rPr>
        <w:t xml:space="preserve"> </w:t>
      </w:r>
      <w:r w:rsidRPr="00B63BD5">
        <w:rPr>
          <w:lang w:val="fr-CA"/>
        </w:rPr>
        <w:t>présente</w:t>
      </w:r>
      <w:r w:rsidR="00A80EBB" w:rsidRPr="00B63BD5">
        <w:rPr>
          <w:lang w:val="fr-CA"/>
        </w:rPr>
        <w:t xml:space="preserve"> Lettre relative aux facilités</w:t>
      </w:r>
      <w:r w:rsidRPr="00B63BD5">
        <w:rPr>
          <w:lang w:val="fr-CA"/>
        </w:rPr>
        <w:t xml:space="preserve"> </w:t>
      </w:r>
      <w:r w:rsidR="00B26B34" w:rsidRPr="00B63BD5">
        <w:rPr>
          <w:lang w:val="fr-CA"/>
        </w:rPr>
        <w:t>et qui découlent d</w:t>
      </w:r>
      <w:r w:rsidR="00564B0C" w:rsidRPr="00B63BD5">
        <w:rPr>
          <w:lang w:val="fr-CA"/>
        </w:rPr>
        <w:t>’</w:t>
      </w:r>
      <w:r w:rsidR="00B26B34" w:rsidRPr="00B63BD5">
        <w:rPr>
          <w:lang w:val="fr-CA"/>
        </w:rPr>
        <w:t xml:space="preserve">une </w:t>
      </w:r>
      <w:r w:rsidRPr="00B63BD5">
        <w:rPr>
          <w:lang w:val="fr-CA"/>
        </w:rPr>
        <w:t>Mesure de conformité prise par</w:t>
      </w:r>
      <w:r w:rsidR="00FA6166" w:rsidRPr="00B63BD5">
        <w:rPr>
          <w:lang w:val="fr-CA"/>
        </w:rPr>
        <w:t xml:space="preserve"> la Banque,</w:t>
      </w:r>
      <w:r w:rsidRPr="00B63BD5">
        <w:rPr>
          <w:lang w:val="fr-CA"/>
        </w:rPr>
        <w:t xml:space="preserve"> </w:t>
      </w:r>
      <w:r w:rsidR="00FA6166" w:rsidRPr="00B63BD5">
        <w:rPr>
          <w:lang w:val="fr-CA"/>
        </w:rPr>
        <w:t xml:space="preserve">par </w:t>
      </w:r>
      <w:r w:rsidRPr="00B63BD5">
        <w:rPr>
          <w:lang w:val="fr-CA"/>
        </w:rPr>
        <w:t>ses fournisseurs de services ou</w:t>
      </w:r>
      <w:r w:rsidR="00FA6166" w:rsidRPr="00B63BD5">
        <w:rPr>
          <w:lang w:val="fr-CA"/>
        </w:rPr>
        <w:t xml:space="preserve"> par</w:t>
      </w:r>
      <w:r w:rsidRPr="00B63BD5">
        <w:rPr>
          <w:lang w:val="fr-CA"/>
        </w:rPr>
        <w:t xml:space="preserve"> l</w:t>
      </w:r>
      <w:r w:rsidR="00564B0C" w:rsidRPr="00B63BD5">
        <w:rPr>
          <w:lang w:val="fr-CA"/>
        </w:rPr>
        <w:t>’</w:t>
      </w:r>
      <w:r w:rsidRPr="00B63BD5">
        <w:rPr>
          <w:lang w:val="fr-CA"/>
        </w:rPr>
        <w:t>un ou l</w:t>
      </w:r>
      <w:r w:rsidR="00564B0C" w:rsidRPr="00B63BD5">
        <w:rPr>
          <w:lang w:val="fr-CA"/>
        </w:rPr>
        <w:t>’</w:t>
      </w:r>
      <w:r w:rsidRPr="00B63BD5">
        <w:rPr>
          <w:lang w:val="fr-CA"/>
        </w:rPr>
        <w:t xml:space="preserve">autre des membres du Groupe HSBC, </w:t>
      </w:r>
      <w:r w:rsidR="00C04D83" w:rsidRPr="00B63BD5">
        <w:rPr>
          <w:lang w:val="fr-CA"/>
        </w:rPr>
        <w:t xml:space="preserve">à </w:t>
      </w:r>
      <w:r w:rsidRPr="00B63BD5">
        <w:rPr>
          <w:lang w:val="fr-CA"/>
        </w:rPr>
        <w:t>leur entière discrétion</w:t>
      </w:r>
      <w:r w:rsidR="00FA6166" w:rsidRPr="00B63BD5">
        <w:rPr>
          <w:lang w:val="fr-CA"/>
        </w:rPr>
        <w:t>, ou pour leur compte</w:t>
      </w:r>
      <w:r w:rsidR="00B26B34" w:rsidRPr="00B63BD5">
        <w:rPr>
          <w:lang w:val="fr-CA"/>
        </w:rPr>
        <w:t>, ou qui s</w:t>
      </w:r>
      <w:r w:rsidR="00564B0C" w:rsidRPr="00B63BD5">
        <w:rPr>
          <w:lang w:val="fr-CA"/>
        </w:rPr>
        <w:t>’</w:t>
      </w:r>
      <w:r w:rsidR="00B26B34" w:rsidRPr="00B63BD5">
        <w:rPr>
          <w:lang w:val="fr-CA"/>
        </w:rPr>
        <w:t>y rapportent;</w:t>
      </w:r>
    </w:p>
    <w:p w14:paraId="3E037603" w14:textId="70104D07" w:rsidR="001F7D5E" w:rsidRPr="00B63BD5" w:rsidRDefault="00BF105D" w:rsidP="000B7739">
      <w:pPr>
        <w:pStyle w:val="04LOLglNew3"/>
        <w:rPr>
          <w:lang w:val="fr-CA"/>
        </w:rPr>
      </w:pPr>
      <w:r w:rsidRPr="00B63BD5">
        <w:rPr>
          <w:lang w:val="fr-CA"/>
        </w:rPr>
        <w:t xml:space="preserve">la Banque peut, </w:t>
      </w:r>
      <w:r w:rsidR="00C04D83" w:rsidRPr="00B63BD5">
        <w:rPr>
          <w:lang w:val="fr-CA"/>
        </w:rPr>
        <w:t xml:space="preserve">à son entière </w:t>
      </w:r>
      <w:r w:rsidRPr="00B63BD5">
        <w:rPr>
          <w:lang w:val="fr-CA"/>
        </w:rPr>
        <w:t>discrétion, refuser d</w:t>
      </w:r>
      <w:r w:rsidR="00564B0C" w:rsidRPr="00B63BD5">
        <w:rPr>
          <w:lang w:val="fr-CA"/>
        </w:rPr>
        <w:t>’</w:t>
      </w:r>
      <w:r w:rsidRPr="00B63BD5">
        <w:rPr>
          <w:lang w:val="fr-CA"/>
        </w:rPr>
        <w:t>émettre, de payer, de renouveler, de pro</w:t>
      </w:r>
      <w:r w:rsidR="00B32199" w:rsidRPr="00B63BD5">
        <w:rPr>
          <w:lang w:val="fr-CA"/>
        </w:rPr>
        <w:t>roger</w:t>
      </w:r>
      <w:r w:rsidRPr="00B63BD5">
        <w:rPr>
          <w:lang w:val="fr-CA"/>
        </w:rPr>
        <w:t xml:space="preserve"> ou</w:t>
      </w:r>
      <w:r w:rsidR="00C063F5" w:rsidRPr="00B63BD5">
        <w:rPr>
          <w:lang w:val="fr-CA"/>
        </w:rPr>
        <w:t> </w:t>
      </w:r>
      <w:r w:rsidRPr="00B63BD5">
        <w:rPr>
          <w:lang w:val="fr-CA"/>
        </w:rPr>
        <w:t>de</w:t>
      </w:r>
      <w:r w:rsidR="00C063F5" w:rsidRPr="00B63BD5">
        <w:rPr>
          <w:lang w:val="fr-CA"/>
        </w:rPr>
        <w:t> </w:t>
      </w:r>
      <w:r w:rsidRPr="00B63BD5">
        <w:rPr>
          <w:lang w:val="fr-CA"/>
        </w:rPr>
        <w:t>trans</w:t>
      </w:r>
      <w:r w:rsidR="00C04D83" w:rsidRPr="00B63BD5">
        <w:rPr>
          <w:lang w:val="fr-CA"/>
        </w:rPr>
        <w:t xml:space="preserve">férer </w:t>
      </w:r>
      <w:r w:rsidRPr="00B63BD5">
        <w:rPr>
          <w:lang w:val="fr-CA"/>
        </w:rPr>
        <w:t>un Crédit documentaire ou une Lettre de gar</w:t>
      </w:r>
      <w:r w:rsidR="00C04D83" w:rsidRPr="00B63BD5">
        <w:rPr>
          <w:lang w:val="fr-CA"/>
        </w:rPr>
        <w:t>a</w:t>
      </w:r>
      <w:r w:rsidRPr="00B63BD5">
        <w:rPr>
          <w:lang w:val="fr-CA"/>
        </w:rPr>
        <w:t xml:space="preserve">ntie </w:t>
      </w:r>
      <w:r w:rsidR="00B26B34" w:rsidRPr="00B63BD5">
        <w:rPr>
          <w:lang w:val="fr-CA"/>
        </w:rPr>
        <w:t xml:space="preserve">relativement </w:t>
      </w:r>
      <w:r w:rsidR="00C04D83" w:rsidRPr="00B63BD5">
        <w:rPr>
          <w:lang w:val="fr-CA"/>
        </w:rPr>
        <w:t xml:space="preserve">à </w:t>
      </w:r>
      <w:r w:rsidRPr="00B63BD5">
        <w:rPr>
          <w:lang w:val="fr-CA"/>
        </w:rPr>
        <w:t xml:space="preserve">un pays, </w:t>
      </w:r>
      <w:r w:rsidR="00B32199" w:rsidRPr="00B63BD5">
        <w:rPr>
          <w:lang w:val="fr-CA"/>
        </w:rPr>
        <w:t>à</w:t>
      </w:r>
      <w:r w:rsidR="00C063F5" w:rsidRPr="00B63BD5">
        <w:rPr>
          <w:lang w:val="fr-CA"/>
        </w:rPr>
        <w:t> </w:t>
      </w:r>
      <w:r w:rsidRPr="00B63BD5">
        <w:rPr>
          <w:lang w:val="fr-CA"/>
        </w:rPr>
        <w:t>un</w:t>
      </w:r>
      <w:r w:rsidR="00C063F5" w:rsidRPr="00B63BD5">
        <w:rPr>
          <w:lang w:val="fr-CA"/>
        </w:rPr>
        <w:t> </w:t>
      </w:r>
      <w:r w:rsidRPr="00B63BD5">
        <w:rPr>
          <w:lang w:val="fr-CA"/>
        </w:rPr>
        <w:t>gouvernement,</w:t>
      </w:r>
      <w:r w:rsidR="00B32199" w:rsidRPr="00B63BD5">
        <w:rPr>
          <w:lang w:val="fr-CA"/>
        </w:rPr>
        <w:t xml:space="preserve"> à</w:t>
      </w:r>
      <w:r w:rsidRPr="00B63BD5">
        <w:rPr>
          <w:lang w:val="fr-CA"/>
        </w:rPr>
        <w:t xml:space="preserve"> une entité ou </w:t>
      </w:r>
      <w:r w:rsidR="00C04D83" w:rsidRPr="00B63BD5">
        <w:rPr>
          <w:lang w:val="fr-CA"/>
        </w:rPr>
        <w:t xml:space="preserve">à </w:t>
      </w:r>
      <w:r w:rsidRPr="00B63BD5">
        <w:rPr>
          <w:lang w:val="fr-CA"/>
        </w:rPr>
        <w:t xml:space="preserve">une autre Personne qui est assujetti </w:t>
      </w:r>
      <w:r w:rsidR="00C04D83" w:rsidRPr="00B63BD5">
        <w:rPr>
          <w:lang w:val="fr-CA"/>
        </w:rPr>
        <w:t xml:space="preserve">à des Sanctions </w:t>
      </w:r>
      <w:r w:rsidRPr="00B63BD5">
        <w:rPr>
          <w:lang w:val="fr-CA"/>
        </w:rPr>
        <w:t>ou</w:t>
      </w:r>
      <w:r w:rsidR="00C063F5" w:rsidRPr="00B63BD5">
        <w:rPr>
          <w:lang w:val="fr-CA"/>
        </w:rPr>
        <w:t> </w:t>
      </w:r>
      <w:r w:rsidR="00B32199" w:rsidRPr="00B63BD5">
        <w:rPr>
          <w:lang w:val="fr-CA"/>
        </w:rPr>
        <w:t>à</w:t>
      </w:r>
      <w:r w:rsidR="00C063F5" w:rsidRPr="00B63BD5">
        <w:rPr>
          <w:lang w:val="fr-CA"/>
        </w:rPr>
        <w:t> </w:t>
      </w:r>
      <w:r w:rsidRPr="00B63BD5">
        <w:rPr>
          <w:lang w:val="fr-CA"/>
        </w:rPr>
        <w:t>des</w:t>
      </w:r>
      <w:r w:rsidR="00C063F5" w:rsidRPr="00B63BD5">
        <w:rPr>
          <w:lang w:val="fr-CA"/>
        </w:rPr>
        <w:t> </w:t>
      </w:r>
      <w:r w:rsidRPr="00B63BD5">
        <w:rPr>
          <w:lang w:val="fr-CA"/>
        </w:rPr>
        <w:t xml:space="preserve">restrictions </w:t>
      </w:r>
      <w:r w:rsidR="00B32199" w:rsidRPr="00B63BD5">
        <w:rPr>
          <w:lang w:val="fr-CA"/>
        </w:rPr>
        <w:t>stipulées</w:t>
      </w:r>
      <w:r w:rsidRPr="00B63BD5">
        <w:rPr>
          <w:lang w:val="fr-CA"/>
        </w:rPr>
        <w:t xml:space="preserve"> par les lois nationales ou étrangères</w:t>
      </w:r>
      <w:r w:rsidR="00C04D83" w:rsidRPr="00B63BD5">
        <w:rPr>
          <w:lang w:val="fr-CA"/>
        </w:rPr>
        <w:t xml:space="preserve"> </w:t>
      </w:r>
      <w:r w:rsidRPr="00B63BD5">
        <w:rPr>
          <w:lang w:val="fr-CA"/>
        </w:rPr>
        <w:t xml:space="preserve">ou </w:t>
      </w:r>
      <w:r w:rsidR="00B32199" w:rsidRPr="00B63BD5">
        <w:rPr>
          <w:lang w:val="fr-CA"/>
        </w:rPr>
        <w:t xml:space="preserve">imposées </w:t>
      </w:r>
      <w:r w:rsidRPr="00B63BD5">
        <w:rPr>
          <w:lang w:val="fr-CA"/>
        </w:rPr>
        <w:t>par la Banque ou</w:t>
      </w:r>
      <w:r w:rsidR="00C063F5" w:rsidRPr="00B63BD5">
        <w:rPr>
          <w:lang w:val="fr-CA"/>
        </w:rPr>
        <w:t> </w:t>
      </w:r>
      <w:r w:rsidR="00B32199" w:rsidRPr="00B63BD5">
        <w:rPr>
          <w:lang w:val="fr-CA"/>
        </w:rPr>
        <w:t>par</w:t>
      </w:r>
      <w:r w:rsidR="00C063F5" w:rsidRPr="00B63BD5">
        <w:rPr>
          <w:lang w:val="fr-CA"/>
        </w:rPr>
        <w:t> </w:t>
      </w:r>
      <w:r w:rsidRPr="00B63BD5">
        <w:rPr>
          <w:lang w:val="fr-CA"/>
        </w:rPr>
        <w:t>l</w:t>
      </w:r>
      <w:r w:rsidR="00564B0C" w:rsidRPr="00B63BD5">
        <w:rPr>
          <w:lang w:val="fr-CA"/>
        </w:rPr>
        <w:t>’</w:t>
      </w:r>
      <w:r w:rsidRPr="00B63BD5">
        <w:rPr>
          <w:lang w:val="fr-CA"/>
        </w:rPr>
        <w:t>un ou l</w:t>
      </w:r>
      <w:r w:rsidR="00564B0C" w:rsidRPr="00B63BD5">
        <w:rPr>
          <w:lang w:val="fr-CA"/>
        </w:rPr>
        <w:t>’</w:t>
      </w:r>
      <w:r w:rsidRPr="00B63BD5">
        <w:rPr>
          <w:lang w:val="fr-CA"/>
        </w:rPr>
        <w:t xml:space="preserve">autre des membres du Groupe HSBC, et la Banque a le droit, sans </w:t>
      </w:r>
      <w:r w:rsidR="00B32199" w:rsidRPr="00B63BD5">
        <w:rPr>
          <w:lang w:val="fr-CA"/>
        </w:rPr>
        <w:t xml:space="preserve">en aviser </w:t>
      </w:r>
      <w:r w:rsidR="00C04D83" w:rsidRPr="00B63BD5">
        <w:rPr>
          <w:lang w:val="fr-CA"/>
        </w:rPr>
        <w:t>l</w:t>
      </w:r>
      <w:r w:rsidR="00564B0C" w:rsidRPr="00B63BD5">
        <w:rPr>
          <w:lang w:val="fr-CA"/>
        </w:rPr>
        <w:t>’</w:t>
      </w:r>
      <w:r w:rsidR="00C04D83" w:rsidRPr="00B63BD5">
        <w:rPr>
          <w:lang w:val="fr-CA"/>
        </w:rPr>
        <w:t>un</w:t>
      </w:r>
      <w:r w:rsidR="00C063F5" w:rsidRPr="00B63BD5">
        <w:rPr>
          <w:lang w:val="fr-CA"/>
        </w:rPr>
        <w:t> </w:t>
      </w:r>
      <w:r w:rsidR="00C04D83" w:rsidRPr="00B63BD5">
        <w:rPr>
          <w:lang w:val="fr-CA"/>
        </w:rPr>
        <w:t>ou</w:t>
      </w:r>
      <w:r w:rsidR="00C063F5" w:rsidRPr="00B63BD5">
        <w:rPr>
          <w:lang w:val="fr-CA"/>
        </w:rPr>
        <w:t> </w:t>
      </w:r>
      <w:r w:rsidRPr="00B63BD5">
        <w:rPr>
          <w:lang w:val="fr-CA"/>
        </w:rPr>
        <w:t>l</w:t>
      </w:r>
      <w:r w:rsidR="00564B0C" w:rsidRPr="00B63BD5">
        <w:rPr>
          <w:lang w:val="fr-CA"/>
        </w:rPr>
        <w:t>’</w:t>
      </w:r>
      <w:r w:rsidRPr="00B63BD5">
        <w:rPr>
          <w:lang w:val="fr-CA"/>
        </w:rPr>
        <w:t xml:space="preserve">autre des </w:t>
      </w:r>
      <w:r w:rsidR="008121D8" w:rsidRPr="00B63BD5">
        <w:rPr>
          <w:lang w:val="fr-CA"/>
        </w:rPr>
        <w:t>Bénéficiaires du crédit</w:t>
      </w:r>
      <w:r w:rsidR="00B32199" w:rsidRPr="00B63BD5">
        <w:rPr>
          <w:lang w:val="fr-CA"/>
        </w:rPr>
        <w:t xml:space="preserve"> au préalable</w:t>
      </w:r>
      <w:r w:rsidR="00455A1F" w:rsidRPr="00B63BD5">
        <w:rPr>
          <w:lang w:val="fr-CA"/>
        </w:rPr>
        <w:t>,</w:t>
      </w:r>
      <w:r w:rsidRPr="00B63BD5">
        <w:rPr>
          <w:lang w:val="fr-CA"/>
        </w:rPr>
        <w:t xml:space="preserve"> de rejeter une demande, de refuser de faire un</w:t>
      </w:r>
      <w:r w:rsidR="00C063F5" w:rsidRPr="00B63BD5">
        <w:rPr>
          <w:lang w:val="fr-CA"/>
        </w:rPr>
        <w:t> </w:t>
      </w:r>
      <w:r w:rsidRPr="00B63BD5">
        <w:rPr>
          <w:lang w:val="fr-CA"/>
        </w:rPr>
        <w:t xml:space="preserve">paiement en réponse </w:t>
      </w:r>
      <w:r w:rsidR="00C04D83" w:rsidRPr="00B63BD5">
        <w:rPr>
          <w:lang w:val="fr-CA"/>
        </w:rPr>
        <w:t xml:space="preserve">à </w:t>
      </w:r>
      <w:r w:rsidRPr="00B63BD5">
        <w:rPr>
          <w:lang w:val="fr-CA"/>
        </w:rPr>
        <w:t>une demande</w:t>
      </w:r>
      <w:r w:rsidR="00B32199" w:rsidRPr="00B63BD5">
        <w:rPr>
          <w:lang w:val="fr-CA"/>
        </w:rPr>
        <w:t xml:space="preserve"> ou</w:t>
      </w:r>
      <w:r w:rsidRPr="00B63BD5">
        <w:rPr>
          <w:lang w:val="fr-CA"/>
        </w:rPr>
        <w:t xml:space="preserve"> de traiter une opération ou une directive qui</w:t>
      </w:r>
      <w:r w:rsidR="00C063F5" w:rsidRPr="00B63BD5">
        <w:rPr>
          <w:lang w:val="fr-CA"/>
        </w:rPr>
        <w:t> </w:t>
      </w:r>
      <w:r w:rsidRPr="00B63BD5">
        <w:rPr>
          <w:lang w:val="fr-CA"/>
        </w:rPr>
        <w:t>n</w:t>
      </w:r>
      <w:r w:rsidR="00564B0C" w:rsidRPr="00B63BD5">
        <w:rPr>
          <w:lang w:val="fr-CA"/>
        </w:rPr>
        <w:t>’</w:t>
      </w:r>
      <w:r w:rsidRPr="00B63BD5">
        <w:rPr>
          <w:lang w:val="fr-CA"/>
        </w:rPr>
        <w:t>est</w:t>
      </w:r>
      <w:r w:rsidR="00C063F5" w:rsidRPr="00B63BD5">
        <w:rPr>
          <w:lang w:val="fr-CA"/>
        </w:rPr>
        <w:t> </w:t>
      </w:r>
      <w:r w:rsidRPr="00B63BD5">
        <w:rPr>
          <w:lang w:val="fr-CA"/>
        </w:rPr>
        <w:t>pas</w:t>
      </w:r>
      <w:r w:rsidR="00C063F5" w:rsidRPr="00B63BD5">
        <w:rPr>
          <w:lang w:val="fr-CA"/>
        </w:rPr>
        <w:t> </w:t>
      </w:r>
      <w:r w:rsidRPr="00B63BD5">
        <w:rPr>
          <w:lang w:val="fr-CA"/>
        </w:rPr>
        <w:t xml:space="preserve">conforme </w:t>
      </w:r>
      <w:r w:rsidR="00C04D83" w:rsidRPr="00B63BD5">
        <w:rPr>
          <w:lang w:val="fr-CA"/>
        </w:rPr>
        <w:t xml:space="preserve">à </w:t>
      </w:r>
      <w:r w:rsidRPr="00B63BD5">
        <w:rPr>
          <w:lang w:val="fr-CA"/>
        </w:rPr>
        <w:t>l</w:t>
      </w:r>
      <w:r w:rsidR="00564B0C" w:rsidRPr="00B63BD5">
        <w:rPr>
          <w:lang w:val="fr-CA"/>
        </w:rPr>
        <w:t>’</w:t>
      </w:r>
      <w:r w:rsidRPr="00B63BD5">
        <w:rPr>
          <w:lang w:val="fr-CA"/>
        </w:rPr>
        <w:t>une ou l</w:t>
      </w:r>
      <w:r w:rsidR="00564B0C" w:rsidRPr="00B63BD5">
        <w:rPr>
          <w:lang w:val="fr-CA"/>
        </w:rPr>
        <w:t>’</w:t>
      </w:r>
      <w:r w:rsidRPr="00B63BD5">
        <w:rPr>
          <w:lang w:val="fr-CA"/>
        </w:rPr>
        <w:t>autre de ces San</w:t>
      </w:r>
      <w:r w:rsidR="00C04D83" w:rsidRPr="00B63BD5">
        <w:rPr>
          <w:lang w:val="fr-CA"/>
        </w:rPr>
        <w:t>c</w:t>
      </w:r>
      <w:r w:rsidRPr="00B63BD5">
        <w:rPr>
          <w:lang w:val="fr-CA"/>
        </w:rPr>
        <w:t>tions ou de ces restrictions</w:t>
      </w:r>
      <w:r w:rsidR="00C04D83" w:rsidRPr="00B63BD5">
        <w:rPr>
          <w:lang w:val="fr-CA"/>
        </w:rPr>
        <w:t>;</w:t>
      </w:r>
    </w:p>
    <w:p w14:paraId="25D330DA" w14:textId="7B09B621" w:rsidR="00A862D6" w:rsidRPr="00B63BD5" w:rsidRDefault="00BF105D" w:rsidP="000B7739">
      <w:pPr>
        <w:pStyle w:val="04LOLglNew3"/>
        <w:rPr>
          <w:lang w:val="fr-CA"/>
        </w:rPr>
      </w:pPr>
      <w:r w:rsidRPr="00B63BD5">
        <w:rPr>
          <w:lang w:val="fr-CA"/>
        </w:rPr>
        <w:t>l</w:t>
      </w:r>
      <w:r w:rsidR="00564B0C" w:rsidRPr="00B63BD5">
        <w:rPr>
          <w:lang w:val="fr-CA"/>
        </w:rPr>
        <w:t>’</w:t>
      </w:r>
      <w:r w:rsidRPr="00B63BD5">
        <w:rPr>
          <w:lang w:val="fr-CA"/>
        </w:rPr>
        <w:t>Emprun</w:t>
      </w:r>
      <w:r w:rsidR="00C04D83" w:rsidRPr="00B63BD5">
        <w:rPr>
          <w:lang w:val="fr-CA"/>
        </w:rPr>
        <w:t>t</w:t>
      </w:r>
      <w:r w:rsidRPr="00B63BD5">
        <w:rPr>
          <w:lang w:val="fr-CA"/>
        </w:rPr>
        <w:t>eur indemnisera la Banque des pertes, des frais, des dommages, des</w:t>
      </w:r>
      <w:r w:rsidR="00B26B34" w:rsidRPr="00B63BD5">
        <w:rPr>
          <w:lang w:val="fr-CA"/>
        </w:rPr>
        <w:t xml:space="preserve"> réclamations</w:t>
      </w:r>
      <w:r w:rsidRPr="00B63BD5">
        <w:rPr>
          <w:lang w:val="fr-CA"/>
        </w:rPr>
        <w:t>, des</w:t>
      </w:r>
      <w:r w:rsidR="00C063F5" w:rsidRPr="00B63BD5">
        <w:rPr>
          <w:lang w:val="fr-CA"/>
        </w:rPr>
        <w:t> </w:t>
      </w:r>
      <w:r w:rsidRPr="00B63BD5">
        <w:rPr>
          <w:lang w:val="fr-CA"/>
        </w:rPr>
        <w:t xml:space="preserve">actions, des </w:t>
      </w:r>
      <w:r w:rsidR="00B26B34" w:rsidRPr="00B63BD5">
        <w:rPr>
          <w:lang w:val="fr-CA"/>
        </w:rPr>
        <w:t>poursuites</w:t>
      </w:r>
      <w:r w:rsidRPr="00B63BD5">
        <w:rPr>
          <w:lang w:val="fr-CA"/>
        </w:rPr>
        <w:t>, des mises en demeure et des responsabilités subis ou engagés par</w:t>
      </w:r>
      <w:r w:rsidR="00C063F5" w:rsidRPr="00B63BD5">
        <w:rPr>
          <w:lang w:val="fr-CA"/>
        </w:rPr>
        <w:t> </w:t>
      </w:r>
      <w:r w:rsidRPr="00B63BD5">
        <w:rPr>
          <w:lang w:val="fr-CA"/>
        </w:rPr>
        <w:t>la</w:t>
      </w:r>
      <w:r w:rsidR="00C063F5" w:rsidRPr="00B63BD5">
        <w:rPr>
          <w:lang w:val="fr-CA"/>
        </w:rPr>
        <w:t> </w:t>
      </w:r>
      <w:r w:rsidRPr="00B63BD5">
        <w:rPr>
          <w:lang w:val="fr-CA"/>
        </w:rPr>
        <w:t>Banque ou</w:t>
      </w:r>
      <w:r w:rsidR="007A345C" w:rsidRPr="00B63BD5">
        <w:rPr>
          <w:lang w:val="fr-CA"/>
        </w:rPr>
        <w:t xml:space="preserve"> faits ou</w:t>
      </w:r>
      <w:r w:rsidRPr="00B63BD5">
        <w:rPr>
          <w:lang w:val="fr-CA"/>
        </w:rPr>
        <w:t xml:space="preserve"> intentés </w:t>
      </w:r>
      <w:r w:rsidR="00C04D83" w:rsidRPr="00B63BD5">
        <w:rPr>
          <w:lang w:val="fr-CA"/>
        </w:rPr>
        <w:t xml:space="preserve">à </w:t>
      </w:r>
      <w:r w:rsidRPr="00B63BD5">
        <w:rPr>
          <w:lang w:val="fr-CA"/>
        </w:rPr>
        <w:t xml:space="preserve">son encontre relativement </w:t>
      </w:r>
      <w:r w:rsidR="00C04D83" w:rsidRPr="00B63BD5">
        <w:rPr>
          <w:lang w:val="fr-CA"/>
        </w:rPr>
        <w:t xml:space="preserve">à </w:t>
      </w:r>
      <w:r w:rsidRPr="00B63BD5">
        <w:rPr>
          <w:lang w:val="fr-CA"/>
        </w:rPr>
        <w:t xml:space="preserve">une Mesure de conformité, </w:t>
      </w:r>
      <w:r w:rsidR="00B26B34" w:rsidRPr="00B63BD5">
        <w:rPr>
          <w:lang w:val="fr-CA"/>
        </w:rPr>
        <w:t>à moins qu</w:t>
      </w:r>
      <w:r w:rsidR="00564B0C" w:rsidRPr="00B63BD5">
        <w:rPr>
          <w:lang w:val="fr-CA"/>
        </w:rPr>
        <w:t>’</w:t>
      </w:r>
      <w:r w:rsidRPr="00B63BD5">
        <w:rPr>
          <w:lang w:val="fr-CA"/>
        </w:rPr>
        <w:t xml:space="preserve">un tribunal compétent </w:t>
      </w:r>
      <w:r w:rsidR="00003BDE" w:rsidRPr="00B63BD5">
        <w:rPr>
          <w:lang w:val="fr-CA"/>
        </w:rPr>
        <w:t>n</w:t>
      </w:r>
      <w:r w:rsidR="00564B0C" w:rsidRPr="00B63BD5">
        <w:rPr>
          <w:lang w:val="fr-CA"/>
        </w:rPr>
        <w:t>’</w:t>
      </w:r>
      <w:r w:rsidR="00003BDE" w:rsidRPr="00B63BD5">
        <w:rPr>
          <w:lang w:val="fr-CA"/>
        </w:rPr>
        <w:t xml:space="preserve">ait </w:t>
      </w:r>
      <w:r w:rsidRPr="00B63BD5">
        <w:rPr>
          <w:lang w:val="fr-CA"/>
        </w:rPr>
        <w:t>rend</w:t>
      </w:r>
      <w:r w:rsidR="00003BDE" w:rsidRPr="00B63BD5">
        <w:rPr>
          <w:lang w:val="fr-CA"/>
        </w:rPr>
        <w:t>u</w:t>
      </w:r>
      <w:r w:rsidRPr="00B63BD5">
        <w:rPr>
          <w:lang w:val="fr-CA"/>
        </w:rPr>
        <w:t xml:space="preserve"> une décision définitive</w:t>
      </w:r>
      <w:r w:rsidR="007A345C" w:rsidRPr="00B63BD5">
        <w:rPr>
          <w:lang w:val="fr-CA"/>
        </w:rPr>
        <w:t xml:space="preserve"> </w:t>
      </w:r>
      <w:r w:rsidR="00B26B34" w:rsidRPr="00B63BD5">
        <w:rPr>
          <w:lang w:val="fr-CA"/>
        </w:rPr>
        <w:t xml:space="preserve">et sans </w:t>
      </w:r>
      <w:r w:rsidR="007A345C" w:rsidRPr="00B63BD5">
        <w:rPr>
          <w:lang w:val="fr-CA"/>
        </w:rPr>
        <w:t>appel</w:t>
      </w:r>
      <w:r w:rsidRPr="00B63BD5">
        <w:rPr>
          <w:lang w:val="fr-CA"/>
        </w:rPr>
        <w:t xml:space="preserve"> attribuant de tels pertes, frais, dommages, réclamations, actions, </w:t>
      </w:r>
      <w:r w:rsidR="00B26B34" w:rsidRPr="00B63BD5">
        <w:rPr>
          <w:lang w:val="fr-CA"/>
        </w:rPr>
        <w:t>poursuites</w:t>
      </w:r>
      <w:r w:rsidRPr="00B63BD5">
        <w:rPr>
          <w:lang w:val="fr-CA"/>
        </w:rPr>
        <w:t>, mise</w:t>
      </w:r>
      <w:r w:rsidR="00C04D83" w:rsidRPr="00B63BD5">
        <w:rPr>
          <w:lang w:val="fr-CA"/>
        </w:rPr>
        <w:t>s</w:t>
      </w:r>
      <w:r w:rsidRPr="00B63BD5">
        <w:rPr>
          <w:lang w:val="fr-CA"/>
        </w:rPr>
        <w:t xml:space="preserve"> en de</w:t>
      </w:r>
      <w:r w:rsidR="00C04D83" w:rsidRPr="00B63BD5">
        <w:rPr>
          <w:lang w:val="fr-CA"/>
        </w:rPr>
        <w:t>meu</w:t>
      </w:r>
      <w:r w:rsidRPr="00B63BD5">
        <w:rPr>
          <w:lang w:val="fr-CA"/>
        </w:rPr>
        <w:t>re et responsabilités</w:t>
      </w:r>
      <w:r w:rsidR="00C04D83" w:rsidRPr="00B63BD5">
        <w:rPr>
          <w:lang w:val="fr-CA"/>
        </w:rPr>
        <w:t xml:space="preserve"> </w:t>
      </w:r>
      <w:r w:rsidRPr="00B63BD5">
        <w:rPr>
          <w:lang w:val="fr-CA"/>
        </w:rPr>
        <w:t>uniquement et</w:t>
      </w:r>
      <w:r w:rsidR="00C063F5" w:rsidRPr="00B63BD5">
        <w:rPr>
          <w:lang w:val="fr-CA"/>
        </w:rPr>
        <w:t> </w:t>
      </w:r>
      <w:r w:rsidRPr="00B63BD5">
        <w:rPr>
          <w:lang w:val="fr-CA"/>
        </w:rPr>
        <w:t xml:space="preserve">directement </w:t>
      </w:r>
      <w:r w:rsidR="00C04D83" w:rsidRPr="00B63BD5">
        <w:rPr>
          <w:lang w:val="fr-CA"/>
        </w:rPr>
        <w:t xml:space="preserve">à </w:t>
      </w:r>
      <w:r w:rsidR="00B26B34" w:rsidRPr="00B63BD5">
        <w:rPr>
          <w:lang w:val="fr-CA"/>
        </w:rPr>
        <w:t xml:space="preserve">une faute lourde ou intentionnelle </w:t>
      </w:r>
      <w:r w:rsidRPr="00B63BD5">
        <w:rPr>
          <w:lang w:val="fr-CA"/>
        </w:rPr>
        <w:t>de la Banque.</w:t>
      </w:r>
    </w:p>
    <w:p w14:paraId="3205D3EB" w14:textId="7D784A36" w:rsidR="00D12F80" w:rsidRPr="00B63BD5" w:rsidRDefault="00EA5167" w:rsidP="00632863">
      <w:pPr>
        <w:pStyle w:val="ListNumber"/>
        <w:spacing w:after="240"/>
        <w:ind w:left="709"/>
        <w:jc w:val="both"/>
        <w:rPr>
          <w:lang w:val="fr-CA"/>
        </w:rPr>
      </w:pPr>
      <w:r w:rsidRPr="00B63BD5">
        <w:rPr>
          <w:lang w:val="fr-CA"/>
        </w:rPr>
        <w:t xml:space="preserve">Communications électroniques et </w:t>
      </w:r>
      <w:r w:rsidR="002511E2" w:rsidRPr="00B63BD5">
        <w:rPr>
          <w:lang w:val="fr-CA"/>
        </w:rPr>
        <w:t>S</w:t>
      </w:r>
      <w:r w:rsidRPr="00B63BD5">
        <w:rPr>
          <w:lang w:val="fr-CA"/>
        </w:rPr>
        <w:t>ignatures électroniques</w:t>
      </w:r>
    </w:p>
    <w:p w14:paraId="249FA51B" w14:textId="21F31576" w:rsidR="00767589" w:rsidRPr="000B7739" w:rsidRDefault="00D26168" w:rsidP="000C4154">
      <w:pPr>
        <w:pStyle w:val="04LOLglNew3"/>
        <w:numPr>
          <w:ilvl w:val="2"/>
          <w:numId w:val="51"/>
        </w:numPr>
        <w:rPr>
          <w:lang w:val="fr-CA"/>
        </w:rPr>
      </w:pPr>
      <w:bookmarkStart w:id="11" w:name="_Hlk120010651"/>
      <w:r w:rsidRPr="000B7739">
        <w:rPr>
          <w:lang w:val="fr-CA"/>
        </w:rPr>
        <w:t>Les Bénéficiaires du crédit</w:t>
      </w:r>
      <w:r w:rsidR="00EA5167" w:rsidRPr="000B7739">
        <w:rPr>
          <w:lang w:val="fr-CA"/>
        </w:rPr>
        <w:t xml:space="preserve"> autorise</w:t>
      </w:r>
      <w:r w:rsidRPr="000B7739">
        <w:rPr>
          <w:lang w:val="fr-CA"/>
        </w:rPr>
        <w:t>nt</w:t>
      </w:r>
      <w:r w:rsidR="00EA5167" w:rsidRPr="000B7739">
        <w:rPr>
          <w:lang w:val="fr-CA"/>
        </w:rPr>
        <w:t xml:space="preserve"> la Banque </w:t>
      </w:r>
      <w:r w:rsidR="00B26B34" w:rsidRPr="000B7739">
        <w:rPr>
          <w:lang w:val="fr-CA"/>
        </w:rPr>
        <w:t xml:space="preserve">par les présentes </w:t>
      </w:r>
      <w:r w:rsidR="00EA5167" w:rsidRPr="000B7739">
        <w:rPr>
          <w:lang w:val="fr-CA"/>
        </w:rPr>
        <w:t>à accept</w:t>
      </w:r>
      <w:r w:rsidR="00FB687B" w:rsidRPr="000B7739">
        <w:rPr>
          <w:lang w:val="fr-CA"/>
        </w:rPr>
        <w:t>er des C</w:t>
      </w:r>
      <w:r w:rsidR="00EA5167" w:rsidRPr="000B7739">
        <w:rPr>
          <w:lang w:val="fr-CA"/>
        </w:rPr>
        <w:t>omm</w:t>
      </w:r>
      <w:r w:rsidR="00FD6D99" w:rsidRPr="000B7739">
        <w:rPr>
          <w:lang w:val="fr-CA"/>
        </w:rPr>
        <w:t xml:space="preserve">unications électroniques </w:t>
      </w:r>
      <w:r w:rsidR="00EA5167" w:rsidRPr="000B7739">
        <w:rPr>
          <w:lang w:val="fr-CA"/>
        </w:rPr>
        <w:t>et</w:t>
      </w:r>
      <w:r w:rsidR="00C063F5" w:rsidRPr="000B7739">
        <w:rPr>
          <w:lang w:val="fr-CA"/>
        </w:rPr>
        <w:t> </w:t>
      </w:r>
      <w:r w:rsidR="00EA5167" w:rsidRPr="000B7739">
        <w:rPr>
          <w:lang w:val="fr-CA"/>
        </w:rPr>
        <w:t xml:space="preserve">des </w:t>
      </w:r>
      <w:r w:rsidR="00FB687B" w:rsidRPr="000B7739">
        <w:rPr>
          <w:lang w:val="fr-CA"/>
        </w:rPr>
        <w:t>S</w:t>
      </w:r>
      <w:r w:rsidR="00FD6D99" w:rsidRPr="000B7739">
        <w:rPr>
          <w:lang w:val="fr-CA"/>
        </w:rPr>
        <w:t xml:space="preserve">ignatures électroniques </w:t>
      </w:r>
      <w:r w:rsidR="00F37C9E" w:rsidRPr="000B7739">
        <w:rPr>
          <w:lang w:val="fr-CA"/>
        </w:rPr>
        <w:t>de</w:t>
      </w:r>
      <w:r w:rsidRPr="000B7739">
        <w:rPr>
          <w:lang w:val="fr-CA"/>
        </w:rPr>
        <w:t>s Bénéficiaires du crédit</w:t>
      </w:r>
      <w:r w:rsidRPr="000B7739" w:rsidDel="00D26168">
        <w:rPr>
          <w:b/>
          <w:lang w:val="fr-CA"/>
        </w:rPr>
        <w:t xml:space="preserve"> </w:t>
      </w:r>
      <w:r w:rsidR="00EA5167" w:rsidRPr="000B7739">
        <w:rPr>
          <w:lang w:val="fr-CA"/>
        </w:rPr>
        <w:t xml:space="preserve">relativement à la présente Lettre relative aux facilités et aux </w:t>
      </w:r>
      <w:r w:rsidR="00794D4E" w:rsidRPr="000B7739">
        <w:rPr>
          <w:lang w:val="fr-CA"/>
        </w:rPr>
        <w:t xml:space="preserve">autres </w:t>
      </w:r>
      <w:r w:rsidR="00EA5167" w:rsidRPr="000B7739">
        <w:rPr>
          <w:lang w:val="fr-CA"/>
        </w:rPr>
        <w:t>Documents de prêt et consent</w:t>
      </w:r>
      <w:r w:rsidRPr="000B7739">
        <w:rPr>
          <w:lang w:val="fr-CA"/>
        </w:rPr>
        <w:t>ent</w:t>
      </w:r>
      <w:r w:rsidR="00EA5167" w:rsidRPr="000B7739">
        <w:rPr>
          <w:lang w:val="fr-CA"/>
        </w:rPr>
        <w:t xml:space="preserve"> par les présentes à recevoir des </w:t>
      </w:r>
      <w:r w:rsidR="00A80EBB" w:rsidRPr="000B7739">
        <w:rPr>
          <w:lang w:val="fr-CA"/>
        </w:rPr>
        <w:t>messages électroniques commerciaux de la Banque, ou pour le compte de celle</w:t>
      </w:r>
      <w:r w:rsidR="00A80EBB" w:rsidRPr="000B7739">
        <w:rPr>
          <w:lang w:val="fr-CA"/>
        </w:rPr>
        <w:noBreakHyphen/>
        <w:t xml:space="preserve">ci, et des </w:t>
      </w:r>
      <w:r w:rsidR="00EA5167" w:rsidRPr="000B7739">
        <w:rPr>
          <w:lang w:val="fr-CA"/>
        </w:rPr>
        <w:t>conventions, des</w:t>
      </w:r>
      <w:r w:rsidR="00F37C9E" w:rsidRPr="000B7739">
        <w:rPr>
          <w:lang w:val="fr-CA"/>
        </w:rPr>
        <w:t xml:space="preserve"> directives</w:t>
      </w:r>
      <w:r w:rsidR="00EA5167" w:rsidRPr="000B7739">
        <w:rPr>
          <w:lang w:val="fr-CA"/>
        </w:rPr>
        <w:t>, des</w:t>
      </w:r>
      <w:r w:rsidR="00C063F5" w:rsidRPr="000B7739">
        <w:rPr>
          <w:lang w:val="fr-CA"/>
        </w:rPr>
        <w:t> </w:t>
      </w:r>
      <w:r w:rsidR="00EA5167" w:rsidRPr="000B7739">
        <w:rPr>
          <w:lang w:val="fr-CA"/>
        </w:rPr>
        <w:t>documents, des ren</w:t>
      </w:r>
      <w:r w:rsidR="00FD6D99" w:rsidRPr="000B7739">
        <w:rPr>
          <w:lang w:val="fr-CA"/>
        </w:rPr>
        <w:t>se</w:t>
      </w:r>
      <w:r w:rsidR="00EA5167" w:rsidRPr="000B7739">
        <w:rPr>
          <w:lang w:val="fr-CA"/>
        </w:rPr>
        <w:t>i</w:t>
      </w:r>
      <w:r w:rsidR="00FD6D99" w:rsidRPr="000B7739">
        <w:rPr>
          <w:lang w:val="fr-CA"/>
        </w:rPr>
        <w:t>g</w:t>
      </w:r>
      <w:r w:rsidR="00EA5167" w:rsidRPr="000B7739">
        <w:rPr>
          <w:lang w:val="fr-CA"/>
        </w:rPr>
        <w:t xml:space="preserve">nements, des avis ou </w:t>
      </w:r>
      <w:r w:rsidR="00F21358" w:rsidRPr="000B7739">
        <w:rPr>
          <w:lang w:val="fr-CA"/>
        </w:rPr>
        <w:t>d</w:t>
      </w:r>
      <w:r w:rsidR="00564B0C" w:rsidRPr="000B7739">
        <w:rPr>
          <w:lang w:val="fr-CA"/>
        </w:rPr>
        <w:t>’</w:t>
      </w:r>
      <w:r w:rsidR="00F21358" w:rsidRPr="000B7739">
        <w:rPr>
          <w:lang w:val="fr-CA"/>
        </w:rPr>
        <w:t xml:space="preserve">autres </w:t>
      </w:r>
      <w:r w:rsidR="00FD6D99" w:rsidRPr="000B7739">
        <w:rPr>
          <w:lang w:val="fr-CA"/>
        </w:rPr>
        <w:t>communications</w:t>
      </w:r>
      <w:r w:rsidR="00F37C9E" w:rsidRPr="000B7739">
        <w:rPr>
          <w:lang w:val="fr-CA"/>
        </w:rPr>
        <w:t xml:space="preserve"> de </w:t>
      </w:r>
      <w:r w:rsidR="00EA5167" w:rsidRPr="000B7739">
        <w:rPr>
          <w:lang w:val="fr-CA"/>
        </w:rPr>
        <w:t>la B</w:t>
      </w:r>
      <w:r w:rsidR="00FD6D99" w:rsidRPr="000B7739">
        <w:rPr>
          <w:lang w:val="fr-CA"/>
        </w:rPr>
        <w:t>anque</w:t>
      </w:r>
      <w:r w:rsidR="00EA5167" w:rsidRPr="000B7739">
        <w:rPr>
          <w:lang w:val="fr-CA"/>
        </w:rPr>
        <w:t xml:space="preserve"> sous forme de</w:t>
      </w:r>
      <w:r w:rsidR="00FD6D99" w:rsidRPr="000B7739">
        <w:rPr>
          <w:lang w:val="fr-CA"/>
        </w:rPr>
        <w:t xml:space="preserve"> </w:t>
      </w:r>
      <w:r w:rsidR="00FB687B" w:rsidRPr="000B7739">
        <w:rPr>
          <w:lang w:val="fr-CA"/>
        </w:rPr>
        <w:t>C</w:t>
      </w:r>
      <w:r w:rsidR="00F37C9E" w:rsidRPr="000B7739">
        <w:rPr>
          <w:lang w:val="fr-CA"/>
        </w:rPr>
        <w:t>ommunication</w:t>
      </w:r>
      <w:r w:rsidR="00FD6D99" w:rsidRPr="000B7739">
        <w:rPr>
          <w:lang w:val="fr-CA"/>
        </w:rPr>
        <w:t xml:space="preserve"> électronique</w:t>
      </w:r>
      <w:r w:rsidR="00EA5167" w:rsidRPr="000B7739">
        <w:rPr>
          <w:lang w:val="fr-CA"/>
        </w:rPr>
        <w:t>.</w:t>
      </w:r>
    </w:p>
    <w:p w14:paraId="1B8DC245" w14:textId="0AB97F80" w:rsidR="00767589" w:rsidRPr="000B7739" w:rsidRDefault="00D26168" w:rsidP="000C4154">
      <w:pPr>
        <w:pStyle w:val="04LOLglNew3"/>
        <w:numPr>
          <w:ilvl w:val="2"/>
          <w:numId w:val="51"/>
        </w:numPr>
        <w:rPr>
          <w:lang w:val="fr-CA"/>
        </w:rPr>
      </w:pPr>
      <w:r w:rsidRPr="000B7739">
        <w:rPr>
          <w:lang w:val="fr-CA"/>
        </w:rPr>
        <w:t>Les Bénéficiaires du crédit</w:t>
      </w:r>
      <w:r w:rsidR="00EA5167" w:rsidRPr="000B7739">
        <w:rPr>
          <w:lang w:val="fr-CA"/>
        </w:rPr>
        <w:t xml:space="preserve"> convien</w:t>
      </w:r>
      <w:r w:rsidRPr="000B7739">
        <w:rPr>
          <w:lang w:val="fr-CA"/>
        </w:rPr>
        <w:t>nen</w:t>
      </w:r>
      <w:r w:rsidR="00EA5167" w:rsidRPr="000B7739">
        <w:rPr>
          <w:lang w:val="fr-CA"/>
        </w:rPr>
        <w:t xml:space="preserve">t que les </w:t>
      </w:r>
      <w:r w:rsidR="00FB687B" w:rsidRPr="000B7739">
        <w:rPr>
          <w:lang w:val="fr-CA"/>
        </w:rPr>
        <w:t>C</w:t>
      </w:r>
      <w:r w:rsidR="00FD6D99" w:rsidRPr="000B7739">
        <w:rPr>
          <w:lang w:val="fr-CA"/>
        </w:rPr>
        <w:t>ommunications électroniques</w:t>
      </w:r>
      <w:r w:rsidR="00EA5167" w:rsidRPr="000B7739">
        <w:rPr>
          <w:lang w:val="fr-CA"/>
        </w:rPr>
        <w:t>, y</w:t>
      </w:r>
      <w:r w:rsidR="00AC4107" w:rsidRPr="000B7739">
        <w:rPr>
          <w:lang w:val="fr-CA"/>
        </w:rPr>
        <w:t xml:space="preserve"> </w:t>
      </w:r>
      <w:r w:rsidR="00EA5167" w:rsidRPr="000B7739">
        <w:rPr>
          <w:lang w:val="fr-CA"/>
        </w:rPr>
        <w:t xml:space="preserve">compris les </w:t>
      </w:r>
      <w:r w:rsidR="00FB687B" w:rsidRPr="000B7739">
        <w:rPr>
          <w:lang w:val="fr-CA"/>
        </w:rPr>
        <w:t>S</w:t>
      </w:r>
      <w:r w:rsidR="00FD6D99" w:rsidRPr="000B7739">
        <w:rPr>
          <w:lang w:val="fr-CA"/>
        </w:rPr>
        <w:t xml:space="preserve">ignatures électroniques </w:t>
      </w:r>
      <w:r w:rsidR="004F2260" w:rsidRPr="000B7739">
        <w:rPr>
          <w:lang w:val="fr-CA"/>
        </w:rPr>
        <w:t>associées à celles</w:t>
      </w:r>
      <w:r w:rsidR="004F2260" w:rsidRPr="000B7739">
        <w:rPr>
          <w:lang w:val="fr-CA"/>
        </w:rPr>
        <w:noBreakHyphen/>
        <w:t>ci</w:t>
      </w:r>
      <w:r w:rsidR="00EA5167" w:rsidRPr="000B7739">
        <w:rPr>
          <w:lang w:val="fr-CA"/>
        </w:rPr>
        <w:t>, que la B</w:t>
      </w:r>
      <w:r w:rsidR="00FD6D99" w:rsidRPr="000B7739">
        <w:rPr>
          <w:lang w:val="fr-CA"/>
        </w:rPr>
        <w:t>anque reçoit</w:t>
      </w:r>
      <w:r w:rsidRPr="000B7739">
        <w:rPr>
          <w:lang w:val="fr-CA"/>
        </w:rPr>
        <w:t xml:space="preserve"> d’eux</w:t>
      </w:r>
      <w:r w:rsidR="004F2260" w:rsidRPr="000B7739">
        <w:rPr>
          <w:lang w:val="fr-CA"/>
        </w:rPr>
        <w:t xml:space="preserve"> </w:t>
      </w:r>
      <w:r w:rsidR="00EA5167" w:rsidRPr="000B7739">
        <w:rPr>
          <w:lang w:val="fr-CA"/>
        </w:rPr>
        <w:t xml:space="preserve">ou </w:t>
      </w:r>
      <w:r w:rsidR="00B26B34" w:rsidRPr="000B7739">
        <w:rPr>
          <w:lang w:val="fr-CA"/>
        </w:rPr>
        <w:t xml:space="preserve">qui sont faites </w:t>
      </w:r>
      <w:r w:rsidR="004F2260" w:rsidRPr="000B7739">
        <w:rPr>
          <w:lang w:val="fr-CA"/>
        </w:rPr>
        <w:t xml:space="preserve">à </w:t>
      </w:r>
      <w:r w:rsidRPr="000B7739">
        <w:rPr>
          <w:lang w:val="fr-CA"/>
        </w:rPr>
        <w:t>leurs</w:t>
      </w:r>
      <w:r w:rsidR="004F2260" w:rsidRPr="000B7739">
        <w:rPr>
          <w:lang w:val="fr-CA"/>
        </w:rPr>
        <w:t xml:space="preserve"> </w:t>
      </w:r>
      <w:r w:rsidR="00EA5167" w:rsidRPr="000B7739">
        <w:rPr>
          <w:lang w:val="fr-CA"/>
        </w:rPr>
        <w:t>nom</w:t>
      </w:r>
      <w:r w:rsidRPr="000B7739">
        <w:rPr>
          <w:lang w:val="fr-CA"/>
        </w:rPr>
        <w:t>s</w:t>
      </w:r>
      <w:r w:rsidR="00EA5167" w:rsidRPr="000B7739">
        <w:rPr>
          <w:lang w:val="fr-CA"/>
        </w:rPr>
        <w:t xml:space="preserve"> ou qui semblent provenir d</w:t>
      </w:r>
      <w:r w:rsidRPr="000B7739">
        <w:rPr>
          <w:lang w:val="fr-CA"/>
        </w:rPr>
        <w:t>’eux</w:t>
      </w:r>
      <w:r w:rsidR="004F2260" w:rsidRPr="000B7739">
        <w:rPr>
          <w:lang w:val="fr-CA"/>
        </w:rPr>
        <w:t xml:space="preserve"> </w:t>
      </w:r>
      <w:r w:rsidR="00EA5167" w:rsidRPr="000B7739">
        <w:rPr>
          <w:lang w:val="fr-CA"/>
        </w:rPr>
        <w:t xml:space="preserve">ou </w:t>
      </w:r>
      <w:r w:rsidR="00B26B34" w:rsidRPr="000B7739">
        <w:rPr>
          <w:lang w:val="fr-CA"/>
        </w:rPr>
        <w:t xml:space="preserve">être faites </w:t>
      </w:r>
      <w:r w:rsidR="004D593D" w:rsidRPr="000B7739">
        <w:rPr>
          <w:lang w:val="fr-CA"/>
        </w:rPr>
        <w:t xml:space="preserve">à </w:t>
      </w:r>
      <w:r w:rsidRPr="000B7739">
        <w:rPr>
          <w:lang w:val="fr-CA"/>
        </w:rPr>
        <w:t>leurs</w:t>
      </w:r>
      <w:r w:rsidR="004D593D" w:rsidRPr="000B7739">
        <w:rPr>
          <w:lang w:val="fr-CA"/>
        </w:rPr>
        <w:t xml:space="preserve"> nom</w:t>
      </w:r>
      <w:r w:rsidRPr="000B7739">
        <w:rPr>
          <w:lang w:val="fr-CA"/>
        </w:rPr>
        <w:t>s</w:t>
      </w:r>
      <w:r w:rsidR="004D593D" w:rsidRPr="000B7739">
        <w:rPr>
          <w:lang w:val="fr-CA"/>
        </w:rPr>
        <w:t xml:space="preserve"> </w:t>
      </w:r>
      <w:r w:rsidR="00EA5167" w:rsidRPr="000B7739">
        <w:rPr>
          <w:lang w:val="fr-CA"/>
        </w:rPr>
        <w:t xml:space="preserve">seront considérées comme </w:t>
      </w:r>
      <w:r w:rsidR="00B26B34" w:rsidRPr="000B7739">
        <w:rPr>
          <w:lang w:val="fr-CA"/>
        </w:rPr>
        <w:t xml:space="preserve">ayant été </w:t>
      </w:r>
      <w:r w:rsidR="00EA5167" w:rsidRPr="000B7739">
        <w:rPr>
          <w:lang w:val="fr-CA"/>
        </w:rPr>
        <w:t>dûment autorisées et</w:t>
      </w:r>
      <w:r w:rsidR="004D593D" w:rsidRPr="000B7739">
        <w:rPr>
          <w:lang w:val="fr-CA"/>
        </w:rPr>
        <w:t xml:space="preserve"> </w:t>
      </w:r>
      <w:r w:rsidR="00B26B34" w:rsidRPr="000B7739">
        <w:rPr>
          <w:lang w:val="fr-CA"/>
        </w:rPr>
        <w:t xml:space="preserve">liant </w:t>
      </w:r>
      <w:r w:rsidR="00A96408" w:rsidRPr="000B7739">
        <w:rPr>
          <w:lang w:val="fr-CA"/>
        </w:rPr>
        <w:t xml:space="preserve">les Bénéficiaires du crédit </w:t>
      </w:r>
      <w:r w:rsidR="00EA5167" w:rsidRPr="000B7739">
        <w:rPr>
          <w:lang w:val="fr-CA"/>
        </w:rPr>
        <w:t>(</w:t>
      </w:r>
      <w:r w:rsidR="00B26B34" w:rsidRPr="000B7739">
        <w:rPr>
          <w:lang w:val="fr-CA"/>
        </w:rPr>
        <w:t xml:space="preserve">que ces </w:t>
      </w:r>
      <w:r w:rsidR="00FD6D99" w:rsidRPr="000B7739">
        <w:rPr>
          <w:lang w:val="fr-CA"/>
        </w:rPr>
        <w:t>communication</w:t>
      </w:r>
      <w:r w:rsidR="00D2655F" w:rsidRPr="000B7739">
        <w:rPr>
          <w:lang w:val="fr-CA"/>
        </w:rPr>
        <w:t>s</w:t>
      </w:r>
      <w:r w:rsidR="00FD6D99" w:rsidRPr="000B7739">
        <w:rPr>
          <w:lang w:val="fr-CA"/>
        </w:rPr>
        <w:t xml:space="preserve"> </w:t>
      </w:r>
      <w:r w:rsidR="00B26B34" w:rsidRPr="000B7739">
        <w:rPr>
          <w:lang w:val="fr-CA"/>
        </w:rPr>
        <w:t xml:space="preserve">aient bel et bien été envoyées ou autorisées par </w:t>
      </w:r>
      <w:r w:rsidR="00A96408" w:rsidRPr="000B7739">
        <w:rPr>
          <w:lang w:val="fr-CA"/>
        </w:rPr>
        <w:t xml:space="preserve">les Bénéficiaires du crédit </w:t>
      </w:r>
      <w:r w:rsidR="00B26B34" w:rsidRPr="000B7739">
        <w:rPr>
          <w:lang w:val="fr-CA"/>
        </w:rPr>
        <w:t>ou non</w:t>
      </w:r>
      <w:r w:rsidR="00EA5167" w:rsidRPr="000B7739">
        <w:rPr>
          <w:lang w:val="fr-CA"/>
        </w:rPr>
        <w:t>) et la B</w:t>
      </w:r>
      <w:r w:rsidR="00FD6D99" w:rsidRPr="000B7739">
        <w:rPr>
          <w:lang w:val="fr-CA"/>
        </w:rPr>
        <w:t>anque</w:t>
      </w:r>
      <w:r w:rsidR="00EA5167" w:rsidRPr="000B7739">
        <w:rPr>
          <w:lang w:val="fr-CA"/>
        </w:rPr>
        <w:t xml:space="preserve"> sera autorisée à</w:t>
      </w:r>
      <w:r w:rsidR="00FD6D99" w:rsidRPr="000B7739">
        <w:rPr>
          <w:lang w:val="fr-CA"/>
        </w:rPr>
        <w:t xml:space="preserve"> </w:t>
      </w:r>
      <w:r w:rsidR="00EA5167" w:rsidRPr="000B7739">
        <w:rPr>
          <w:lang w:val="fr-CA"/>
        </w:rPr>
        <w:t xml:space="preserve">se fier à de telles </w:t>
      </w:r>
      <w:r w:rsidR="00FB687B" w:rsidRPr="000B7739">
        <w:rPr>
          <w:lang w:val="fr-CA"/>
        </w:rPr>
        <w:t>C</w:t>
      </w:r>
      <w:r w:rsidR="00FD6D99" w:rsidRPr="000B7739">
        <w:rPr>
          <w:lang w:val="fr-CA"/>
        </w:rPr>
        <w:t>ommunications électroniques</w:t>
      </w:r>
      <w:r w:rsidR="00EA5167" w:rsidRPr="000B7739">
        <w:rPr>
          <w:lang w:val="fr-CA"/>
        </w:rPr>
        <w:t>, y</w:t>
      </w:r>
      <w:r w:rsidR="00AC4107" w:rsidRPr="000B7739">
        <w:rPr>
          <w:lang w:val="fr-CA"/>
        </w:rPr>
        <w:t xml:space="preserve"> </w:t>
      </w:r>
      <w:r w:rsidR="00EA5167" w:rsidRPr="000B7739">
        <w:rPr>
          <w:lang w:val="fr-CA"/>
        </w:rPr>
        <w:t xml:space="preserve">compris </w:t>
      </w:r>
      <w:r w:rsidR="004D593D" w:rsidRPr="000B7739">
        <w:rPr>
          <w:lang w:val="fr-CA"/>
        </w:rPr>
        <w:t>les</w:t>
      </w:r>
      <w:r w:rsidR="00C063F5" w:rsidRPr="000B7739">
        <w:rPr>
          <w:lang w:val="fr-CA"/>
        </w:rPr>
        <w:t> </w:t>
      </w:r>
      <w:r w:rsidR="00FB687B" w:rsidRPr="000B7739">
        <w:rPr>
          <w:lang w:val="fr-CA"/>
        </w:rPr>
        <w:t>S</w:t>
      </w:r>
      <w:r w:rsidR="00FD6D99" w:rsidRPr="000B7739">
        <w:rPr>
          <w:lang w:val="fr-CA"/>
        </w:rPr>
        <w:t>ignature</w:t>
      </w:r>
      <w:r w:rsidR="004D593D" w:rsidRPr="000B7739">
        <w:rPr>
          <w:lang w:val="fr-CA"/>
        </w:rPr>
        <w:t>s</w:t>
      </w:r>
      <w:r w:rsidR="00FD6D99" w:rsidRPr="000B7739">
        <w:rPr>
          <w:lang w:val="fr-CA"/>
        </w:rPr>
        <w:t xml:space="preserve"> électronique</w:t>
      </w:r>
      <w:r w:rsidR="004D593D" w:rsidRPr="000B7739">
        <w:rPr>
          <w:lang w:val="fr-CA"/>
        </w:rPr>
        <w:t>s associées à celles</w:t>
      </w:r>
      <w:r w:rsidR="004D593D" w:rsidRPr="000B7739">
        <w:rPr>
          <w:lang w:val="fr-CA"/>
        </w:rPr>
        <w:noBreakHyphen/>
        <w:t>ci</w:t>
      </w:r>
      <w:r w:rsidR="00EA5167" w:rsidRPr="000B7739">
        <w:rPr>
          <w:lang w:val="fr-CA"/>
        </w:rPr>
        <w:t>, et à agir conformém</w:t>
      </w:r>
      <w:r w:rsidR="00FD6D99" w:rsidRPr="000B7739">
        <w:rPr>
          <w:lang w:val="fr-CA"/>
        </w:rPr>
        <w:t>e</w:t>
      </w:r>
      <w:r w:rsidR="00EA5167" w:rsidRPr="000B7739">
        <w:rPr>
          <w:lang w:val="fr-CA"/>
        </w:rPr>
        <w:t>nt à celles</w:t>
      </w:r>
      <w:r w:rsidR="00EA5167" w:rsidRPr="000B7739">
        <w:rPr>
          <w:lang w:val="fr-CA"/>
        </w:rPr>
        <w:noBreakHyphen/>
        <w:t>ci, même si</w:t>
      </w:r>
      <w:r w:rsidR="00C063F5" w:rsidRPr="000B7739">
        <w:rPr>
          <w:lang w:val="fr-CA"/>
        </w:rPr>
        <w:t> </w:t>
      </w:r>
      <w:r w:rsidR="00EA5167" w:rsidRPr="000B7739">
        <w:rPr>
          <w:lang w:val="fr-CA"/>
        </w:rPr>
        <w:t>elle</w:t>
      </w:r>
      <w:r w:rsidR="00FD6D99" w:rsidRPr="000B7739">
        <w:rPr>
          <w:lang w:val="fr-CA"/>
        </w:rPr>
        <w:t>s</w:t>
      </w:r>
      <w:r w:rsidR="00C063F5" w:rsidRPr="000B7739">
        <w:rPr>
          <w:lang w:val="fr-CA"/>
        </w:rPr>
        <w:t> </w:t>
      </w:r>
      <w:r w:rsidR="00EA5167" w:rsidRPr="000B7739">
        <w:rPr>
          <w:lang w:val="fr-CA"/>
        </w:rPr>
        <w:t>diffère</w:t>
      </w:r>
      <w:r w:rsidR="00FD6D99" w:rsidRPr="000B7739">
        <w:rPr>
          <w:lang w:val="fr-CA"/>
        </w:rPr>
        <w:t>nt</w:t>
      </w:r>
      <w:r w:rsidR="00EA5167" w:rsidRPr="000B7739">
        <w:rPr>
          <w:lang w:val="fr-CA"/>
        </w:rPr>
        <w:t xml:space="preserve"> de quelque manière que ce soi</w:t>
      </w:r>
      <w:r w:rsidR="00FD6D99" w:rsidRPr="000B7739">
        <w:rPr>
          <w:lang w:val="fr-CA"/>
        </w:rPr>
        <w:t>t</w:t>
      </w:r>
      <w:r w:rsidR="00EA5167" w:rsidRPr="000B7739">
        <w:rPr>
          <w:lang w:val="fr-CA"/>
        </w:rPr>
        <w:t xml:space="preserve"> d</w:t>
      </w:r>
      <w:r w:rsidR="00564B0C" w:rsidRPr="000B7739">
        <w:rPr>
          <w:lang w:val="fr-CA"/>
        </w:rPr>
        <w:t>’</w:t>
      </w:r>
      <w:r w:rsidR="00EA5167" w:rsidRPr="000B7739">
        <w:rPr>
          <w:lang w:val="fr-CA"/>
        </w:rPr>
        <w:t xml:space="preserve">une </w:t>
      </w:r>
      <w:r w:rsidR="00FB687B" w:rsidRPr="000B7739">
        <w:rPr>
          <w:lang w:val="fr-CA"/>
        </w:rPr>
        <w:t>C</w:t>
      </w:r>
      <w:r w:rsidR="00FD6D99" w:rsidRPr="000B7739">
        <w:rPr>
          <w:lang w:val="fr-CA"/>
        </w:rPr>
        <w:t>ommunication électronique</w:t>
      </w:r>
      <w:r w:rsidR="004D593D" w:rsidRPr="000B7739">
        <w:rPr>
          <w:lang w:val="fr-CA"/>
        </w:rPr>
        <w:t xml:space="preserve"> </w:t>
      </w:r>
      <w:r w:rsidR="00D2655F" w:rsidRPr="000B7739">
        <w:rPr>
          <w:lang w:val="fr-CA"/>
        </w:rPr>
        <w:t xml:space="preserve">que </w:t>
      </w:r>
      <w:r w:rsidR="00A96408" w:rsidRPr="000B7739">
        <w:rPr>
          <w:lang w:val="fr-CA"/>
        </w:rPr>
        <w:t>les Bénéficiaires du crédit ont</w:t>
      </w:r>
      <w:r w:rsidR="004D593D" w:rsidRPr="000B7739">
        <w:rPr>
          <w:lang w:val="fr-CA"/>
        </w:rPr>
        <w:t xml:space="preserve"> déjà </w:t>
      </w:r>
      <w:r w:rsidR="00EA5167" w:rsidRPr="000B7739">
        <w:rPr>
          <w:lang w:val="fr-CA"/>
        </w:rPr>
        <w:t xml:space="preserve">envoyée </w:t>
      </w:r>
      <w:r w:rsidR="00FD6D99" w:rsidRPr="000B7739">
        <w:rPr>
          <w:lang w:val="fr-CA"/>
        </w:rPr>
        <w:t>à la Banque</w:t>
      </w:r>
      <w:r w:rsidR="00EA5167" w:rsidRPr="000B7739">
        <w:rPr>
          <w:lang w:val="fr-CA"/>
        </w:rPr>
        <w:t>.</w:t>
      </w:r>
    </w:p>
    <w:p w14:paraId="68B420F2" w14:textId="22F70031" w:rsidR="00767589" w:rsidRPr="000B7739" w:rsidRDefault="00A96408" w:rsidP="000C4154">
      <w:pPr>
        <w:pStyle w:val="04LOLglNew3"/>
        <w:numPr>
          <w:ilvl w:val="2"/>
          <w:numId w:val="51"/>
        </w:numPr>
        <w:rPr>
          <w:lang w:val="fr-CA"/>
        </w:rPr>
      </w:pPr>
      <w:r w:rsidRPr="000B7739">
        <w:rPr>
          <w:lang w:val="fr-CA"/>
        </w:rPr>
        <w:t>Les Bénéficiaires du crédit</w:t>
      </w:r>
      <w:r w:rsidR="00EA5167" w:rsidRPr="000B7739">
        <w:rPr>
          <w:lang w:val="fr-CA"/>
        </w:rPr>
        <w:t xml:space="preserve"> </w:t>
      </w:r>
      <w:r w:rsidRPr="000B7739">
        <w:rPr>
          <w:lang w:val="fr-CA"/>
        </w:rPr>
        <w:t>reconnaissent</w:t>
      </w:r>
      <w:r w:rsidR="00EA5167" w:rsidRPr="000B7739">
        <w:rPr>
          <w:lang w:val="fr-CA"/>
        </w:rPr>
        <w:t xml:space="preserve"> </w:t>
      </w:r>
      <w:r w:rsidR="00794D4E" w:rsidRPr="000B7739">
        <w:rPr>
          <w:lang w:val="fr-CA"/>
        </w:rPr>
        <w:t>et convien</w:t>
      </w:r>
      <w:r w:rsidRPr="000B7739">
        <w:rPr>
          <w:lang w:val="fr-CA"/>
        </w:rPr>
        <w:t>nen</w:t>
      </w:r>
      <w:r w:rsidR="00794D4E" w:rsidRPr="000B7739">
        <w:rPr>
          <w:lang w:val="fr-CA"/>
        </w:rPr>
        <w:t xml:space="preserve">t </w:t>
      </w:r>
      <w:r w:rsidR="009D7F4B" w:rsidRPr="000B7739">
        <w:rPr>
          <w:lang w:val="fr-CA"/>
        </w:rPr>
        <w:t xml:space="preserve">que </w:t>
      </w:r>
      <w:r w:rsidR="00794D4E" w:rsidRPr="000B7739">
        <w:rPr>
          <w:lang w:val="fr-CA"/>
        </w:rPr>
        <w:t>les méthodes de stockage, de conservation et de récupération des</w:t>
      </w:r>
      <w:r w:rsidR="00EA5167" w:rsidRPr="000B7739">
        <w:rPr>
          <w:lang w:val="fr-CA"/>
        </w:rPr>
        <w:t xml:space="preserve"> </w:t>
      </w:r>
      <w:r w:rsidR="00FB687B" w:rsidRPr="000B7739">
        <w:rPr>
          <w:lang w:val="fr-CA"/>
        </w:rPr>
        <w:t>C</w:t>
      </w:r>
      <w:r w:rsidR="00FD6D99" w:rsidRPr="000B7739">
        <w:rPr>
          <w:lang w:val="fr-CA"/>
        </w:rPr>
        <w:t>ommunication</w:t>
      </w:r>
      <w:r w:rsidR="00794D4E" w:rsidRPr="000B7739">
        <w:rPr>
          <w:lang w:val="fr-CA"/>
        </w:rPr>
        <w:t>s</w:t>
      </w:r>
      <w:r w:rsidR="00FD6D99" w:rsidRPr="000B7739">
        <w:rPr>
          <w:lang w:val="fr-CA"/>
        </w:rPr>
        <w:t xml:space="preserve"> électronique</w:t>
      </w:r>
      <w:r w:rsidR="00794D4E" w:rsidRPr="000B7739">
        <w:rPr>
          <w:lang w:val="fr-CA"/>
        </w:rPr>
        <w:t>s</w:t>
      </w:r>
      <w:r w:rsidR="00FD6D99" w:rsidRPr="000B7739">
        <w:rPr>
          <w:lang w:val="fr-CA"/>
        </w:rPr>
        <w:t xml:space="preserve"> </w:t>
      </w:r>
      <w:r w:rsidR="00794D4E" w:rsidRPr="000B7739">
        <w:rPr>
          <w:lang w:val="fr-CA"/>
        </w:rPr>
        <w:t>de la Banque, y compris les Signatures électroniques associées à</w:t>
      </w:r>
      <w:r w:rsidR="00C063F5" w:rsidRPr="000B7739">
        <w:rPr>
          <w:lang w:val="fr-CA"/>
        </w:rPr>
        <w:t> </w:t>
      </w:r>
      <w:r w:rsidR="00794D4E" w:rsidRPr="000B7739">
        <w:rPr>
          <w:lang w:val="fr-CA"/>
        </w:rPr>
        <w:t>celles-ci, et les systèmes de données de la Banque maintiennent l</w:t>
      </w:r>
      <w:r w:rsidR="00564B0C" w:rsidRPr="000B7739">
        <w:rPr>
          <w:lang w:val="fr-CA"/>
        </w:rPr>
        <w:t>’</w:t>
      </w:r>
      <w:r w:rsidR="00794D4E" w:rsidRPr="000B7739">
        <w:rPr>
          <w:lang w:val="fr-CA"/>
        </w:rPr>
        <w:t>intégrité de la Communication électronique.</w:t>
      </w:r>
      <w:r w:rsidR="00794D4E" w:rsidRPr="000B7739" w:rsidDel="00794D4E">
        <w:rPr>
          <w:lang w:val="fr-CA"/>
        </w:rPr>
        <w:t xml:space="preserve"> </w:t>
      </w:r>
      <w:r w:rsidR="00EA5167" w:rsidRPr="000B7739">
        <w:rPr>
          <w:lang w:val="fr-CA"/>
        </w:rPr>
        <w:t xml:space="preserve">Si, pour quelque raison que ce soit, une </w:t>
      </w:r>
      <w:r w:rsidR="00FB687B" w:rsidRPr="000B7739">
        <w:rPr>
          <w:lang w:val="fr-CA"/>
        </w:rPr>
        <w:t>C</w:t>
      </w:r>
      <w:r w:rsidR="00FD6D99" w:rsidRPr="000B7739">
        <w:rPr>
          <w:lang w:val="fr-CA"/>
        </w:rPr>
        <w:t xml:space="preserve">ommunication électronique </w:t>
      </w:r>
      <w:r w:rsidR="00EA5167" w:rsidRPr="000B7739">
        <w:rPr>
          <w:lang w:val="fr-CA"/>
        </w:rPr>
        <w:t>stockée dans</w:t>
      </w:r>
      <w:r w:rsidR="00C063F5" w:rsidRPr="000B7739">
        <w:rPr>
          <w:lang w:val="fr-CA"/>
        </w:rPr>
        <w:t> </w:t>
      </w:r>
      <w:r w:rsidR="00EA5167" w:rsidRPr="000B7739">
        <w:rPr>
          <w:lang w:val="fr-CA"/>
        </w:rPr>
        <w:t>les</w:t>
      </w:r>
      <w:r w:rsidR="00C063F5" w:rsidRPr="000B7739">
        <w:rPr>
          <w:lang w:val="fr-CA"/>
        </w:rPr>
        <w:t> </w:t>
      </w:r>
      <w:r w:rsidR="00EA5167" w:rsidRPr="000B7739">
        <w:rPr>
          <w:lang w:val="fr-CA"/>
        </w:rPr>
        <w:t>systèmes de données de la B</w:t>
      </w:r>
      <w:r w:rsidR="00FD6D99" w:rsidRPr="000B7739">
        <w:rPr>
          <w:lang w:val="fr-CA"/>
        </w:rPr>
        <w:t>anque</w:t>
      </w:r>
      <w:r w:rsidR="00EA5167" w:rsidRPr="000B7739">
        <w:rPr>
          <w:lang w:val="fr-CA"/>
        </w:rPr>
        <w:t xml:space="preserve"> diffère de celle de</w:t>
      </w:r>
      <w:r w:rsidRPr="000B7739">
        <w:rPr>
          <w:lang w:val="fr-CA"/>
        </w:rPr>
        <w:t>s</w:t>
      </w:r>
      <w:r w:rsidR="00EA5167" w:rsidRPr="000B7739">
        <w:rPr>
          <w:lang w:val="fr-CA"/>
        </w:rPr>
        <w:t xml:space="preserve"> </w:t>
      </w:r>
      <w:r w:rsidRPr="000B7739">
        <w:rPr>
          <w:lang w:val="fr-CA"/>
        </w:rPr>
        <w:t>Bénéficiaires du crédit</w:t>
      </w:r>
      <w:r w:rsidR="00EA5167" w:rsidRPr="000B7739">
        <w:rPr>
          <w:lang w:val="fr-CA"/>
        </w:rPr>
        <w:t xml:space="preserve">, </w:t>
      </w:r>
      <w:r w:rsidR="000019FC" w:rsidRPr="000B7739">
        <w:rPr>
          <w:lang w:val="fr-CA"/>
        </w:rPr>
        <w:t>ce</w:t>
      </w:r>
      <w:r w:rsidRPr="000B7739">
        <w:rPr>
          <w:lang w:val="fr-CA"/>
        </w:rPr>
        <w:t>s</w:t>
      </w:r>
      <w:r w:rsidR="000019FC" w:rsidRPr="000B7739">
        <w:rPr>
          <w:lang w:val="fr-CA"/>
        </w:rPr>
        <w:t xml:space="preserve"> dernier</w:t>
      </w:r>
      <w:r w:rsidRPr="000B7739">
        <w:rPr>
          <w:lang w:val="fr-CA"/>
        </w:rPr>
        <w:t>s</w:t>
      </w:r>
      <w:r w:rsidR="000019FC" w:rsidRPr="000B7739">
        <w:rPr>
          <w:lang w:val="fr-CA"/>
        </w:rPr>
        <w:t xml:space="preserve"> </w:t>
      </w:r>
      <w:r w:rsidRPr="000B7739">
        <w:rPr>
          <w:lang w:val="fr-CA"/>
        </w:rPr>
        <w:t>reconnaissent</w:t>
      </w:r>
      <w:r w:rsidR="00EA5167" w:rsidRPr="000B7739">
        <w:rPr>
          <w:lang w:val="fr-CA"/>
        </w:rPr>
        <w:t xml:space="preserve"> et</w:t>
      </w:r>
      <w:r w:rsidR="00C063F5" w:rsidRPr="000B7739">
        <w:rPr>
          <w:lang w:val="fr-CA"/>
        </w:rPr>
        <w:t> </w:t>
      </w:r>
      <w:r w:rsidR="00EA5167" w:rsidRPr="000B7739">
        <w:rPr>
          <w:lang w:val="fr-CA"/>
        </w:rPr>
        <w:t>convien</w:t>
      </w:r>
      <w:r w:rsidRPr="000B7739">
        <w:rPr>
          <w:lang w:val="fr-CA"/>
        </w:rPr>
        <w:t>nen</w:t>
      </w:r>
      <w:r w:rsidR="00EA5167" w:rsidRPr="000B7739">
        <w:rPr>
          <w:lang w:val="fr-CA"/>
        </w:rPr>
        <w:t>t que la version</w:t>
      </w:r>
      <w:r w:rsidR="00FD6D99" w:rsidRPr="000B7739">
        <w:rPr>
          <w:lang w:val="fr-CA"/>
        </w:rPr>
        <w:t xml:space="preserve"> </w:t>
      </w:r>
      <w:r w:rsidR="00EA5167" w:rsidRPr="000B7739">
        <w:rPr>
          <w:lang w:val="fr-CA"/>
        </w:rPr>
        <w:t>stockée dans les sys</w:t>
      </w:r>
      <w:r w:rsidR="00FD6D99" w:rsidRPr="000B7739">
        <w:rPr>
          <w:lang w:val="fr-CA"/>
        </w:rPr>
        <w:t>tèmes</w:t>
      </w:r>
      <w:r w:rsidR="00EA5167" w:rsidRPr="000B7739">
        <w:rPr>
          <w:lang w:val="fr-CA"/>
        </w:rPr>
        <w:t xml:space="preserve"> de do</w:t>
      </w:r>
      <w:r w:rsidR="00FD6D99" w:rsidRPr="000B7739">
        <w:rPr>
          <w:lang w:val="fr-CA"/>
        </w:rPr>
        <w:t>n</w:t>
      </w:r>
      <w:r w:rsidR="00EA5167" w:rsidRPr="000B7739">
        <w:rPr>
          <w:lang w:val="fr-CA"/>
        </w:rPr>
        <w:t>nées de la B</w:t>
      </w:r>
      <w:r w:rsidR="00FD6D99" w:rsidRPr="000B7739">
        <w:rPr>
          <w:lang w:val="fr-CA"/>
        </w:rPr>
        <w:t>anque</w:t>
      </w:r>
      <w:r w:rsidR="00EA5167" w:rsidRPr="000B7739">
        <w:rPr>
          <w:lang w:val="fr-CA"/>
        </w:rPr>
        <w:t xml:space="preserve"> a</w:t>
      </w:r>
      <w:r w:rsidR="00B26B34" w:rsidRPr="000B7739">
        <w:rPr>
          <w:lang w:val="fr-CA"/>
        </w:rPr>
        <w:t>ura</w:t>
      </w:r>
      <w:r w:rsidR="00EA5167" w:rsidRPr="000B7739">
        <w:rPr>
          <w:lang w:val="fr-CA"/>
        </w:rPr>
        <w:t xml:space="preserve"> préséance. </w:t>
      </w:r>
      <w:r w:rsidR="00FD6D99" w:rsidRPr="000B7739">
        <w:rPr>
          <w:lang w:val="fr-CA"/>
        </w:rPr>
        <w:t>À</w:t>
      </w:r>
      <w:r w:rsidR="00C063F5" w:rsidRPr="000B7739">
        <w:rPr>
          <w:lang w:val="fr-CA"/>
        </w:rPr>
        <w:t> </w:t>
      </w:r>
      <w:r w:rsidR="00EA5167" w:rsidRPr="000B7739">
        <w:rPr>
          <w:lang w:val="fr-CA"/>
        </w:rPr>
        <w:t>cet</w:t>
      </w:r>
      <w:r w:rsidR="00C063F5" w:rsidRPr="000B7739">
        <w:rPr>
          <w:lang w:val="fr-CA"/>
        </w:rPr>
        <w:t> </w:t>
      </w:r>
      <w:r w:rsidR="00EA5167" w:rsidRPr="000B7739">
        <w:rPr>
          <w:lang w:val="fr-CA"/>
        </w:rPr>
        <w:t xml:space="preserve">égard, </w:t>
      </w:r>
      <w:r w:rsidRPr="000B7739">
        <w:rPr>
          <w:lang w:val="fr-CA"/>
        </w:rPr>
        <w:t>les Bénéficiaires du crédit</w:t>
      </w:r>
      <w:r w:rsidR="00EA5167" w:rsidRPr="000B7739">
        <w:rPr>
          <w:lang w:val="fr-CA"/>
        </w:rPr>
        <w:t xml:space="preserve"> </w:t>
      </w:r>
      <w:r w:rsidRPr="000B7739">
        <w:rPr>
          <w:lang w:val="fr-CA"/>
        </w:rPr>
        <w:t xml:space="preserve">reconnaissent et conviennent </w:t>
      </w:r>
      <w:r w:rsidR="00EA5167" w:rsidRPr="000B7739">
        <w:rPr>
          <w:lang w:val="fr-CA"/>
        </w:rPr>
        <w:t xml:space="preserve">que les </w:t>
      </w:r>
      <w:r w:rsidR="00FB687B" w:rsidRPr="000B7739">
        <w:rPr>
          <w:lang w:val="fr-CA"/>
        </w:rPr>
        <w:t>C</w:t>
      </w:r>
      <w:r w:rsidR="00FD6D99" w:rsidRPr="000B7739">
        <w:rPr>
          <w:lang w:val="fr-CA"/>
        </w:rPr>
        <w:t xml:space="preserve">ommunications électroniques </w:t>
      </w:r>
      <w:r w:rsidR="00003BDE" w:rsidRPr="000B7739">
        <w:rPr>
          <w:lang w:val="fr-CA"/>
        </w:rPr>
        <w:t>conservées</w:t>
      </w:r>
      <w:r w:rsidR="00EA5167" w:rsidRPr="000B7739">
        <w:rPr>
          <w:lang w:val="fr-CA"/>
        </w:rPr>
        <w:t xml:space="preserve"> par</w:t>
      </w:r>
      <w:r w:rsidR="00C063F5" w:rsidRPr="000B7739">
        <w:rPr>
          <w:lang w:val="fr-CA"/>
        </w:rPr>
        <w:t> </w:t>
      </w:r>
      <w:r w:rsidR="00EA5167" w:rsidRPr="000B7739">
        <w:rPr>
          <w:lang w:val="fr-CA"/>
        </w:rPr>
        <w:t xml:space="preserve">la Banque sont admissibles dans le cadre </w:t>
      </w:r>
      <w:r w:rsidR="00B26B34" w:rsidRPr="000B7739">
        <w:rPr>
          <w:lang w:val="fr-CA"/>
        </w:rPr>
        <w:t xml:space="preserve">de </w:t>
      </w:r>
      <w:r w:rsidR="00B26B34" w:rsidRPr="000B7739">
        <w:rPr>
          <w:lang w:val="fr-CA"/>
        </w:rPr>
        <w:lastRenderedPageBreak/>
        <w:t xml:space="preserve">poursuites </w:t>
      </w:r>
      <w:r w:rsidR="00EA5167" w:rsidRPr="000B7739">
        <w:rPr>
          <w:lang w:val="fr-CA"/>
        </w:rPr>
        <w:t>en justice ou d</w:t>
      </w:r>
      <w:r w:rsidR="00564B0C" w:rsidRPr="000B7739">
        <w:rPr>
          <w:lang w:val="fr-CA"/>
        </w:rPr>
        <w:t>’</w:t>
      </w:r>
      <w:r w:rsidR="00EA5167" w:rsidRPr="000B7739">
        <w:rPr>
          <w:lang w:val="fr-CA"/>
        </w:rPr>
        <w:t xml:space="preserve">autres </w:t>
      </w:r>
      <w:r w:rsidR="00B26B34" w:rsidRPr="000B7739">
        <w:rPr>
          <w:lang w:val="fr-CA"/>
        </w:rPr>
        <w:t xml:space="preserve">procédures </w:t>
      </w:r>
      <w:r w:rsidR="00EA5167" w:rsidRPr="000B7739">
        <w:rPr>
          <w:lang w:val="fr-CA"/>
        </w:rPr>
        <w:t>à titre de</w:t>
      </w:r>
      <w:r w:rsidR="00C063F5" w:rsidRPr="000B7739">
        <w:rPr>
          <w:lang w:val="fr-CA"/>
        </w:rPr>
        <w:t> </w:t>
      </w:r>
      <w:r w:rsidR="00EA5167" w:rsidRPr="000B7739">
        <w:rPr>
          <w:lang w:val="fr-CA"/>
        </w:rPr>
        <w:t xml:space="preserve">preuve concluante de la teneur de ces </w:t>
      </w:r>
      <w:r w:rsidR="00FB687B" w:rsidRPr="000B7739">
        <w:rPr>
          <w:lang w:val="fr-CA"/>
        </w:rPr>
        <w:t>C</w:t>
      </w:r>
      <w:r w:rsidR="00FD6D99" w:rsidRPr="000B7739">
        <w:rPr>
          <w:lang w:val="fr-CA"/>
        </w:rPr>
        <w:t xml:space="preserve">ommunications électroniques </w:t>
      </w:r>
      <w:r w:rsidR="00EA5167" w:rsidRPr="000B7739">
        <w:rPr>
          <w:lang w:val="fr-CA"/>
        </w:rPr>
        <w:t>dans la même mesure qu</w:t>
      </w:r>
      <w:r w:rsidR="00564B0C" w:rsidRPr="000B7739">
        <w:rPr>
          <w:lang w:val="fr-CA"/>
        </w:rPr>
        <w:t>’</w:t>
      </w:r>
      <w:r w:rsidR="00EA5167" w:rsidRPr="000B7739">
        <w:rPr>
          <w:lang w:val="fr-CA"/>
        </w:rPr>
        <w:t xml:space="preserve">un document </w:t>
      </w:r>
      <w:r w:rsidR="00B26B34" w:rsidRPr="000B7739">
        <w:rPr>
          <w:lang w:val="fr-CA"/>
        </w:rPr>
        <w:t xml:space="preserve">imprimé </w:t>
      </w:r>
      <w:r w:rsidR="00EA5167" w:rsidRPr="000B7739">
        <w:rPr>
          <w:lang w:val="fr-CA"/>
        </w:rPr>
        <w:t>original et qu</w:t>
      </w:r>
      <w:r w:rsidR="00564B0C" w:rsidRPr="000B7739">
        <w:rPr>
          <w:lang w:val="fr-CA"/>
        </w:rPr>
        <w:t>’</w:t>
      </w:r>
      <w:r w:rsidR="00EA5167" w:rsidRPr="000B7739">
        <w:rPr>
          <w:lang w:val="fr-CA"/>
        </w:rPr>
        <w:t>aucune autre preuve de l</w:t>
      </w:r>
      <w:r w:rsidR="00564B0C" w:rsidRPr="000B7739">
        <w:rPr>
          <w:lang w:val="fr-CA"/>
        </w:rPr>
        <w:t>’</w:t>
      </w:r>
      <w:r w:rsidR="00FD6D99" w:rsidRPr="000B7739">
        <w:rPr>
          <w:lang w:val="fr-CA"/>
        </w:rPr>
        <w:t>i</w:t>
      </w:r>
      <w:r w:rsidR="00EA5167" w:rsidRPr="000B7739">
        <w:rPr>
          <w:lang w:val="fr-CA"/>
        </w:rPr>
        <w:t xml:space="preserve">ntégrité </w:t>
      </w:r>
      <w:r w:rsidR="00015AB1" w:rsidRPr="000B7739">
        <w:rPr>
          <w:lang w:val="fr-CA"/>
        </w:rPr>
        <w:t xml:space="preserve">de notre </w:t>
      </w:r>
      <w:r w:rsidR="00EA5167" w:rsidRPr="000B7739">
        <w:rPr>
          <w:lang w:val="fr-CA"/>
        </w:rPr>
        <w:t>système des r</w:t>
      </w:r>
      <w:r w:rsidR="00FD6D99" w:rsidRPr="000B7739">
        <w:rPr>
          <w:lang w:val="fr-CA"/>
        </w:rPr>
        <w:t>e</w:t>
      </w:r>
      <w:r w:rsidR="00EA5167" w:rsidRPr="000B7739">
        <w:rPr>
          <w:lang w:val="fr-CA"/>
        </w:rPr>
        <w:t>gistres (</w:t>
      </w:r>
      <w:r w:rsidR="00742163" w:rsidRPr="000B7739">
        <w:rPr>
          <w:lang w:val="fr-CA"/>
        </w:rPr>
        <w:t>que</w:t>
      </w:r>
      <w:r w:rsidR="00C063F5" w:rsidRPr="000B7739">
        <w:rPr>
          <w:lang w:val="fr-CA"/>
        </w:rPr>
        <w:t> </w:t>
      </w:r>
      <w:r w:rsidRPr="000B7739">
        <w:rPr>
          <w:lang w:val="fr-CA"/>
        </w:rPr>
        <w:t xml:space="preserve">les Bénéficiaires du crédit reconnaissent </w:t>
      </w:r>
      <w:r w:rsidR="00EA5167" w:rsidRPr="000B7739">
        <w:rPr>
          <w:lang w:val="fr-CA"/>
        </w:rPr>
        <w:t>par les présentes)</w:t>
      </w:r>
      <w:r w:rsidR="00742163" w:rsidRPr="000B7739">
        <w:rPr>
          <w:lang w:val="fr-CA"/>
        </w:rPr>
        <w:t xml:space="preserve"> n</w:t>
      </w:r>
      <w:r w:rsidR="00564B0C" w:rsidRPr="000B7739">
        <w:rPr>
          <w:lang w:val="fr-CA"/>
        </w:rPr>
        <w:t>’</w:t>
      </w:r>
      <w:r w:rsidR="00742163" w:rsidRPr="000B7739">
        <w:rPr>
          <w:lang w:val="fr-CA"/>
        </w:rPr>
        <w:t>est nécessaire</w:t>
      </w:r>
      <w:r w:rsidR="00EA5167" w:rsidRPr="000B7739">
        <w:rPr>
          <w:lang w:val="fr-CA"/>
        </w:rPr>
        <w:t xml:space="preserve"> et </w:t>
      </w:r>
      <w:r w:rsidRPr="000B7739">
        <w:rPr>
          <w:lang w:val="fr-CA"/>
        </w:rPr>
        <w:t xml:space="preserve">les Bénéficiaires du crédit </w:t>
      </w:r>
      <w:r w:rsidR="00EA5167" w:rsidRPr="000B7739">
        <w:rPr>
          <w:lang w:val="fr-CA"/>
        </w:rPr>
        <w:t>renonce</w:t>
      </w:r>
      <w:r w:rsidRPr="000B7739">
        <w:rPr>
          <w:lang w:val="fr-CA"/>
        </w:rPr>
        <w:t>nt</w:t>
      </w:r>
      <w:r w:rsidR="00EA5167" w:rsidRPr="000B7739">
        <w:rPr>
          <w:lang w:val="fr-CA"/>
        </w:rPr>
        <w:t xml:space="preserve"> par</w:t>
      </w:r>
      <w:r w:rsidR="00C063F5" w:rsidRPr="000B7739">
        <w:rPr>
          <w:lang w:val="fr-CA"/>
        </w:rPr>
        <w:t> </w:t>
      </w:r>
      <w:r w:rsidR="00EA5167" w:rsidRPr="000B7739">
        <w:rPr>
          <w:lang w:val="fr-CA"/>
        </w:rPr>
        <w:t>les</w:t>
      </w:r>
      <w:r w:rsidR="00C063F5" w:rsidRPr="000B7739">
        <w:rPr>
          <w:lang w:val="fr-CA"/>
        </w:rPr>
        <w:t> </w:t>
      </w:r>
      <w:r w:rsidR="00EA5167" w:rsidRPr="000B7739">
        <w:rPr>
          <w:lang w:val="fr-CA"/>
        </w:rPr>
        <w:t>présentes à exercer</w:t>
      </w:r>
      <w:r w:rsidR="00742163" w:rsidRPr="000B7739">
        <w:rPr>
          <w:lang w:val="fr-CA"/>
        </w:rPr>
        <w:t xml:space="preserve"> </w:t>
      </w:r>
      <w:r w:rsidRPr="000B7739">
        <w:rPr>
          <w:lang w:val="fr-CA"/>
        </w:rPr>
        <w:t>leur</w:t>
      </w:r>
      <w:r w:rsidR="00742163" w:rsidRPr="000B7739">
        <w:rPr>
          <w:lang w:val="fr-CA"/>
        </w:rPr>
        <w:t xml:space="preserve"> </w:t>
      </w:r>
      <w:r w:rsidR="00EA5167" w:rsidRPr="000B7739">
        <w:rPr>
          <w:lang w:val="fr-CA"/>
        </w:rPr>
        <w:t xml:space="preserve">droit </w:t>
      </w:r>
      <w:r w:rsidR="00742163" w:rsidRPr="000B7739">
        <w:rPr>
          <w:lang w:val="fr-CA"/>
        </w:rPr>
        <w:t>de</w:t>
      </w:r>
      <w:r w:rsidR="00EA5167" w:rsidRPr="000B7739">
        <w:rPr>
          <w:lang w:val="fr-CA"/>
        </w:rPr>
        <w:t xml:space="preserve"> s</w:t>
      </w:r>
      <w:r w:rsidR="00564B0C" w:rsidRPr="000B7739">
        <w:rPr>
          <w:lang w:val="fr-CA"/>
        </w:rPr>
        <w:t>’</w:t>
      </w:r>
      <w:r w:rsidR="00EA5167" w:rsidRPr="000B7739">
        <w:rPr>
          <w:lang w:val="fr-CA"/>
        </w:rPr>
        <w:t>opposer à l</w:t>
      </w:r>
      <w:r w:rsidR="00564B0C" w:rsidRPr="000B7739">
        <w:rPr>
          <w:lang w:val="fr-CA"/>
        </w:rPr>
        <w:t>’</w:t>
      </w:r>
      <w:r w:rsidR="00EA5167" w:rsidRPr="000B7739">
        <w:rPr>
          <w:lang w:val="fr-CA"/>
        </w:rPr>
        <w:t xml:space="preserve">admission en preuve de ces </w:t>
      </w:r>
      <w:r w:rsidR="00FB687B" w:rsidRPr="000B7739">
        <w:rPr>
          <w:lang w:val="fr-CA"/>
        </w:rPr>
        <w:t>C</w:t>
      </w:r>
      <w:r w:rsidR="00FD6D99" w:rsidRPr="000B7739">
        <w:rPr>
          <w:lang w:val="fr-CA"/>
        </w:rPr>
        <w:t>ommunications électroniques</w:t>
      </w:r>
      <w:r w:rsidR="00EA5167" w:rsidRPr="000B7739">
        <w:rPr>
          <w:lang w:val="fr-CA"/>
        </w:rPr>
        <w:t>. Dans la pleine mesure</w:t>
      </w:r>
      <w:r w:rsidR="00FD6D99" w:rsidRPr="000B7739">
        <w:rPr>
          <w:lang w:val="fr-CA"/>
        </w:rPr>
        <w:t xml:space="preserve"> </w:t>
      </w:r>
      <w:r w:rsidR="00EA5167" w:rsidRPr="000B7739">
        <w:rPr>
          <w:lang w:val="fr-CA"/>
        </w:rPr>
        <w:t>permise par l</w:t>
      </w:r>
      <w:r w:rsidR="00B26B34" w:rsidRPr="000B7739">
        <w:rPr>
          <w:lang w:val="fr-CA"/>
        </w:rPr>
        <w:t>es</w:t>
      </w:r>
      <w:r w:rsidR="00EA5167" w:rsidRPr="000B7739">
        <w:rPr>
          <w:lang w:val="fr-CA"/>
        </w:rPr>
        <w:t xml:space="preserve"> loi</w:t>
      </w:r>
      <w:r w:rsidR="00B26B34" w:rsidRPr="000B7739">
        <w:rPr>
          <w:lang w:val="fr-CA"/>
        </w:rPr>
        <w:t>s</w:t>
      </w:r>
      <w:r w:rsidR="00EA5167" w:rsidRPr="000B7739">
        <w:rPr>
          <w:lang w:val="fr-CA"/>
        </w:rPr>
        <w:t xml:space="preserve"> applicable</w:t>
      </w:r>
      <w:r w:rsidR="00B26B34" w:rsidRPr="000B7739">
        <w:rPr>
          <w:lang w:val="fr-CA"/>
        </w:rPr>
        <w:t>s</w:t>
      </w:r>
      <w:r w:rsidR="00EA5167" w:rsidRPr="000B7739">
        <w:rPr>
          <w:lang w:val="fr-CA"/>
        </w:rPr>
        <w:t xml:space="preserve">, </w:t>
      </w:r>
      <w:r w:rsidRPr="000B7739">
        <w:rPr>
          <w:lang w:val="fr-CA"/>
        </w:rPr>
        <w:t>les Bénéficiaires du crédit</w:t>
      </w:r>
      <w:r w:rsidR="00EA5167" w:rsidRPr="000B7739">
        <w:rPr>
          <w:lang w:val="fr-CA"/>
        </w:rPr>
        <w:t xml:space="preserve"> renonce</w:t>
      </w:r>
      <w:r w:rsidRPr="000B7739">
        <w:rPr>
          <w:lang w:val="fr-CA"/>
        </w:rPr>
        <w:t>nt</w:t>
      </w:r>
      <w:r w:rsidR="00EA5167" w:rsidRPr="000B7739">
        <w:rPr>
          <w:lang w:val="fr-CA"/>
        </w:rPr>
        <w:t xml:space="preserve"> à</w:t>
      </w:r>
      <w:r w:rsidR="00C063F5" w:rsidRPr="000B7739">
        <w:rPr>
          <w:lang w:val="fr-CA"/>
        </w:rPr>
        <w:t> </w:t>
      </w:r>
      <w:r w:rsidR="00EA5167" w:rsidRPr="000B7739">
        <w:rPr>
          <w:lang w:val="fr-CA"/>
        </w:rPr>
        <w:t>toute</w:t>
      </w:r>
      <w:r w:rsidR="00C063F5" w:rsidRPr="000B7739">
        <w:rPr>
          <w:lang w:val="fr-CA"/>
        </w:rPr>
        <w:t> </w:t>
      </w:r>
      <w:r w:rsidR="00EA5167" w:rsidRPr="000B7739">
        <w:rPr>
          <w:lang w:val="fr-CA"/>
        </w:rPr>
        <w:t>défense</w:t>
      </w:r>
      <w:r w:rsidR="00B26B34" w:rsidRPr="000B7739">
        <w:rPr>
          <w:lang w:val="fr-CA"/>
        </w:rPr>
        <w:t xml:space="preserve">, ou exonération de responsabilité, </w:t>
      </w:r>
      <w:r w:rsidR="004B4392" w:rsidRPr="000B7739">
        <w:rPr>
          <w:lang w:val="fr-CA"/>
        </w:rPr>
        <w:t xml:space="preserve">fondée sur </w:t>
      </w:r>
      <w:r w:rsidR="00EA5167" w:rsidRPr="000B7739">
        <w:rPr>
          <w:lang w:val="fr-CA"/>
        </w:rPr>
        <w:t>l</w:t>
      </w:r>
      <w:r w:rsidR="00564B0C" w:rsidRPr="000B7739">
        <w:rPr>
          <w:lang w:val="fr-CA"/>
        </w:rPr>
        <w:t>’</w:t>
      </w:r>
      <w:r w:rsidR="00EA5167" w:rsidRPr="000B7739">
        <w:rPr>
          <w:lang w:val="fr-CA"/>
        </w:rPr>
        <w:t>absence d</w:t>
      </w:r>
      <w:r w:rsidR="00564B0C" w:rsidRPr="000B7739">
        <w:rPr>
          <w:lang w:val="fr-CA"/>
        </w:rPr>
        <w:t>’</w:t>
      </w:r>
      <w:r w:rsidR="00EA5167" w:rsidRPr="000B7739">
        <w:rPr>
          <w:lang w:val="fr-CA"/>
        </w:rPr>
        <w:t xml:space="preserve">un document </w:t>
      </w:r>
      <w:r w:rsidR="00B26B34" w:rsidRPr="000B7739">
        <w:rPr>
          <w:lang w:val="fr-CA"/>
        </w:rPr>
        <w:t xml:space="preserve">imprimé </w:t>
      </w:r>
      <w:r w:rsidR="00EA5167" w:rsidRPr="000B7739">
        <w:rPr>
          <w:lang w:val="fr-CA"/>
        </w:rPr>
        <w:t xml:space="preserve">signé à la main. </w:t>
      </w:r>
      <w:r w:rsidRPr="000B7739">
        <w:rPr>
          <w:lang w:val="fr-CA"/>
        </w:rPr>
        <w:t xml:space="preserve">Les Bénéficiaires du crédit </w:t>
      </w:r>
      <w:r w:rsidR="004B4392" w:rsidRPr="000B7739">
        <w:rPr>
          <w:lang w:val="fr-CA"/>
        </w:rPr>
        <w:t>conserver</w:t>
      </w:r>
      <w:r w:rsidRPr="000B7739">
        <w:rPr>
          <w:lang w:val="fr-CA"/>
        </w:rPr>
        <w:t>ont</w:t>
      </w:r>
      <w:r w:rsidR="004B4392" w:rsidRPr="000B7739">
        <w:rPr>
          <w:lang w:val="fr-CA"/>
        </w:rPr>
        <w:t xml:space="preserve"> </w:t>
      </w:r>
      <w:r w:rsidRPr="000B7739">
        <w:rPr>
          <w:lang w:val="fr-CA"/>
        </w:rPr>
        <w:t>leurs</w:t>
      </w:r>
      <w:r w:rsidR="00EA5167" w:rsidRPr="000B7739">
        <w:rPr>
          <w:lang w:val="fr-CA"/>
        </w:rPr>
        <w:t xml:space="preserve"> </w:t>
      </w:r>
      <w:r w:rsidR="00B26B34" w:rsidRPr="000B7739">
        <w:rPr>
          <w:lang w:val="fr-CA"/>
        </w:rPr>
        <w:t xml:space="preserve">propres </w:t>
      </w:r>
      <w:r w:rsidR="00EA5167" w:rsidRPr="000B7739">
        <w:rPr>
          <w:lang w:val="fr-CA"/>
        </w:rPr>
        <w:t xml:space="preserve">registres </w:t>
      </w:r>
      <w:r w:rsidR="00B26B34" w:rsidRPr="000B7739">
        <w:rPr>
          <w:lang w:val="fr-CA"/>
        </w:rPr>
        <w:t xml:space="preserve">de toutes les </w:t>
      </w:r>
      <w:r w:rsidR="00FB687B" w:rsidRPr="000B7739">
        <w:rPr>
          <w:lang w:val="fr-CA"/>
        </w:rPr>
        <w:t>C</w:t>
      </w:r>
      <w:r w:rsidR="00FD6D99" w:rsidRPr="000B7739">
        <w:rPr>
          <w:lang w:val="fr-CA"/>
        </w:rPr>
        <w:t xml:space="preserve">ommunications électroniques </w:t>
      </w:r>
      <w:r w:rsidR="00EA5167" w:rsidRPr="000B7739">
        <w:rPr>
          <w:lang w:val="fr-CA"/>
        </w:rPr>
        <w:t>pendant une période de sept</w:t>
      </w:r>
      <w:r w:rsidR="00AC4107" w:rsidRPr="000B7739">
        <w:rPr>
          <w:lang w:val="fr-CA"/>
        </w:rPr>
        <w:t xml:space="preserve"> </w:t>
      </w:r>
      <w:r w:rsidR="00EA5167" w:rsidRPr="000B7739">
        <w:rPr>
          <w:lang w:val="fr-CA"/>
        </w:rPr>
        <w:t xml:space="preserve">ans (sauf stipulation </w:t>
      </w:r>
      <w:r w:rsidR="00FD6D99" w:rsidRPr="000B7739">
        <w:rPr>
          <w:lang w:val="fr-CA"/>
        </w:rPr>
        <w:t>à l</w:t>
      </w:r>
      <w:r w:rsidR="00564B0C" w:rsidRPr="000B7739">
        <w:rPr>
          <w:lang w:val="fr-CA"/>
        </w:rPr>
        <w:t>’</w:t>
      </w:r>
      <w:r w:rsidR="00EA5167" w:rsidRPr="000B7739">
        <w:rPr>
          <w:lang w:val="fr-CA"/>
        </w:rPr>
        <w:t>effet contraire des règlements locaux) et</w:t>
      </w:r>
      <w:r w:rsidR="00796564" w:rsidRPr="000B7739">
        <w:rPr>
          <w:lang w:val="fr-CA"/>
        </w:rPr>
        <w:t> </w:t>
      </w:r>
      <w:r w:rsidR="00EA5167" w:rsidRPr="000B7739">
        <w:rPr>
          <w:lang w:val="fr-CA"/>
        </w:rPr>
        <w:t>les</w:t>
      </w:r>
      <w:r w:rsidR="00796564" w:rsidRPr="000B7739">
        <w:rPr>
          <w:lang w:val="fr-CA"/>
        </w:rPr>
        <w:t> </w:t>
      </w:r>
      <w:r w:rsidR="00EA5167" w:rsidRPr="000B7739">
        <w:rPr>
          <w:lang w:val="fr-CA"/>
        </w:rPr>
        <w:t>remettr</w:t>
      </w:r>
      <w:r w:rsidR="00EF14D1" w:rsidRPr="000B7739">
        <w:rPr>
          <w:lang w:val="fr-CA"/>
        </w:rPr>
        <w:t>ont</w:t>
      </w:r>
      <w:r w:rsidR="00EA5167" w:rsidRPr="000B7739">
        <w:rPr>
          <w:lang w:val="fr-CA"/>
        </w:rPr>
        <w:t xml:space="preserve"> à la B</w:t>
      </w:r>
      <w:r w:rsidR="00FD6D99" w:rsidRPr="000B7739">
        <w:rPr>
          <w:lang w:val="fr-CA"/>
        </w:rPr>
        <w:t>anque</w:t>
      </w:r>
      <w:r w:rsidR="00EA5167" w:rsidRPr="000B7739">
        <w:rPr>
          <w:lang w:val="fr-CA"/>
        </w:rPr>
        <w:t xml:space="preserve"> sur demande.</w:t>
      </w:r>
    </w:p>
    <w:p w14:paraId="6160E5B0" w14:textId="6D859E1E" w:rsidR="00767589" w:rsidRPr="00B63BD5" w:rsidRDefault="00410BCB" w:rsidP="000B7739">
      <w:pPr>
        <w:pStyle w:val="04LOLglNew3"/>
        <w:rPr>
          <w:lang w:val="fr-CA"/>
        </w:rPr>
      </w:pPr>
      <w:r w:rsidRPr="00B63BD5">
        <w:rPr>
          <w:lang w:val="fr-CA"/>
        </w:rPr>
        <w:t>La Banque peut</w:t>
      </w:r>
      <w:r w:rsidR="00211D41" w:rsidRPr="00B63BD5">
        <w:rPr>
          <w:lang w:val="fr-CA"/>
        </w:rPr>
        <w:t>,</w:t>
      </w:r>
      <w:r w:rsidRPr="00B63BD5">
        <w:rPr>
          <w:lang w:val="fr-CA"/>
        </w:rPr>
        <w:t xml:space="preserve"> à sa discrétion, </w:t>
      </w:r>
      <w:r w:rsidR="004B4392" w:rsidRPr="00B63BD5">
        <w:rPr>
          <w:lang w:val="fr-CA"/>
        </w:rPr>
        <w:t>exige</w:t>
      </w:r>
      <w:r w:rsidR="00B0297F" w:rsidRPr="00B63BD5">
        <w:rPr>
          <w:lang w:val="fr-CA"/>
        </w:rPr>
        <w:t>r</w:t>
      </w:r>
      <w:r w:rsidR="004B4392" w:rsidRPr="00B63BD5">
        <w:rPr>
          <w:lang w:val="fr-CA"/>
        </w:rPr>
        <w:t xml:space="preserve"> </w:t>
      </w:r>
      <w:r w:rsidR="00767589" w:rsidRPr="00B63BD5">
        <w:rPr>
          <w:lang w:val="fr-CA"/>
        </w:rPr>
        <w:t>(i)</w:t>
      </w:r>
      <w:r w:rsidR="005D0484" w:rsidRPr="00B63BD5">
        <w:rPr>
          <w:lang w:val="fr-CA"/>
        </w:rPr>
        <w:t> </w:t>
      </w:r>
      <w:r w:rsidR="00211D41" w:rsidRPr="00B63BD5">
        <w:rPr>
          <w:lang w:val="fr-CA"/>
        </w:rPr>
        <w:t xml:space="preserve">que les </w:t>
      </w:r>
      <w:r w:rsidR="00FB687B" w:rsidRPr="00B63BD5">
        <w:rPr>
          <w:lang w:val="fr-CA"/>
        </w:rPr>
        <w:t>C</w:t>
      </w:r>
      <w:r w:rsidR="00614E6D" w:rsidRPr="00B63BD5">
        <w:rPr>
          <w:lang w:val="fr-CA"/>
        </w:rPr>
        <w:t xml:space="preserve">ommunications électroniques </w:t>
      </w:r>
      <w:r w:rsidR="00211D41" w:rsidRPr="00B63BD5">
        <w:rPr>
          <w:lang w:val="fr-CA"/>
        </w:rPr>
        <w:t>soient remises au</w:t>
      </w:r>
      <w:r w:rsidR="00796564" w:rsidRPr="00B63BD5">
        <w:rPr>
          <w:lang w:val="fr-CA"/>
        </w:rPr>
        <w:t> </w:t>
      </w:r>
      <w:r w:rsidR="00211D41" w:rsidRPr="00B63BD5">
        <w:rPr>
          <w:lang w:val="fr-CA"/>
        </w:rPr>
        <w:t>moyen d</w:t>
      </w:r>
      <w:r w:rsidR="00564B0C" w:rsidRPr="00B63BD5">
        <w:rPr>
          <w:lang w:val="fr-CA"/>
        </w:rPr>
        <w:t>’</w:t>
      </w:r>
      <w:r w:rsidR="00614E6D" w:rsidRPr="00B63BD5">
        <w:rPr>
          <w:lang w:val="fr-CA"/>
        </w:rPr>
        <w:t xml:space="preserve">une </w:t>
      </w:r>
      <w:r w:rsidR="00211D41" w:rsidRPr="00B63BD5">
        <w:rPr>
          <w:lang w:val="fr-CA"/>
        </w:rPr>
        <w:t>tech</w:t>
      </w:r>
      <w:r w:rsidR="00614E6D" w:rsidRPr="00B63BD5">
        <w:rPr>
          <w:lang w:val="fr-CA"/>
        </w:rPr>
        <w:t>n</w:t>
      </w:r>
      <w:r w:rsidR="00211D41" w:rsidRPr="00B63BD5">
        <w:rPr>
          <w:lang w:val="fr-CA"/>
        </w:rPr>
        <w:t>ologie qu</w:t>
      </w:r>
      <w:r w:rsidR="00564B0C" w:rsidRPr="00B63BD5">
        <w:rPr>
          <w:lang w:val="fr-CA"/>
        </w:rPr>
        <w:t>’</w:t>
      </w:r>
      <w:r w:rsidR="00211D41" w:rsidRPr="00B63BD5">
        <w:rPr>
          <w:lang w:val="fr-CA"/>
        </w:rPr>
        <w:t>elle juge acceptable, y com</w:t>
      </w:r>
      <w:r w:rsidR="00614E6D" w:rsidRPr="00B63BD5">
        <w:rPr>
          <w:lang w:val="fr-CA"/>
        </w:rPr>
        <w:t>p</w:t>
      </w:r>
      <w:r w:rsidR="00211D41" w:rsidRPr="00B63BD5">
        <w:rPr>
          <w:lang w:val="fr-CA"/>
        </w:rPr>
        <w:t>ris l</w:t>
      </w:r>
      <w:r w:rsidR="00564B0C" w:rsidRPr="00B63BD5">
        <w:rPr>
          <w:lang w:val="fr-CA"/>
        </w:rPr>
        <w:t>’</w:t>
      </w:r>
      <w:r w:rsidR="00211D41" w:rsidRPr="00B63BD5">
        <w:rPr>
          <w:lang w:val="fr-CA"/>
        </w:rPr>
        <w:t>utilisation d</w:t>
      </w:r>
      <w:r w:rsidR="00564B0C" w:rsidRPr="00B63BD5">
        <w:rPr>
          <w:lang w:val="fr-CA"/>
        </w:rPr>
        <w:t>’</w:t>
      </w:r>
      <w:r w:rsidR="00211D41" w:rsidRPr="00B63BD5">
        <w:rPr>
          <w:lang w:val="fr-CA"/>
        </w:rPr>
        <w:t xml:space="preserve">une </w:t>
      </w:r>
      <w:r w:rsidR="008A56A7" w:rsidRPr="00B63BD5">
        <w:rPr>
          <w:lang w:val="fr-CA"/>
        </w:rPr>
        <w:t>S</w:t>
      </w:r>
      <w:r w:rsidR="00614E6D" w:rsidRPr="00B63BD5">
        <w:rPr>
          <w:lang w:val="fr-CA"/>
        </w:rPr>
        <w:t xml:space="preserve">ignature électronique </w:t>
      </w:r>
      <w:r w:rsidR="00211D41" w:rsidRPr="00B63BD5">
        <w:rPr>
          <w:lang w:val="fr-CA"/>
        </w:rPr>
        <w:t>sécurisée, et (ii)</w:t>
      </w:r>
      <w:r w:rsidR="005D0484" w:rsidRPr="00B63BD5">
        <w:rPr>
          <w:lang w:val="fr-CA"/>
        </w:rPr>
        <w:t> </w:t>
      </w:r>
      <w:r w:rsidR="00211D41" w:rsidRPr="00B63BD5">
        <w:rPr>
          <w:lang w:val="fr-CA"/>
        </w:rPr>
        <w:t xml:space="preserve">que les conventions, les </w:t>
      </w:r>
      <w:r w:rsidR="00587902" w:rsidRPr="00B63BD5">
        <w:rPr>
          <w:lang w:val="fr-CA"/>
        </w:rPr>
        <w:t>directives</w:t>
      </w:r>
      <w:r w:rsidR="00211D41" w:rsidRPr="00B63BD5">
        <w:rPr>
          <w:lang w:val="fr-CA"/>
        </w:rPr>
        <w:t>, les documents, les renseignements, les avis ou</w:t>
      </w:r>
      <w:r w:rsidR="00796564" w:rsidRPr="00B63BD5">
        <w:rPr>
          <w:lang w:val="fr-CA"/>
        </w:rPr>
        <w:t> </w:t>
      </w:r>
      <w:r w:rsidR="00211D41" w:rsidRPr="00B63BD5">
        <w:rPr>
          <w:lang w:val="fr-CA"/>
        </w:rPr>
        <w:t>d</w:t>
      </w:r>
      <w:r w:rsidR="00564B0C" w:rsidRPr="00B63BD5">
        <w:rPr>
          <w:lang w:val="fr-CA"/>
        </w:rPr>
        <w:t>’</w:t>
      </w:r>
      <w:r w:rsidR="00211D41" w:rsidRPr="00B63BD5">
        <w:rPr>
          <w:lang w:val="fr-CA"/>
        </w:rPr>
        <w:t>autres communications</w:t>
      </w:r>
      <w:r w:rsidR="00587902" w:rsidRPr="00B63BD5">
        <w:rPr>
          <w:lang w:val="fr-CA"/>
        </w:rPr>
        <w:t xml:space="preserve"> </w:t>
      </w:r>
      <w:r w:rsidR="00B26B34" w:rsidRPr="00B63BD5">
        <w:rPr>
          <w:lang w:val="fr-CA"/>
        </w:rPr>
        <w:t>de</w:t>
      </w:r>
      <w:r w:rsidR="00BE0718" w:rsidRPr="00B63BD5">
        <w:rPr>
          <w:lang w:val="fr-CA"/>
        </w:rPr>
        <w:t xml:space="preserve">s Bénéficiaires du crédit </w:t>
      </w:r>
      <w:r w:rsidR="00211D41" w:rsidRPr="00B63BD5">
        <w:rPr>
          <w:lang w:val="fr-CA"/>
        </w:rPr>
        <w:t>soient signés à la main ou remis à la Banque sur papier. Si la B</w:t>
      </w:r>
      <w:r w:rsidR="00614E6D" w:rsidRPr="00B63BD5">
        <w:rPr>
          <w:lang w:val="fr-CA"/>
        </w:rPr>
        <w:t>anque</w:t>
      </w:r>
      <w:r w:rsidR="00211D41" w:rsidRPr="00B63BD5">
        <w:rPr>
          <w:lang w:val="fr-CA"/>
        </w:rPr>
        <w:t xml:space="preserve"> exige que </w:t>
      </w:r>
      <w:r w:rsidR="00BE0718" w:rsidRPr="00B63BD5">
        <w:rPr>
          <w:lang w:val="fr-CA"/>
        </w:rPr>
        <w:t>les Bénéficiaires du crédit</w:t>
      </w:r>
      <w:r w:rsidR="00211D41" w:rsidRPr="00B63BD5">
        <w:rPr>
          <w:lang w:val="fr-CA"/>
        </w:rPr>
        <w:t xml:space="preserve"> reco</w:t>
      </w:r>
      <w:r w:rsidR="00614E6D" w:rsidRPr="00B63BD5">
        <w:rPr>
          <w:lang w:val="fr-CA"/>
        </w:rPr>
        <w:t>n</w:t>
      </w:r>
      <w:r w:rsidR="00211D41" w:rsidRPr="00B63BD5">
        <w:rPr>
          <w:lang w:val="fr-CA"/>
        </w:rPr>
        <w:t>naisse</w:t>
      </w:r>
      <w:r w:rsidR="00BE0718" w:rsidRPr="00B63BD5">
        <w:rPr>
          <w:lang w:val="fr-CA"/>
        </w:rPr>
        <w:t>nt</w:t>
      </w:r>
      <w:r w:rsidR="00211D41" w:rsidRPr="00B63BD5">
        <w:rPr>
          <w:lang w:val="fr-CA"/>
        </w:rPr>
        <w:t xml:space="preserve"> avoir accepté la présente</w:t>
      </w:r>
      <w:r w:rsidR="00614E6D" w:rsidRPr="00B63BD5">
        <w:rPr>
          <w:lang w:val="fr-CA"/>
        </w:rPr>
        <w:t xml:space="preserve"> </w:t>
      </w:r>
      <w:r w:rsidR="00211D41" w:rsidRPr="00B63BD5">
        <w:rPr>
          <w:lang w:val="fr-CA"/>
        </w:rPr>
        <w:t>Lettre relative aux facilités ou l</w:t>
      </w:r>
      <w:r w:rsidR="00564B0C" w:rsidRPr="00B63BD5">
        <w:rPr>
          <w:lang w:val="fr-CA"/>
        </w:rPr>
        <w:t>’</w:t>
      </w:r>
      <w:r w:rsidR="00211D41" w:rsidRPr="00B63BD5">
        <w:rPr>
          <w:lang w:val="fr-CA"/>
        </w:rPr>
        <w:t>un ou l</w:t>
      </w:r>
      <w:r w:rsidR="00564B0C" w:rsidRPr="00B63BD5">
        <w:rPr>
          <w:lang w:val="fr-CA"/>
        </w:rPr>
        <w:t>’</w:t>
      </w:r>
      <w:r w:rsidR="00211D41" w:rsidRPr="00B63BD5">
        <w:rPr>
          <w:lang w:val="fr-CA"/>
        </w:rPr>
        <w:t xml:space="preserve">autre des </w:t>
      </w:r>
      <w:r w:rsidR="00C80DE6" w:rsidRPr="00B63BD5">
        <w:rPr>
          <w:lang w:val="fr-CA"/>
        </w:rPr>
        <w:t xml:space="preserve">autres </w:t>
      </w:r>
      <w:r w:rsidR="00211D41" w:rsidRPr="00B63BD5">
        <w:rPr>
          <w:lang w:val="fr-CA"/>
        </w:rPr>
        <w:t>Documents de</w:t>
      </w:r>
      <w:r w:rsidR="00614E6D" w:rsidRPr="00B63BD5">
        <w:rPr>
          <w:lang w:val="fr-CA"/>
        </w:rPr>
        <w:t xml:space="preserve"> </w:t>
      </w:r>
      <w:r w:rsidR="00211D41" w:rsidRPr="00B63BD5">
        <w:rPr>
          <w:lang w:val="fr-CA"/>
        </w:rPr>
        <w:t xml:space="preserve">prêt en cliquant sur le bouton </w:t>
      </w:r>
      <w:r w:rsidR="00614E6D" w:rsidRPr="00B63BD5">
        <w:rPr>
          <w:lang w:val="fr-CA"/>
        </w:rPr>
        <w:t>approprié</w:t>
      </w:r>
      <w:r w:rsidR="00211D41" w:rsidRPr="00B63BD5">
        <w:rPr>
          <w:lang w:val="fr-CA"/>
        </w:rPr>
        <w:t>, l</w:t>
      </w:r>
      <w:r w:rsidR="00BE0718" w:rsidRPr="00B63BD5">
        <w:rPr>
          <w:lang w:val="fr-CA"/>
        </w:rPr>
        <w:t>es Bénéficiaires du crédit</w:t>
      </w:r>
      <w:r w:rsidR="00211D41" w:rsidRPr="00B63BD5">
        <w:rPr>
          <w:lang w:val="fr-CA"/>
        </w:rPr>
        <w:t xml:space="preserve"> suivr</w:t>
      </w:r>
      <w:r w:rsidR="00BE0718" w:rsidRPr="00B63BD5">
        <w:rPr>
          <w:lang w:val="fr-CA"/>
        </w:rPr>
        <w:t>ont</w:t>
      </w:r>
      <w:r w:rsidR="00211D41" w:rsidRPr="00B63BD5">
        <w:rPr>
          <w:lang w:val="fr-CA"/>
        </w:rPr>
        <w:t xml:space="preserve"> les </w:t>
      </w:r>
      <w:r w:rsidR="00587902" w:rsidRPr="00B63BD5">
        <w:rPr>
          <w:lang w:val="fr-CA"/>
        </w:rPr>
        <w:t xml:space="preserve">directives </w:t>
      </w:r>
      <w:r w:rsidR="00B26B34" w:rsidRPr="00B63BD5">
        <w:rPr>
          <w:lang w:val="fr-CA"/>
        </w:rPr>
        <w:t xml:space="preserve">de </w:t>
      </w:r>
      <w:r w:rsidR="00211D41" w:rsidRPr="00B63BD5">
        <w:rPr>
          <w:lang w:val="fr-CA"/>
        </w:rPr>
        <w:t>la Banque (</w:t>
      </w:r>
      <w:r w:rsidR="00587902" w:rsidRPr="00B63BD5">
        <w:rPr>
          <w:lang w:val="fr-CA"/>
        </w:rPr>
        <w:t xml:space="preserve">soit </w:t>
      </w:r>
      <w:r w:rsidR="00211D41" w:rsidRPr="00B63BD5">
        <w:rPr>
          <w:lang w:val="fr-CA"/>
        </w:rPr>
        <w:t xml:space="preserve">taper </w:t>
      </w:r>
      <w:r w:rsidR="000D2192" w:rsidRPr="00B63BD5">
        <w:rPr>
          <w:lang w:val="fr-CA"/>
        </w:rPr>
        <w:t xml:space="preserve">le </w:t>
      </w:r>
      <w:r w:rsidR="00211D41" w:rsidRPr="00B63BD5">
        <w:rPr>
          <w:lang w:val="fr-CA"/>
        </w:rPr>
        <w:t xml:space="preserve">nom </w:t>
      </w:r>
      <w:r w:rsidR="00C80DE6" w:rsidRPr="00B63BD5">
        <w:rPr>
          <w:lang w:val="fr-CA"/>
        </w:rPr>
        <w:t>de</w:t>
      </w:r>
      <w:r w:rsidR="00BE0718" w:rsidRPr="00B63BD5">
        <w:rPr>
          <w:lang w:val="fr-CA"/>
        </w:rPr>
        <w:t>s</w:t>
      </w:r>
      <w:r w:rsidR="00C80DE6" w:rsidRPr="00B63BD5">
        <w:rPr>
          <w:lang w:val="fr-CA"/>
        </w:rPr>
        <w:t xml:space="preserve"> </w:t>
      </w:r>
      <w:r w:rsidR="00BE0718" w:rsidRPr="00B63BD5">
        <w:rPr>
          <w:lang w:val="fr-CA"/>
        </w:rPr>
        <w:t xml:space="preserve">Bénéficiaires du crédit </w:t>
      </w:r>
      <w:r w:rsidR="00211D41" w:rsidRPr="00B63BD5">
        <w:rPr>
          <w:lang w:val="fr-CA"/>
        </w:rPr>
        <w:t>ou cliquer sur le bouton «</w:t>
      </w:r>
      <w:r w:rsidR="0094743F" w:rsidRPr="00B63BD5">
        <w:rPr>
          <w:lang w:val="fr-CA"/>
        </w:rPr>
        <w:t> </w:t>
      </w:r>
      <w:r w:rsidR="00587902" w:rsidRPr="00B63BD5">
        <w:rPr>
          <w:lang w:val="fr-CA"/>
        </w:rPr>
        <w:t>J</w:t>
      </w:r>
      <w:r w:rsidR="00564B0C" w:rsidRPr="00B63BD5">
        <w:rPr>
          <w:lang w:val="fr-CA"/>
        </w:rPr>
        <w:t>’</w:t>
      </w:r>
      <w:r w:rsidR="00211D41" w:rsidRPr="00B63BD5">
        <w:rPr>
          <w:lang w:val="fr-CA"/>
        </w:rPr>
        <w:t>accepte</w:t>
      </w:r>
      <w:r w:rsidR="0094743F" w:rsidRPr="00B63BD5">
        <w:rPr>
          <w:lang w:val="fr-CA"/>
        </w:rPr>
        <w:t> </w:t>
      </w:r>
      <w:r w:rsidR="00211D41" w:rsidRPr="00B63BD5">
        <w:rPr>
          <w:lang w:val="fr-CA"/>
        </w:rPr>
        <w:t>» ou</w:t>
      </w:r>
      <w:r w:rsidR="00796564" w:rsidRPr="00B63BD5">
        <w:rPr>
          <w:lang w:val="fr-CA"/>
        </w:rPr>
        <w:t> </w:t>
      </w:r>
      <w:r w:rsidR="00211D41" w:rsidRPr="00B63BD5">
        <w:rPr>
          <w:lang w:val="fr-CA"/>
        </w:rPr>
        <w:t>un bouton similaire</w:t>
      </w:r>
      <w:r w:rsidR="00614E6D" w:rsidRPr="00B63BD5">
        <w:rPr>
          <w:lang w:val="fr-CA"/>
        </w:rPr>
        <w:t>)</w:t>
      </w:r>
      <w:r w:rsidR="00211D41" w:rsidRPr="00B63BD5">
        <w:rPr>
          <w:lang w:val="fr-CA"/>
        </w:rPr>
        <w:t>.</w:t>
      </w:r>
    </w:p>
    <w:p w14:paraId="5D5881DA" w14:textId="60881B13" w:rsidR="00767589" w:rsidRPr="00B63BD5" w:rsidRDefault="00961D64" w:rsidP="000B7739">
      <w:pPr>
        <w:pStyle w:val="04LOLglNew3"/>
        <w:rPr>
          <w:lang w:val="fr-CA"/>
        </w:rPr>
      </w:pPr>
      <w:r w:rsidRPr="00B63BD5">
        <w:rPr>
          <w:lang w:val="fr-CA"/>
        </w:rPr>
        <w:t xml:space="preserve">Si </w:t>
      </w:r>
      <w:r w:rsidR="00211D41" w:rsidRPr="00B63BD5">
        <w:rPr>
          <w:lang w:val="fr-CA"/>
        </w:rPr>
        <w:t>la signature manuscrite</w:t>
      </w:r>
      <w:r w:rsidR="00614E6D" w:rsidRPr="00B63BD5">
        <w:rPr>
          <w:lang w:val="fr-CA"/>
        </w:rPr>
        <w:t xml:space="preserve"> </w:t>
      </w:r>
      <w:r w:rsidR="00211D41" w:rsidRPr="00B63BD5">
        <w:rPr>
          <w:lang w:val="fr-CA"/>
        </w:rPr>
        <w:t xml:space="preserve">ou </w:t>
      </w:r>
      <w:r w:rsidR="008A56A7" w:rsidRPr="00B63BD5">
        <w:rPr>
          <w:lang w:val="fr-CA"/>
        </w:rPr>
        <w:t xml:space="preserve">la Signature </w:t>
      </w:r>
      <w:r w:rsidR="00211D41" w:rsidRPr="00B63BD5">
        <w:rPr>
          <w:lang w:val="fr-CA"/>
        </w:rPr>
        <w:t>élect</w:t>
      </w:r>
      <w:r w:rsidR="00614E6D" w:rsidRPr="00B63BD5">
        <w:rPr>
          <w:lang w:val="fr-CA"/>
        </w:rPr>
        <w:t>r</w:t>
      </w:r>
      <w:r w:rsidR="00211D41" w:rsidRPr="00B63BD5">
        <w:rPr>
          <w:lang w:val="fr-CA"/>
        </w:rPr>
        <w:t>onique de</w:t>
      </w:r>
      <w:r w:rsidR="00A65E20" w:rsidRPr="00B63BD5">
        <w:rPr>
          <w:lang w:val="fr-CA"/>
        </w:rPr>
        <w:t xml:space="preserve"> chaque</w:t>
      </w:r>
      <w:r w:rsidR="00614E6D" w:rsidRPr="00B63BD5">
        <w:rPr>
          <w:lang w:val="fr-CA"/>
        </w:rPr>
        <w:t xml:space="preserve"> </w:t>
      </w:r>
      <w:r w:rsidR="00025BD7" w:rsidRPr="00B63BD5">
        <w:rPr>
          <w:lang w:val="fr-CA"/>
        </w:rPr>
        <w:t>Bénéficiaires du crédit</w:t>
      </w:r>
      <w:r w:rsidR="00211D41" w:rsidRPr="00B63BD5">
        <w:rPr>
          <w:lang w:val="fr-CA"/>
        </w:rPr>
        <w:t xml:space="preserve"> est envoyée par </w:t>
      </w:r>
      <w:r w:rsidR="00614E6D" w:rsidRPr="00B63BD5">
        <w:rPr>
          <w:lang w:val="fr-CA"/>
        </w:rPr>
        <w:t>t</w:t>
      </w:r>
      <w:r w:rsidR="00211D41" w:rsidRPr="00B63BD5">
        <w:rPr>
          <w:lang w:val="fr-CA"/>
        </w:rPr>
        <w:t>élécopieur, par cou</w:t>
      </w:r>
      <w:r w:rsidR="00614E6D" w:rsidRPr="00B63BD5">
        <w:rPr>
          <w:lang w:val="fr-CA"/>
        </w:rPr>
        <w:t>r</w:t>
      </w:r>
      <w:r w:rsidR="00211D41" w:rsidRPr="00B63BD5">
        <w:rPr>
          <w:lang w:val="fr-CA"/>
        </w:rPr>
        <w:t>rier élec</w:t>
      </w:r>
      <w:r w:rsidR="00614E6D" w:rsidRPr="00B63BD5">
        <w:rPr>
          <w:lang w:val="fr-CA"/>
        </w:rPr>
        <w:t>t</w:t>
      </w:r>
      <w:r w:rsidR="00211D41" w:rsidRPr="00B63BD5">
        <w:rPr>
          <w:lang w:val="fr-CA"/>
        </w:rPr>
        <w:t>ronique ou par un autre</w:t>
      </w:r>
      <w:r w:rsidR="00614E6D" w:rsidRPr="00B63BD5">
        <w:rPr>
          <w:lang w:val="fr-CA"/>
        </w:rPr>
        <w:t xml:space="preserve"> </w:t>
      </w:r>
      <w:r w:rsidR="00211D41" w:rsidRPr="00B63BD5">
        <w:rPr>
          <w:lang w:val="fr-CA"/>
        </w:rPr>
        <w:t>moyen de transmission électronique ou numérique, cette</w:t>
      </w:r>
      <w:r w:rsidR="002850F1" w:rsidRPr="00B63BD5">
        <w:rPr>
          <w:lang w:val="fr-CA"/>
        </w:rPr>
        <w:t> </w:t>
      </w:r>
      <w:r w:rsidR="00211D41" w:rsidRPr="00B63BD5">
        <w:rPr>
          <w:lang w:val="fr-CA"/>
        </w:rPr>
        <w:t>transmission constitue</w:t>
      </w:r>
      <w:r w:rsidRPr="00B63BD5">
        <w:rPr>
          <w:lang w:val="fr-CA"/>
        </w:rPr>
        <w:t>ra</w:t>
      </w:r>
      <w:r w:rsidR="00211D41" w:rsidRPr="00B63BD5">
        <w:rPr>
          <w:lang w:val="fr-CA"/>
        </w:rPr>
        <w:t xml:space="preserve"> la remise d</w:t>
      </w:r>
      <w:r w:rsidR="00564B0C" w:rsidRPr="00B63BD5">
        <w:rPr>
          <w:lang w:val="fr-CA"/>
        </w:rPr>
        <w:t>’</w:t>
      </w:r>
      <w:r w:rsidR="00211D41" w:rsidRPr="00B63BD5">
        <w:rPr>
          <w:lang w:val="fr-CA"/>
        </w:rPr>
        <w:t>un exemplaire signé de la présente</w:t>
      </w:r>
      <w:r w:rsidR="00614E6D" w:rsidRPr="00B63BD5">
        <w:rPr>
          <w:lang w:val="fr-CA"/>
        </w:rPr>
        <w:t xml:space="preserve"> </w:t>
      </w:r>
      <w:r w:rsidR="00211D41" w:rsidRPr="00B63BD5">
        <w:rPr>
          <w:lang w:val="fr-CA"/>
        </w:rPr>
        <w:t xml:space="preserve">Lettre relative aux </w:t>
      </w:r>
      <w:r w:rsidR="00614E6D" w:rsidRPr="00B63BD5">
        <w:rPr>
          <w:lang w:val="fr-CA"/>
        </w:rPr>
        <w:t>f</w:t>
      </w:r>
      <w:r w:rsidR="00CC1901" w:rsidRPr="00B63BD5">
        <w:rPr>
          <w:lang w:val="fr-CA"/>
        </w:rPr>
        <w:t>acilités ou</w:t>
      </w:r>
      <w:r w:rsidR="002850F1" w:rsidRPr="00B63BD5">
        <w:rPr>
          <w:lang w:val="fr-CA"/>
        </w:rPr>
        <w:t> </w:t>
      </w:r>
      <w:r w:rsidR="00C80DE6" w:rsidRPr="00B63BD5">
        <w:rPr>
          <w:lang w:val="fr-CA"/>
        </w:rPr>
        <w:t>d</w:t>
      </w:r>
      <w:r w:rsidR="00564B0C" w:rsidRPr="00B63BD5">
        <w:rPr>
          <w:lang w:val="fr-CA"/>
        </w:rPr>
        <w:t>’</w:t>
      </w:r>
      <w:r w:rsidR="00C80DE6" w:rsidRPr="00B63BD5">
        <w:rPr>
          <w:lang w:val="fr-CA"/>
        </w:rPr>
        <w:t xml:space="preserve">un autre </w:t>
      </w:r>
      <w:r w:rsidR="00CC1901" w:rsidRPr="00B63BD5">
        <w:rPr>
          <w:lang w:val="fr-CA"/>
        </w:rPr>
        <w:t>Document de P</w:t>
      </w:r>
      <w:r w:rsidR="00211D41" w:rsidRPr="00B63BD5">
        <w:rPr>
          <w:lang w:val="fr-CA"/>
        </w:rPr>
        <w:t>rêt pertinent. Si</w:t>
      </w:r>
      <w:r w:rsidR="00025BD7" w:rsidRPr="00B63BD5">
        <w:rPr>
          <w:lang w:val="fr-CA"/>
        </w:rPr>
        <w:t xml:space="preserve"> les</w:t>
      </w:r>
      <w:r w:rsidR="00211D41" w:rsidRPr="00B63BD5">
        <w:rPr>
          <w:lang w:val="fr-CA"/>
        </w:rPr>
        <w:t xml:space="preserve"> </w:t>
      </w:r>
      <w:r w:rsidR="00025BD7" w:rsidRPr="00B63BD5">
        <w:rPr>
          <w:lang w:val="fr-CA"/>
        </w:rPr>
        <w:t>Bénéficiaires du crédit</w:t>
      </w:r>
      <w:r w:rsidR="00211D41" w:rsidRPr="00B63BD5">
        <w:rPr>
          <w:lang w:val="fr-CA"/>
        </w:rPr>
        <w:t xml:space="preserve"> utilise</w:t>
      </w:r>
      <w:r w:rsidR="00025BD7" w:rsidRPr="00B63BD5">
        <w:rPr>
          <w:lang w:val="fr-CA"/>
        </w:rPr>
        <w:t>nt</w:t>
      </w:r>
      <w:r w:rsidR="00211D41" w:rsidRPr="00B63BD5">
        <w:rPr>
          <w:lang w:val="fr-CA"/>
        </w:rPr>
        <w:t xml:space="preserve"> une </w:t>
      </w:r>
      <w:r w:rsidR="008A56A7" w:rsidRPr="00B63BD5">
        <w:rPr>
          <w:lang w:val="fr-CA"/>
        </w:rPr>
        <w:t>S</w:t>
      </w:r>
      <w:r w:rsidR="00211D41" w:rsidRPr="00B63BD5">
        <w:rPr>
          <w:lang w:val="fr-CA"/>
        </w:rPr>
        <w:t xml:space="preserve">ignature électronique pour indiquer </w:t>
      </w:r>
      <w:r w:rsidR="00025BD7" w:rsidRPr="00B63BD5">
        <w:rPr>
          <w:lang w:val="fr-CA"/>
        </w:rPr>
        <w:t>leur</w:t>
      </w:r>
      <w:r w:rsidR="00211D41" w:rsidRPr="00B63BD5">
        <w:rPr>
          <w:lang w:val="fr-CA"/>
        </w:rPr>
        <w:t xml:space="preserve"> acceptation, il</w:t>
      </w:r>
      <w:r w:rsidR="00025BD7" w:rsidRPr="00B63BD5">
        <w:rPr>
          <w:lang w:val="fr-CA"/>
        </w:rPr>
        <w:t>s</w:t>
      </w:r>
      <w:r w:rsidR="00211D41" w:rsidRPr="00B63BD5">
        <w:rPr>
          <w:lang w:val="fr-CA"/>
        </w:rPr>
        <w:t xml:space="preserve"> devr</w:t>
      </w:r>
      <w:r w:rsidR="00025BD7" w:rsidRPr="00B63BD5">
        <w:rPr>
          <w:lang w:val="fr-CA"/>
        </w:rPr>
        <w:t>ont</w:t>
      </w:r>
      <w:r w:rsidR="00211D41" w:rsidRPr="00B63BD5">
        <w:rPr>
          <w:lang w:val="fr-CA"/>
        </w:rPr>
        <w:t xml:space="preserve"> s</w:t>
      </w:r>
      <w:r w:rsidR="00564B0C" w:rsidRPr="00B63BD5">
        <w:rPr>
          <w:lang w:val="fr-CA"/>
        </w:rPr>
        <w:t>’</w:t>
      </w:r>
      <w:r w:rsidR="00211D41" w:rsidRPr="00B63BD5">
        <w:rPr>
          <w:lang w:val="fr-CA"/>
        </w:rPr>
        <w:t xml:space="preserve">assurer que cette </w:t>
      </w:r>
      <w:r w:rsidR="008A56A7" w:rsidRPr="00B63BD5">
        <w:rPr>
          <w:lang w:val="fr-CA"/>
        </w:rPr>
        <w:t>S</w:t>
      </w:r>
      <w:r w:rsidR="00211D41" w:rsidRPr="00B63BD5">
        <w:rPr>
          <w:lang w:val="fr-CA"/>
        </w:rPr>
        <w:t xml:space="preserve">ignature électronique est jointe ou associée </w:t>
      </w:r>
      <w:r w:rsidR="00614E6D" w:rsidRPr="00B63BD5">
        <w:rPr>
          <w:lang w:val="fr-CA"/>
        </w:rPr>
        <w:t>à</w:t>
      </w:r>
      <w:r w:rsidR="002850F1" w:rsidRPr="00B63BD5">
        <w:rPr>
          <w:lang w:val="fr-CA"/>
        </w:rPr>
        <w:t> </w:t>
      </w:r>
      <w:r w:rsidR="00614E6D" w:rsidRPr="00B63BD5">
        <w:rPr>
          <w:lang w:val="fr-CA"/>
        </w:rPr>
        <w:t>la</w:t>
      </w:r>
      <w:r w:rsidR="002850F1" w:rsidRPr="00B63BD5">
        <w:rPr>
          <w:lang w:val="fr-CA"/>
        </w:rPr>
        <w:t> </w:t>
      </w:r>
      <w:r w:rsidR="00FB687B" w:rsidRPr="00B63BD5">
        <w:rPr>
          <w:lang w:val="fr-CA"/>
        </w:rPr>
        <w:t>C</w:t>
      </w:r>
      <w:r w:rsidR="00211D41" w:rsidRPr="00B63BD5">
        <w:rPr>
          <w:lang w:val="fr-CA"/>
        </w:rPr>
        <w:t>ommunication électronique pertinente.</w:t>
      </w:r>
    </w:p>
    <w:bookmarkEnd w:id="11"/>
    <w:p w14:paraId="277A7E22" w14:textId="26C30EC1" w:rsidR="007B4409" w:rsidRPr="00B63BD5" w:rsidRDefault="00211D41" w:rsidP="00632863">
      <w:pPr>
        <w:pStyle w:val="ListNumber"/>
        <w:spacing w:after="240"/>
        <w:ind w:left="709"/>
        <w:jc w:val="both"/>
        <w:rPr>
          <w:lang w:val="fr-CA"/>
        </w:rPr>
      </w:pPr>
      <w:r w:rsidRPr="00B63BD5">
        <w:rPr>
          <w:lang w:val="fr-CA"/>
        </w:rPr>
        <w:t>Autres engagements</w:t>
      </w:r>
    </w:p>
    <w:p w14:paraId="2145B472" w14:textId="40E63528" w:rsidR="0020455A" w:rsidRPr="00B63BD5" w:rsidRDefault="00211D41"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xml:space="preserve">Chaque </w:t>
      </w:r>
      <w:r w:rsidR="008121D8" w:rsidRPr="00B63BD5">
        <w:rPr>
          <w:lang w:val="fr-CA"/>
        </w:rPr>
        <w:t>Bénéficiaire du crédit</w:t>
      </w:r>
      <w:r w:rsidRPr="00B63BD5">
        <w:rPr>
          <w:lang w:val="fr-CA"/>
        </w:rPr>
        <w:t xml:space="preserve"> doit, à ses frais, sur demande de la Banque, dûment signer et remettre</w:t>
      </w:r>
      <w:r w:rsidR="00E60189" w:rsidRPr="00B63BD5">
        <w:rPr>
          <w:lang w:val="fr-CA"/>
        </w:rPr>
        <w:t xml:space="preserve"> à</w:t>
      </w:r>
      <w:r w:rsidR="002850F1" w:rsidRPr="00B63BD5">
        <w:rPr>
          <w:lang w:val="fr-CA"/>
        </w:rPr>
        <w:t> </w:t>
      </w:r>
      <w:r w:rsidR="00E60189" w:rsidRPr="00B63BD5">
        <w:rPr>
          <w:lang w:val="fr-CA"/>
        </w:rPr>
        <w:t>la</w:t>
      </w:r>
      <w:r w:rsidR="002850F1" w:rsidRPr="00B63BD5">
        <w:rPr>
          <w:lang w:val="fr-CA"/>
        </w:rPr>
        <w:t> </w:t>
      </w:r>
      <w:r w:rsidR="00E60189" w:rsidRPr="00B63BD5">
        <w:rPr>
          <w:lang w:val="fr-CA"/>
        </w:rPr>
        <w:t>Banque</w:t>
      </w:r>
      <w:r w:rsidRPr="00B63BD5">
        <w:rPr>
          <w:lang w:val="fr-CA"/>
        </w:rPr>
        <w:t>, ou faire en sorte que soient dûment signé</w:t>
      </w:r>
      <w:r w:rsidR="00614E6D" w:rsidRPr="00B63BD5">
        <w:rPr>
          <w:lang w:val="fr-CA"/>
        </w:rPr>
        <w:t>s</w:t>
      </w:r>
      <w:r w:rsidRPr="00B63BD5">
        <w:rPr>
          <w:lang w:val="fr-CA"/>
        </w:rPr>
        <w:t xml:space="preserve"> et remis</w:t>
      </w:r>
      <w:r w:rsidR="00E60189" w:rsidRPr="00B63BD5">
        <w:rPr>
          <w:lang w:val="fr-CA"/>
        </w:rPr>
        <w:t xml:space="preserve"> à celle</w:t>
      </w:r>
      <w:r w:rsidR="00E60189" w:rsidRPr="00B63BD5">
        <w:rPr>
          <w:lang w:val="fr-CA"/>
        </w:rPr>
        <w:noBreakHyphen/>
        <w:t>ci</w:t>
      </w:r>
      <w:r w:rsidRPr="00B63BD5">
        <w:rPr>
          <w:lang w:val="fr-CA"/>
        </w:rPr>
        <w:t>, les autr</w:t>
      </w:r>
      <w:r w:rsidR="00614E6D" w:rsidRPr="00B63BD5">
        <w:rPr>
          <w:lang w:val="fr-CA"/>
        </w:rPr>
        <w:t>e</w:t>
      </w:r>
      <w:r w:rsidRPr="00B63BD5">
        <w:rPr>
          <w:lang w:val="fr-CA"/>
        </w:rPr>
        <w:t xml:space="preserve">s conventions, effets, documents et engagements et prendre et faire en sorte que soient prises les autres mesures </w:t>
      </w:r>
      <w:r w:rsidR="00961D64" w:rsidRPr="00B63BD5">
        <w:rPr>
          <w:lang w:val="fr-CA"/>
        </w:rPr>
        <w:t xml:space="preserve">que la Banque, agissant raisonnablement, pourrait juger </w:t>
      </w:r>
      <w:r w:rsidRPr="00B63BD5">
        <w:rPr>
          <w:lang w:val="fr-CA"/>
        </w:rPr>
        <w:t>nécessaires ou souhaitables pour donner effet aux dispositions et</w:t>
      </w:r>
      <w:r w:rsidR="002850F1" w:rsidRPr="00B63BD5">
        <w:rPr>
          <w:lang w:val="fr-CA"/>
        </w:rPr>
        <w:t> </w:t>
      </w:r>
      <w:r w:rsidRPr="00B63BD5">
        <w:rPr>
          <w:lang w:val="fr-CA"/>
        </w:rPr>
        <w:t>à</w:t>
      </w:r>
      <w:r w:rsidR="002850F1" w:rsidRPr="00B63BD5">
        <w:rPr>
          <w:lang w:val="fr-CA"/>
        </w:rPr>
        <w:t> </w:t>
      </w:r>
      <w:r w:rsidRPr="00B63BD5">
        <w:rPr>
          <w:lang w:val="fr-CA"/>
        </w:rPr>
        <w:t>l</w:t>
      </w:r>
      <w:r w:rsidR="00564B0C" w:rsidRPr="00B63BD5">
        <w:rPr>
          <w:lang w:val="fr-CA"/>
        </w:rPr>
        <w:t>’</w:t>
      </w:r>
      <w:r w:rsidR="00614E6D" w:rsidRPr="00B63BD5">
        <w:rPr>
          <w:lang w:val="fr-CA"/>
        </w:rPr>
        <w:t xml:space="preserve">objet </w:t>
      </w:r>
      <w:r w:rsidRPr="00B63BD5">
        <w:rPr>
          <w:lang w:val="fr-CA"/>
        </w:rPr>
        <w:t>de la présente</w:t>
      </w:r>
      <w:r w:rsidR="00614E6D" w:rsidRPr="00B63BD5">
        <w:rPr>
          <w:lang w:val="fr-CA"/>
        </w:rPr>
        <w:t xml:space="preserve"> </w:t>
      </w:r>
      <w:r w:rsidRPr="00B63BD5">
        <w:rPr>
          <w:lang w:val="fr-CA"/>
        </w:rPr>
        <w:t>Lettre relative aux facilités ou de l</w:t>
      </w:r>
      <w:r w:rsidR="00564B0C" w:rsidRPr="00B63BD5">
        <w:rPr>
          <w:lang w:val="fr-CA"/>
        </w:rPr>
        <w:t>’</w:t>
      </w:r>
      <w:r w:rsidRPr="00B63BD5">
        <w:rPr>
          <w:lang w:val="fr-CA"/>
        </w:rPr>
        <w:t>un ou l</w:t>
      </w:r>
      <w:r w:rsidR="00564B0C" w:rsidRPr="00B63BD5">
        <w:rPr>
          <w:lang w:val="fr-CA"/>
        </w:rPr>
        <w:t>’</w:t>
      </w:r>
      <w:r w:rsidRPr="00B63BD5">
        <w:rPr>
          <w:lang w:val="fr-CA"/>
        </w:rPr>
        <w:t>autre des autres Docu</w:t>
      </w:r>
      <w:r w:rsidR="00614E6D" w:rsidRPr="00B63BD5">
        <w:rPr>
          <w:lang w:val="fr-CA"/>
        </w:rPr>
        <w:t xml:space="preserve">ments de </w:t>
      </w:r>
      <w:r w:rsidRPr="00B63BD5">
        <w:rPr>
          <w:lang w:val="fr-CA"/>
        </w:rPr>
        <w:t>prêt.</w:t>
      </w:r>
    </w:p>
    <w:p w14:paraId="0A2847F1" w14:textId="649A35CB" w:rsidR="0083122D" w:rsidRPr="00B63BD5" w:rsidRDefault="0083122D" w:rsidP="00632863">
      <w:pPr>
        <w:pStyle w:val="ListNumber"/>
        <w:spacing w:after="240"/>
        <w:ind w:left="709"/>
        <w:jc w:val="both"/>
        <w:rPr>
          <w:lang w:val="fr-CA"/>
        </w:rPr>
      </w:pPr>
      <w:r w:rsidRPr="00B63BD5">
        <w:rPr>
          <w:lang w:val="fr-CA"/>
        </w:rPr>
        <w:t>Conflit</w:t>
      </w:r>
    </w:p>
    <w:p w14:paraId="465CA9D0" w14:textId="1EDBF3E3" w:rsidR="00A862D6" w:rsidRPr="00B63BD5" w:rsidRDefault="00614E6D"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lang w:val="fr-CA"/>
        </w:rPr>
      </w:pPr>
      <w:r w:rsidRPr="00B63BD5">
        <w:rPr>
          <w:lang w:val="fr-CA"/>
        </w:rPr>
        <w:t xml:space="preserve">En </w:t>
      </w:r>
      <w:r w:rsidR="00E22EA9" w:rsidRPr="00B63BD5">
        <w:rPr>
          <w:lang w:val="fr-CA"/>
        </w:rPr>
        <w:t>c</w:t>
      </w:r>
      <w:r w:rsidRPr="00B63BD5">
        <w:rPr>
          <w:lang w:val="fr-CA"/>
        </w:rPr>
        <w:t>as de con</w:t>
      </w:r>
      <w:r w:rsidR="00E22EA9" w:rsidRPr="00B63BD5">
        <w:rPr>
          <w:lang w:val="fr-CA"/>
        </w:rPr>
        <w:t>f</w:t>
      </w:r>
      <w:r w:rsidRPr="00B63BD5">
        <w:rPr>
          <w:lang w:val="fr-CA"/>
        </w:rPr>
        <w:t>lit entre les modalités de la présente Annexe et les modalités correspondantes de la</w:t>
      </w:r>
      <w:r w:rsidR="00FA5F44" w:rsidRPr="00B63BD5">
        <w:rPr>
          <w:lang w:val="fr-CA"/>
        </w:rPr>
        <w:t xml:space="preserve"> </w:t>
      </w:r>
      <w:r w:rsidR="00C80DE6" w:rsidRPr="00B63BD5">
        <w:rPr>
          <w:lang w:val="fr-CA"/>
        </w:rPr>
        <w:t xml:space="preserve">présente </w:t>
      </w:r>
      <w:r w:rsidR="001406C2" w:rsidRPr="00B63BD5">
        <w:rPr>
          <w:lang w:val="fr-CA"/>
        </w:rPr>
        <w:t xml:space="preserve">Lettre </w:t>
      </w:r>
      <w:r w:rsidRPr="00B63BD5">
        <w:rPr>
          <w:lang w:val="fr-CA"/>
        </w:rPr>
        <w:t>relative aux facilités à laquelle la présente</w:t>
      </w:r>
      <w:r w:rsidR="00E22EA9" w:rsidRPr="00B63BD5">
        <w:rPr>
          <w:lang w:val="fr-CA"/>
        </w:rPr>
        <w:t xml:space="preserve"> </w:t>
      </w:r>
      <w:r w:rsidRPr="00B63BD5">
        <w:rPr>
          <w:lang w:val="fr-CA"/>
        </w:rPr>
        <w:t xml:space="preserve">Annexe </w:t>
      </w:r>
      <w:r w:rsidR="008902C5" w:rsidRPr="00B63BD5">
        <w:rPr>
          <w:lang w:val="fr-CA"/>
        </w:rPr>
        <w:t xml:space="preserve">ou tout autre Annexe </w:t>
      </w:r>
      <w:r w:rsidRPr="00B63BD5">
        <w:rPr>
          <w:lang w:val="fr-CA"/>
        </w:rPr>
        <w:t>est jointe, les modalités de</w:t>
      </w:r>
      <w:r w:rsidR="002850F1" w:rsidRPr="00B63BD5">
        <w:rPr>
          <w:lang w:val="fr-CA"/>
        </w:rPr>
        <w:t> </w:t>
      </w:r>
      <w:r w:rsidRPr="00B63BD5">
        <w:rPr>
          <w:lang w:val="fr-CA"/>
        </w:rPr>
        <w:t>la</w:t>
      </w:r>
      <w:r w:rsidR="002850F1" w:rsidRPr="00B63BD5">
        <w:rPr>
          <w:lang w:val="fr-CA"/>
        </w:rPr>
        <w:t> </w:t>
      </w:r>
      <w:r w:rsidR="00C80DE6" w:rsidRPr="00B63BD5">
        <w:rPr>
          <w:lang w:val="fr-CA"/>
        </w:rPr>
        <w:t>présente Lettre relative aux facilités</w:t>
      </w:r>
      <w:r w:rsidRPr="00B63BD5">
        <w:rPr>
          <w:lang w:val="fr-CA"/>
        </w:rPr>
        <w:t xml:space="preserve"> </w:t>
      </w:r>
      <w:r w:rsidR="00961D64" w:rsidRPr="00B63BD5">
        <w:rPr>
          <w:lang w:val="fr-CA"/>
        </w:rPr>
        <w:t>aur</w:t>
      </w:r>
      <w:r w:rsidRPr="00B63BD5">
        <w:rPr>
          <w:lang w:val="fr-CA"/>
        </w:rPr>
        <w:t>ont</w:t>
      </w:r>
      <w:r w:rsidR="00FA5F44" w:rsidRPr="00B63BD5">
        <w:rPr>
          <w:lang w:val="fr-CA"/>
        </w:rPr>
        <w:t xml:space="preserve"> </w:t>
      </w:r>
      <w:r w:rsidRPr="00B63BD5">
        <w:rPr>
          <w:lang w:val="fr-CA"/>
        </w:rPr>
        <w:t>préséance dans la mesure nécessaire pour régler un tel conflit. En cas de conflit entre les</w:t>
      </w:r>
      <w:r w:rsidR="00E22EA9" w:rsidRPr="00B63BD5">
        <w:rPr>
          <w:lang w:val="fr-CA"/>
        </w:rPr>
        <w:t xml:space="preserve"> </w:t>
      </w:r>
      <w:r w:rsidRPr="00B63BD5">
        <w:rPr>
          <w:lang w:val="fr-CA"/>
        </w:rPr>
        <w:t xml:space="preserve">modalités de la présente Lettre relative aux </w:t>
      </w:r>
      <w:r w:rsidR="00E22EA9" w:rsidRPr="00B63BD5">
        <w:rPr>
          <w:lang w:val="fr-CA"/>
        </w:rPr>
        <w:t xml:space="preserve">facilités et les modalités correspondantes </w:t>
      </w:r>
      <w:r w:rsidRPr="00B63BD5">
        <w:rPr>
          <w:lang w:val="fr-CA"/>
        </w:rPr>
        <w:t>de l</w:t>
      </w:r>
      <w:r w:rsidR="00564B0C" w:rsidRPr="00B63BD5">
        <w:rPr>
          <w:lang w:val="fr-CA"/>
        </w:rPr>
        <w:t>’</w:t>
      </w:r>
      <w:r w:rsidRPr="00B63BD5">
        <w:rPr>
          <w:lang w:val="fr-CA"/>
        </w:rPr>
        <w:t>un ou l</w:t>
      </w:r>
      <w:r w:rsidR="00564B0C" w:rsidRPr="00B63BD5">
        <w:rPr>
          <w:lang w:val="fr-CA"/>
        </w:rPr>
        <w:t>’</w:t>
      </w:r>
      <w:r w:rsidRPr="00B63BD5">
        <w:rPr>
          <w:lang w:val="fr-CA"/>
        </w:rPr>
        <w:t>autre des D</w:t>
      </w:r>
      <w:r w:rsidR="00E22EA9" w:rsidRPr="00B63BD5">
        <w:rPr>
          <w:lang w:val="fr-CA"/>
        </w:rPr>
        <w:t xml:space="preserve">ocuments </w:t>
      </w:r>
      <w:r w:rsidRPr="00B63BD5">
        <w:rPr>
          <w:lang w:val="fr-CA"/>
        </w:rPr>
        <w:t>de prêt, les modalités de la présente</w:t>
      </w:r>
      <w:r w:rsidR="00E22EA9" w:rsidRPr="00B63BD5">
        <w:rPr>
          <w:lang w:val="fr-CA"/>
        </w:rPr>
        <w:t xml:space="preserve"> Lettre relative aux facilités </w:t>
      </w:r>
      <w:r w:rsidR="00961D64" w:rsidRPr="00B63BD5">
        <w:rPr>
          <w:lang w:val="fr-CA"/>
        </w:rPr>
        <w:t>aur</w:t>
      </w:r>
      <w:r w:rsidRPr="00B63BD5">
        <w:rPr>
          <w:lang w:val="fr-CA"/>
        </w:rPr>
        <w:t>ont préséance dans la mesure d</w:t>
      </w:r>
      <w:r w:rsidR="00564B0C" w:rsidRPr="00B63BD5">
        <w:rPr>
          <w:lang w:val="fr-CA"/>
        </w:rPr>
        <w:t>’</w:t>
      </w:r>
      <w:r w:rsidRPr="00B63BD5">
        <w:rPr>
          <w:lang w:val="fr-CA"/>
        </w:rPr>
        <w:t>un tel conflit.</w:t>
      </w:r>
    </w:p>
    <w:p w14:paraId="6BEB726B" w14:textId="2A29FDD0" w:rsidR="00F6048C" w:rsidRPr="00B63BD5" w:rsidRDefault="00F6048C" w:rsidP="00632863">
      <w:pPr>
        <w:pStyle w:val="ListNumber"/>
        <w:spacing w:after="240"/>
        <w:ind w:left="709"/>
        <w:jc w:val="both"/>
        <w:rPr>
          <w:lang w:val="fr-CA"/>
        </w:rPr>
      </w:pPr>
      <w:r w:rsidRPr="00B63BD5">
        <w:rPr>
          <w:lang w:val="fr-CA"/>
        </w:rPr>
        <w:t>Confidentialit</w:t>
      </w:r>
      <w:r w:rsidR="00614E6D" w:rsidRPr="00B63BD5">
        <w:rPr>
          <w:lang w:val="fr-CA"/>
        </w:rPr>
        <w:t>é</w:t>
      </w:r>
    </w:p>
    <w:p w14:paraId="42915541" w14:textId="075DB689" w:rsidR="0044177D" w:rsidRPr="00B63BD5" w:rsidRDefault="00614E6D"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bCs/>
          <w:lang w:val="fr-CA"/>
        </w:rPr>
      </w:pPr>
      <w:r w:rsidRPr="00B63BD5">
        <w:rPr>
          <w:bCs/>
          <w:lang w:val="fr-CA"/>
        </w:rPr>
        <w:t xml:space="preserve">Chaque </w:t>
      </w:r>
      <w:r w:rsidR="008121D8" w:rsidRPr="00B63BD5">
        <w:rPr>
          <w:bCs/>
          <w:lang w:val="fr-CA"/>
        </w:rPr>
        <w:t>Bénéficiaire du crédit</w:t>
      </w:r>
      <w:r w:rsidRPr="00B63BD5">
        <w:rPr>
          <w:bCs/>
          <w:lang w:val="fr-CA"/>
        </w:rPr>
        <w:t xml:space="preserve"> reconnaît que la présente Lettre</w:t>
      </w:r>
      <w:r w:rsidR="00E22EA9" w:rsidRPr="00B63BD5">
        <w:rPr>
          <w:bCs/>
          <w:lang w:val="fr-CA"/>
        </w:rPr>
        <w:t xml:space="preserve"> relative aux facilités </w:t>
      </w:r>
      <w:r w:rsidRPr="00B63BD5">
        <w:rPr>
          <w:bCs/>
          <w:lang w:val="fr-CA"/>
        </w:rPr>
        <w:t xml:space="preserve">est confidentielle et </w:t>
      </w:r>
      <w:r w:rsidR="00FA5F44" w:rsidRPr="00B63BD5">
        <w:rPr>
          <w:bCs/>
          <w:lang w:val="fr-CA"/>
        </w:rPr>
        <w:t>qu</w:t>
      </w:r>
      <w:r w:rsidR="00564B0C" w:rsidRPr="00B63BD5">
        <w:rPr>
          <w:bCs/>
          <w:lang w:val="fr-CA"/>
        </w:rPr>
        <w:t>’</w:t>
      </w:r>
      <w:r w:rsidR="008121D8" w:rsidRPr="00B63BD5">
        <w:rPr>
          <w:bCs/>
          <w:lang w:val="fr-CA"/>
        </w:rPr>
        <w:t xml:space="preserve">il </w:t>
      </w:r>
      <w:r w:rsidRPr="00B63BD5">
        <w:rPr>
          <w:bCs/>
          <w:lang w:val="fr-CA"/>
        </w:rPr>
        <w:t>ne</w:t>
      </w:r>
      <w:r w:rsidR="002850F1" w:rsidRPr="00B63BD5">
        <w:rPr>
          <w:bCs/>
          <w:lang w:val="fr-CA"/>
        </w:rPr>
        <w:t> </w:t>
      </w:r>
      <w:r w:rsidRPr="00B63BD5">
        <w:rPr>
          <w:bCs/>
          <w:lang w:val="fr-CA"/>
        </w:rPr>
        <w:t>doit p</w:t>
      </w:r>
      <w:r w:rsidR="00E22EA9" w:rsidRPr="00B63BD5">
        <w:rPr>
          <w:bCs/>
          <w:lang w:val="fr-CA"/>
        </w:rPr>
        <w:t>a</w:t>
      </w:r>
      <w:r w:rsidRPr="00B63BD5">
        <w:rPr>
          <w:bCs/>
          <w:lang w:val="fr-CA"/>
        </w:rPr>
        <w:t>s</w:t>
      </w:r>
      <w:r w:rsidR="00961D64" w:rsidRPr="00B63BD5">
        <w:rPr>
          <w:bCs/>
          <w:lang w:val="fr-CA"/>
        </w:rPr>
        <w:t xml:space="preserve"> en </w:t>
      </w:r>
      <w:r w:rsidR="00FA5F44" w:rsidRPr="00B63BD5">
        <w:rPr>
          <w:bCs/>
          <w:lang w:val="fr-CA"/>
        </w:rPr>
        <w:t xml:space="preserve">divulguer la teneur </w:t>
      </w:r>
      <w:r w:rsidRPr="00B63BD5">
        <w:rPr>
          <w:bCs/>
          <w:lang w:val="fr-CA"/>
        </w:rPr>
        <w:t>à quiconque, sauf ses avocats (ou toute autre personne liée par une obligation de confidentialité)</w:t>
      </w:r>
      <w:r w:rsidR="00961D64" w:rsidRPr="00B63BD5">
        <w:rPr>
          <w:bCs/>
          <w:lang w:val="fr-CA"/>
        </w:rPr>
        <w:t xml:space="preserve">, sans </w:t>
      </w:r>
      <w:r w:rsidRPr="00B63BD5">
        <w:rPr>
          <w:bCs/>
          <w:lang w:val="fr-CA"/>
        </w:rPr>
        <w:t xml:space="preserve">le consentement préalable </w:t>
      </w:r>
      <w:r w:rsidR="00575E06" w:rsidRPr="00B63BD5">
        <w:rPr>
          <w:bCs/>
          <w:lang w:val="fr-CA"/>
        </w:rPr>
        <w:t xml:space="preserve">écrit </w:t>
      </w:r>
      <w:r w:rsidRPr="00B63BD5">
        <w:rPr>
          <w:bCs/>
          <w:lang w:val="fr-CA"/>
        </w:rPr>
        <w:t>de la Banque.</w:t>
      </w:r>
    </w:p>
    <w:p w14:paraId="20545058" w14:textId="0C6C6230" w:rsidR="00C80DE6" w:rsidRPr="00B63BD5" w:rsidRDefault="00C80DE6" w:rsidP="00632863">
      <w:pPr>
        <w:spacing w:after="240"/>
        <w:jc w:val="both"/>
        <w:rPr>
          <w:bCs/>
          <w:lang w:val="fr-CA"/>
        </w:rPr>
      </w:pPr>
      <w:r w:rsidRPr="00B63BD5">
        <w:rPr>
          <w:bCs/>
          <w:lang w:val="fr-CA"/>
        </w:rPr>
        <w:br w:type="page"/>
      </w:r>
    </w:p>
    <w:p w14:paraId="3BB8B5EE" w14:textId="530F0366" w:rsidR="00441812" w:rsidRPr="00B63BD5" w:rsidRDefault="00441812"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outlineLvl w:val="0"/>
        <w:rPr>
          <w:b/>
          <w:u w:val="single"/>
          <w:lang w:val="fr-CA"/>
        </w:rPr>
      </w:pPr>
      <w:r w:rsidRPr="00B63BD5">
        <w:rPr>
          <w:b/>
          <w:u w:val="single"/>
          <w:lang w:val="fr-CA"/>
        </w:rPr>
        <w:lastRenderedPageBreak/>
        <w:t>ANNEXE RELATIVE AUX PRÊTS AU TAUX SOFR</w:t>
      </w:r>
      <w:r w:rsidR="008902C5" w:rsidRPr="00B63BD5">
        <w:rPr>
          <w:b/>
          <w:u w:val="single"/>
          <w:lang w:val="fr-CA"/>
        </w:rPr>
        <w:t xml:space="preserve"> SIMPLE QUOTIDIEN</w:t>
      </w:r>
    </w:p>
    <w:p w14:paraId="7B7BD234" w14:textId="77777777" w:rsidR="00441812" w:rsidRPr="00B63BD5" w:rsidRDefault="00441812" w:rsidP="004E4DF9">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0"/>
        <w:rPr>
          <w:b/>
          <w:lang w:val="fr-CA"/>
        </w:rPr>
      </w:pPr>
      <w:r w:rsidRPr="00B63BD5">
        <w:rPr>
          <w:b/>
          <w:lang w:val="fr-CA"/>
        </w:rPr>
        <w:t>À LA LETTRE RELATIVE AUX FACILITÉS</w:t>
      </w:r>
    </w:p>
    <w:p w14:paraId="583C0608" w14:textId="77777777" w:rsidR="00441812" w:rsidRPr="00B63BD5" w:rsidRDefault="00441812" w:rsidP="004E4DF9">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lang w:val="fr-CA"/>
        </w:rPr>
      </w:pPr>
      <w:r w:rsidRPr="00B63BD5">
        <w:rPr>
          <w:b/>
          <w:lang w:val="fr-CA"/>
        </w:rPr>
        <w:t>CONSENTIES PAR LA BANQUE HSBC CANADA</w:t>
      </w:r>
    </w:p>
    <w:p w14:paraId="11C0458A" w14:textId="2AC77501" w:rsidR="00441812" w:rsidRPr="00B63BD5" w:rsidRDefault="00441812" w:rsidP="004E4DF9">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lang w:val="fr-CA"/>
        </w:rPr>
      </w:pPr>
      <w:r w:rsidRPr="00B63BD5">
        <w:rPr>
          <w:b/>
          <w:lang w:val="fr-CA"/>
        </w:rPr>
        <w:t>À [L</w:t>
      </w:r>
      <w:r w:rsidR="00564B0C" w:rsidRPr="00B63BD5">
        <w:rPr>
          <w:b/>
          <w:lang w:val="fr-CA"/>
        </w:rPr>
        <w:t>’</w:t>
      </w:r>
      <w:r w:rsidRPr="00B63BD5">
        <w:rPr>
          <w:b/>
          <w:lang w:val="fr-CA"/>
        </w:rPr>
        <w:t xml:space="preserve">EMPRUNTEUR UNIQUE </w:t>
      </w:r>
      <w:r w:rsidRPr="00B63BD5">
        <w:rPr>
          <w:b/>
          <w:color w:val="00B0F0"/>
          <w:highlight w:val="yellow"/>
          <w:lang w:val="fr-CA"/>
        </w:rPr>
        <w:t>OU</w:t>
      </w:r>
      <w:r w:rsidRPr="00B63BD5">
        <w:rPr>
          <w:b/>
          <w:color w:val="00B0F0"/>
          <w:lang w:val="fr-CA"/>
        </w:rPr>
        <w:t xml:space="preserve"> </w:t>
      </w:r>
      <w:r w:rsidRPr="00B63BD5">
        <w:rPr>
          <w:b/>
          <w:lang w:val="fr-CA"/>
        </w:rPr>
        <w:t>L</w:t>
      </w:r>
      <w:r w:rsidR="00564B0C" w:rsidRPr="00B63BD5">
        <w:rPr>
          <w:b/>
          <w:lang w:val="fr-CA"/>
        </w:rPr>
        <w:t>’</w:t>
      </w:r>
      <w:r w:rsidRPr="00B63BD5">
        <w:rPr>
          <w:b/>
          <w:lang w:val="fr-CA"/>
        </w:rPr>
        <w:t>EMPRUNTEUR PRINCIPAL ET À D</w:t>
      </w:r>
      <w:r w:rsidR="00564B0C" w:rsidRPr="00B63BD5">
        <w:rPr>
          <w:b/>
          <w:lang w:val="fr-CA"/>
        </w:rPr>
        <w:t>’</w:t>
      </w:r>
      <w:r w:rsidRPr="00B63BD5">
        <w:rPr>
          <w:b/>
          <w:lang w:val="fr-CA"/>
        </w:rPr>
        <w:t>AUTRES PERSONNES]</w:t>
      </w:r>
    </w:p>
    <w:p w14:paraId="18387070" w14:textId="4FE3B846" w:rsidR="00441812" w:rsidRPr="00B63BD5" w:rsidRDefault="00441812" w:rsidP="004E4DF9">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Style w:val="Prompt"/>
          <w:lang w:val="fr-CA"/>
        </w:rPr>
      </w:pPr>
      <w:r w:rsidRPr="00B63BD5">
        <w:rPr>
          <w:b/>
          <w:lang w:val="fr-CA"/>
        </w:rPr>
        <w:t xml:space="preserve">DATÉE DU </w:t>
      </w:r>
      <w:r w:rsidR="009C796D" w:rsidRPr="00B63BD5">
        <w:rPr>
          <w:color w:val="000000"/>
          <w:lang w:val="fr-CA"/>
        </w:rPr>
        <w:t>●</w:t>
      </w:r>
    </w:p>
    <w:tbl>
      <w:tblPr>
        <w:tblStyle w:val="TableGrid"/>
        <w:tblW w:w="0" w:type="auto"/>
        <w:tblLook w:val="04A0" w:firstRow="1" w:lastRow="0" w:firstColumn="1" w:lastColumn="0" w:noHBand="0" w:noVBand="1"/>
      </w:tblPr>
      <w:tblGrid>
        <w:gridCol w:w="2830"/>
        <w:gridCol w:w="6298"/>
      </w:tblGrid>
      <w:tr w:rsidR="00441812" w:rsidRPr="002C047F" w14:paraId="00634BA6" w14:textId="77777777" w:rsidTr="0007331B">
        <w:tc>
          <w:tcPr>
            <w:tcW w:w="2830" w:type="dxa"/>
          </w:tcPr>
          <w:p w14:paraId="4FC042C4" w14:textId="43876811" w:rsidR="00441812" w:rsidRPr="00B63BD5" w:rsidRDefault="00441812" w:rsidP="00632863">
            <w:pPr>
              <w:spacing w:after="240"/>
              <w:rPr>
                <w:b/>
                <w:lang w:val="fr-CA"/>
              </w:rPr>
            </w:pPr>
            <w:r w:rsidRPr="00B63BD5">
              <w:rPr>
                <w:b/>
                <w:lang w:val="fr-CA"/>
              </w:rPr>
              <w:t>Taux de référence SOFR</w:t>
            </w:r>
            <w:r w:rsidR="00952856" w:rsidRPr="00B63BD5">
              <w:rPr>
                <w:b/>
                <w:lang w:val="fr-CA"/>
              </w:rPr>
              <w:t> </w:t>
            </w:r>
            <w:r w:rsidRPr="00B63BD5">
              <w:rPr>
                <w:b/>
                <w:lang w:val="fr-CA"/>
              </w:rPr>
              <w:t>simple</w:t>
            </w:r>
          </w:p>
        </w:tc>
        <w:tc>
          <w:tcPr>
            <w:tcW w:w="6298" w:type="dxa"/>
          </w:tcPr>
          <w:p w14:paraId="0C3B0B25" w14:textId="7C9BFE29" w:rsidR="00441812" w:rsidRPr="00B63BD5" w:rsidRDefault="00441812" w:rsidP="00632863">
            <w:pPr>
              <w:spacing w:after="240"/>
              <w:jc w:val="both"/>
              <w:rPr>
                <w:lang w:val="fr-CA"/>
              </w:rPr>
            </w:pPr>
            <w:r w:rsidRPr="00B63BD5">
              <w:rPr>
                <w:lang w:val="fr-CA"/>
              </w:rPr>
              <w:t>Désigne</w:t>
            </w:r>
            <w:r w:rsidR="001C4C43" w:rsidRPr="00B63BD5">
              <w:rPr>
                <w:lang w:val="fr-CA"/>
              </w:rPr>
              <w:t xml:space="preserve"> </w:t>
            </w:r>
            <w:r w:rsidRPr="00B63BD5">
              <w:rPr>
                <w:lang w:val="fr-CA"/>
              </w:rPr>
              <w:t>pour chaque jour d</w:t>
            </w:r>
            <w:r w:rsidR="00564B0C" w:rsidRPr="00B63BD5">
              <w:rPr>
                <w:lang w:val="fr-CA"/>
              </w:rPr>
              <w:t>’</w:t>
            </w:r>
            <w:r w:rsidRPr="00B63BD5">
              <w:rPr>
                <w:lang w:val="fr-CA"/>
              </w:rPr>
              <w:t>un Prêt au taux SOFR, le taux annuel en pourcentage qui est le Taux quotidien du Jour ouvrable de publication du taux SOFR qui correspond au</w:t>
            </w:r>
            <w:r w:rsidR="00166FF1" w:rsidRPr="00B63BD5">
              <w:rPr>
                <w:lang w:val="fr-CA"/>
              </w:rPr>
              <w:t xml:space="preserve"> </w:t>
            </w:r>
            <w:r w:rsidRPr="00B63BD5">
              <w:rPr>
                <w:lang w:val="fr-CA"/>
              </w:rPr>
              <w:t>cinquième Jour ouvrable de publication du taux SOFR précédant</w:t>
            </w:r>
            <w:r w:rsidR="00AC4107" w:rsidRPr="00B63BD5">
              <w:rPr>
                <w:lang w:val="fr-CA"/>
              </w:rPr>
              <w:t xml:space="preserve"> </w:t>
            </w:r>
            <w:r w:rsidRPr="00B63BD5">
              <w:rPr>
                <w:lang w:val="fr-CA"/>
              </w:rPr>
              <w:t xml:space="preserve">: </w:t>
            </w:r>
          </w:p>
          <w:p w14:paraId="2CE7E1DA" w14:textId="7527582B" w:rsidR="00E71AE4" w:rsidRPr="00B63BD5" w:rsidRDefault="00441812" w:rsidP="008B6CE6">
            <w:pPr>
              <w:pStyle w:val="04LOLglNew4"/>
              <w:rPr>
                <w:lang w:val="fr-CA"/>
              </w:rPr>
            </w:pPr>
            <w:r w:rsidRPr="00B63BD5">
              <w:rPr>
                <w:lang w:val="fr-CA"/>
              </w:rPr>
              <w:t>ce jour-là s</w:t>
            </w:r>
            <w:r w:rsidR="00564B0C" w:rsidRPr="00B63BD5">
              <w:rPr>
                <w:lang w:val="fr-CA"/>
              </w:rPr>
              <w:t>’</w:t>
            </w:r>
            <w:r w:rsidRPr="00B63BD5">
              <w:rPr>
                <w:lang w:val="fr-CA"/>
              </w:rPr>
              <w:t>il s</w:t>
            </w:r>
            <w:r w:rsidR="00564B0C" w:rsidRPr="00B63BD5">
              <w:rPr>
                <w:lang w:val="fr-CA"/>
              </w:rPr>
              <w:t>’</w:t>
            </w:r>
            <w:r w:rsidRPr="00B63BD5">
              <w:rPr>
                <w:lang w:val="fr-CA"/>
              </w:rPr>
              <w:t>agit d</w:t>
            </w:r>
            <w:r w:rsidR="00564B0C" w:rsidRPr="00B63BD5">
              <w:rPr>
                <w:lang w:val="fr-CA"/>
              </w:rPr>
              <w:t>’</w:t>
            </w:r>
            <w:r w:rsidRPr="00B63BD5">
              <w:rPr>
                <w:lang w:val="fr-CA"/>
              </w:rPr>
              <w:t>un Jour ouvrable de</w:t>
            </w:r>
            <w:r w:rsidR="00166FF1" w:rsidRPr="00B63BD5">
              <w:rPr>
                <w:lang w:val="fr-CA"/>
              </w:rPr>
              <w:t xml:space="preserve"> </w:t>
            </w:r>
            <w:r w:rsidRPr="00B63BD5">
              <w:rPr>
                <w:lang w:val="fr-CA"/>
              </w:rPr>
              <w:t>publication du taux SOFR; ou</w:t>
            </w:r>
          </w:p>
          <w:p w14:paraId="1388C110" w14:textId="2541EF7F" w:rsidR="00441812" w:rsidRPr="00B63BD5" w:rsidRDefault="00441812" w:rsidP="008B6CE6">
            <w:pPr>
              <w:pStyle w:val="04LOLglNew4"/>
              <w:rPr>
                <w:lang w:val="fr-CA"/>
              </w:rPr>
            </w:pPr>
            <w:r w:rsidRPr="00B63BD5">
              <w:rPr>
                <w:lang w:val="fr-CA"/>
              </w:rPr>
              <w:t xml:space="preserve">le Jour ouvrable de publication du taux SOFR précédant immédiatement ce </w:t>
            </w:r>
            <w:r w:rsidR="00B63BD5" w:rsidRPr="00B63BD5">
              <w:rPr>
                <w:lang w:val="fr-CA"/>
              </w:rPr>
              <w:t>jour-là</w:t>
            </w:r>
            <w:r w:rsidR="001C4C43" w:rsidRPr="00B63BD5">
              <w:rPr>
                <w:lang w:val="fr-CA"/>
              </w:rPr>
              <w:t xml:space="preserve"> </w:t>
            </w:r>
            <w:r w:rsidRPr="00B63BD5">
              <w:rPr>
                <w:lang w:val="fr-CA"/>
              </w:rPr>
              <w:t>s</w:t>
            </w:r>
            <w:r w:rsidR="00564B0C" w:rsidRPr="00B63BD5">
              <w:rPr>
                <w:lang w:val="fr-CA"/>
              </w:rPr>
              <w:t>’</w:t>
            </w:r>
            <w:r w:rsidRPr="00B63BD5">
              <w:rPr>
                <w:lang w:val="fr-CA"/>
              </w:rPr>
              <w:t>il ne s</w:t>
            </w:r>
            <w:r w:rsidR="00564B0C" w:rsidRPr="00B63BD5">
              <w:rPr>
                <w:lang w:val="fr-CA"/>
              </w:rPr>
              <w:t>’</w:t>
            </w:r>
            <w:r w:rsidRPr="00B63BD5">
              <w:rPr>
                <w:lang w:val="fr-CA"/>
              </w:rPr>
              <w:t>agit pas d</w:t>
            </w:r>
            <w:r w:rsidR="00564B0C" w:rsidRPr="00B63BD5">
              <w:rPr>
                <w:lang w:val="fr-CA"/>
              </w:rPr>
              <w:t>’</w:t>
            </w:r>
            <w:r w:rsidRPr="00B63BD5">
              <w:rPr>
                <w:lang w:val="fr-CA"/>
              </w:rPr>
              <w:t>un Jour ouvrable</w:t>
            </w:r>
            <w:r w:rsidR="00166FF1" w:rsidRPr="00B63BD5">
              <w:rPr>
                <w:lang w:val="fr-CA"/>
              </w:rPr>
              <w:t xml:space="preserve"> </w:t>
            </w:r>
            <w:r w:rsidRPr="00B63BD5">
              <w:rPr>
                <w:lang w:val="fr-CA"/>
              </w:rPr>
              <w:t>de publication du taux SOFR</w:t>
            </w:r>
            <w:r w:rsidR="00B10D51" w:rsidRPr="00B63BD5">
              <w:rPr>
                <w:lang w:val="fr-CA"/>
              </w:rPr>
              <w:t>.</w:t>
            </w:r>
          </w:p>
        </w:tc>
      </w:tr>
      <w:tr w:rsidR="00441812" w:rsidRPr="002C047F" w14:paraId="140776DC" w14:textId="77777777" w:rsidTr="0007331B">
        <w:tc>
          <w:tcPr>
            <w:tcW w:w="2830" w:type="dxa"/>
          </w:tcPr>
          <w:p w14:paraId="7C59C1B2" w14:textId="38710BA9" w:rsidR="00441812" w:rsidRPr="00B63BD5" w:rsidRDefault="00441812" w:rsidP="00632863">
            <w:pPr>
              <w:spacing w:after="240"/>
              <w:rPr>
                <w:b/>
                <w:bCs/>
                <w:lang w:val="fr-CA"/>
              </w:rPr>
            </w:pPr>
            <w:r w:rsidRPr="00B63BD5">
              <w:rPr>
                <w:b/>
                <w:bCs/>
                <w:lang w:val="fr-CA"/>
              </w:rPr>
              <w:t>Jour ouvrable de publication du taux SOFR</w:t>
            </w:r>
          </w:p>
        </w:tc>
        <w:tc>
          <w:tcPr>
            <w:tcW w:w="6298" w:type="dxa"/>
          </w:tcPr>
          <w:p w14:paraId="1DA31273" w14:textId="182FEBD9" w:rsidR="00166FF1" w:rsidRPr="00B63BD5" w:rsidRDefault="00695BF8" w:rsidP="00632863">
            <w:pPr>
              <w:spacing w:after="240"/>
              <w:jc w:val="both"/>
              <w:rPr>
                <w:lang w:val="fr-CA"/>
              </w:rPr>
            </w:pPr>
            <w:r w:rsidRPr="00B63BD5">
              <w:rPr>
                <w:lang w:val="fr-CA"/>
              </w:rPr>
              <w:t xml:space="preserve">Désigne un </w:t>
            </w:r>
            <w:r w:rsidR="00441812" w:rsidRPr="00B63BD5">
              <w:rPr>
                <w:lang w:val="fr-CA"/>
              </w:rPr>
              <w:t>jour qui n</w:t>
            </w:r>
            <w:r w:rsidR="00564B0C" w:rsidRPr="00B63BD5">
              <w:rPr>
                <w:lang w:val="fr-CA"/>
              </w:rPr>
              <w:t>’</w:t>
            </w:r>
            <w:r w:rsidR="00441812" w:rsidRPr="00B63BD5">
              <w:rPr>
                <w:lang w:val="fr-CA"/>
              </w:rPr>
              <w:t>est pas</w:t>
            </w:r>
            <w:r w:rsidR="00AC4107" w:rsidRPr="00B63BD5">
              <w:rPr>
                <w:lang w:val="fr-CA"/>
              </w:rPr>
              <w:t xml:space="preserve"> </w:t>
            </w:r>
            <w:r w:rsidR="008B6CE6" w:rsidRPr="00B63BD5">
              <w:rPr>
                <w:lang w:val="fr-CA"/>
              </w:rPr>
              <w:t>(</w:t>
            </w:r>
            <w:r w:rsidR="001C4C43" w:rsidRPr="00B63BD5">
              <w:rPr>
                <w:lang w:val="fr-CA"/>
              </w:rPr>
              <w:t>a)</w:t>
            </w:r>
            <w:r w:rsidR="0007331B" w:rsidRPr="00B63BD5">
              <w:rPr>
                <w:lang w:val="fr-CA"/>
              </w:rPr>
              <w:t> </w:t>
            </w:r>
            <w:r w:rsidR="00441812" w:rsidRPr="00B63BD5">
              <w:rPr>
                <w:lang w:val="fr-CA"/>
              </w:rPr>
              <w:t>un samedi ou un dimanche;</w:t>
            </w:r>
            <w:r w:rsidR="001C4C43" w:rsidRPr="00B63BD5">
              <w:rPr>
                <w:lang w:val="fr-CA"/>
              </w:rPr>
              <w:t xml:space="preserve"> et </w:t>
            </w:r>
            <w:r w:rsidR="008B6CE6" w:rsidRPr="00B63BD5">
              <w:rPr>
                <w:lang w:val="fr-CA"/>
              </w:rPr>
              <w:t>(</w:t>
            </w:r>
            <w:r w:rsidRPr="00B63BD5">
              <w:rPr>
                <w:lang w:val="fr-CA"/>
              </w:rPr>
              <w:t>b)</w:t>
            </w:r>
            <w:r w:rsidR="0007331B" w:rsidRPr="00B63BD5">
              <w:rPr>
                <w:lang w:val="fr-CA"/>
              </w:rPr>
              <w:t> </w:t>
            </w:r>
            <w:r w:rsidR="00441812" w:rsidRPr="00B63BD5">
              <w:rPr>
                <w:lang w:val="fr-CA"/>
              </w:rPr>
              <w:t>un</w:t>
            </w:r>
            <w:r w:rsidR="00952856" w:rsidRPr="00B63BD5">
              <w:rPr>
                <w:lang w:val="fr-CA"/>
              </w:rPr>
              <w:t> </w:t>
            </w:r>
            <w:r w:rsidR="00441812" w:rsidRPr="00B63BD5">
              <w:rPr>
                <w:lang w:val="fr-CA"/>
              </w:rPr>
              <w:t>jour où la Securities Industry and Financial Markets Association (ou</w:t>
            </w:r>
            <w:r w:rsidR="000A31A7" w:rsidRPr="00B63BD5">
              <w:rPr>
                <w:lang w:val="fr-CA"/>
              </w:rPr>
              <w:t> </w:t>
            </w:r>
            <w:r w:rsidR="00441812" w:rsidRPr="00B63BD5">
              <w:rPr>
                <w:lang w:val="fr-CA"/>
              </w:rPr>
              <w:t>tout organisme remplaçant) recommande la</w:t>
            </w:r>
            <w:r w:rsidR="00166FF1" w:rsidRPr="00B63BD5">
              <w:rPr>
                <w:lang w:val="fr-CA"/>
              </w:rPr>
              <w:t xml:space="preserve"> </w:t>
            </w:r>
            <w:r w:rsidR="00441812" w:rsidRPr="00B63BD5">
              <w:rPr>
                <w:lang w:val="fr-CA"/>
              </w:rPr>
              <w:t>fermeture des services des titres à revenu fixe de</w:t>
            </w:r>
            <w:r w:rsidR="0007331B" w:rsidRPr="00B63BD5">
              <w:rPr>
                <w:lang w:val="fr-CA"/>
              </w:rPr>
              <w:t xml:space="preserve"> </w:t>
            </w:r>
            <w:r w:rsidR="00441812" w:rsidRPr="00B63BD5">
              <w:rPr>
                <w:lang w:val="fr-CA"/>
              </w:rPr>
              <w:t>ses</w:t>
            </w:r>
            <w:r w:rsidR="0007331B" w:rsidRPr="00B63BD5">
              <w:rPr>
                <w:lang w:val="fr-CA"/>
              </w:rPr>
              <w:t xml:space="preserve"> </w:t>
            </w:r>
            <w:r w:rsidR="00441812" w:rsidRPr="00B63BD5">
              <w:rPr>
                <w:lang w:val="fr-CA"/>
              </w:rPr>
              <w:t>membres pendant toute la journée en ce qui concerne la négociation de ti</w:t>
            </w:r>
            <w:r w:rsidR="0090051E" w:rsidRPr="00B63BD5">
              <w:rPr>
                <w:lang w:val="fr-CA"/>
              </w:rPr>
              <w:t>tres du gouvernement américain.</w:t>
            </w:r>
          </w:p>
        </w:tc>
      </w:tr>
      <w:tr w:rsidR="00441812" w:rsidRPr="002C047F" w14:paraId="7B236890" w14:textId="77777777" w:rsidTr="0007331B">
        <w:tc>
          <w:tcPr>
            <w:tcW w:w="2830" w:type="dxa"/>
          </w:tcPr>
          <w:p w14:paraId="7D67886C" w14:textId="4DA7A7EE" w:rsidR="00441812" w:rsidRPr="00B63BD5" w:rsidRDefault="00441812" w:rsidP="00632863">
            <w:pPr>
              <w:spacing w:after="240"/>
              <w:rPr>
                <w:b/>
                <w:bCs/>
                <w:lang w:val="fr-CA"/>
              </w:rPr>
            </w:pPr>
            <w:r w:rsidRPr="00B63BD5">
              <w:rPr>
                <w:b/>
                <w:bCs/>
                <w:lang w:val="fr-CA"/>
              </w:rPr>
              <w:t xml:space="preserve">Taux de la banque centrale </w:t>
            </w:r>
          </w:p>
        </w:tc>
        <w:tc>
          <w:tcPr>
            <w:tcW w:w="6298" w:type="dxa"/>
          </w:tcPr>
          <w:p w14:paraId="1E8BFADB" w14:textId="4A86A394" w:rsidR="00441812" w:rsidRPr="00B63BD5" w:rsidRDefault="00441812" w:rsidP="00632863">
            <w:pPr>
              <w:spacing w:after="240"/>
              <w:jc w:val="both"/>
              <w:rPr>
                <w:rFonts w:eastAsia="SimSun"/>
                <w:lang w:val="fr-CA"/>
              </w:rPr>
            </w:pPr>
            <w:r w:rsidRPr="00B63BD5">
              <w:rPr>
                <w:lang w:val="fr-CA"/>
              </w:rPr>
              <w:t>Désigne</w:t>
            </w:r>
            <w:r w:rsidR="00B10D51" w:rsidRPr="00B63BD5">
              <w:rPr>
                <w:lang w:val="fr-CA"/>
              </w:rPr>
              <w:t>, quel que soit le jour</w:t>
            </w:r>
            <w:r w:rsidR="00EA41DC" w:rsidRPr="00B63BD5">
              <w:rPr>
                <w:lang w:val="fr-CA"/>
              </w:rPr>
              <w:t xml:space="preserve">, </w:t>
            </w:r>
            <w:r w:rsidR="008B6CE6" w:rsidRPr="00B63BD5">
              <w:rPr>
                <w:lang w:val="fr-CA"/>
              </w:rPr>
              <w:t>(</w:t>
            </w:r>
            <w:r w:rsidR="00EA41DC" w:rsidRPr="00B63BD5">
              <w:rPr>
                <w:lang w:val="fr-CA"/>
              </w:rPr>
              <w:t>a) </w:t>
            </w:r>
            <w:r w:rsidRPr="00B63BD5">
              <w:rPr>
                <w:lang w:val="fr-CA"/>
              </w:rPr>
              <w:t>la cible du taux d</w:t>
            </w:r>
            <w:r w:rsidR="00564B0C" w:rsidRPr="00B63BD5">
              <w:rPr>
                <w:lang w:val="fr-CA"/>
              </w:rPr>
              <w:t>’</w:t>
            </w:r>
            <w:r w:rsidRPr="00B63BD5">
              <w:rPr>
                <w:lang w:val="fr-CA"/>
              </w:rPr>
              <w:t>intérêt à court terme établie par</w:t>
            </w:r>
            <w:r w:rsidR="00166FF1" w:rsidRPr="00B63BD5">
              <w:rPr>
                <w:lang w:val="fr-CA"/>
              </w:rPr>
              <w:t xml:space="preserve"> </w:t>
            </w:r>
            <w:r w:rsidRPr="00B63BD5">
              <w:rPr>
                <w:lang w:val="fr-CA"/>
              </w:rPr>
              <w:t>le</w:t>
            </w:r>
            <w:r w:rsidR="00166FF1" w:rsidRPr="00B63BD5">
              <w:rPr>
                <w:lang w:val="fr-CA"/>
              </w:rPr>
              <w:t xml:space="preserve"> </w:t>
            </w:r>
            <w:r w:rsidRPr="00B63BD5">
              <w:rPr>
                <w:lang w:val="fr-CA"/>
              </w:rPr>
              <w:t>Federal Open Market Committee des</w:t>
            </w:r>
            <w:r w:rsidR="00EA41DC" w:rsidRPr="00B63BD5">
              <w:rPr>
                <w:lang w:val="fr-CA"/>
              </w:rPr>
              <w:t xml:space="preserve"> </w:t>
            </w:r>
            <w:r w:rsidR="00B63BD5" w:rsidRPr="00B63BD5">
              <w:rPr>
                <w:lang w:val="fr-CA"/>
              </w:rPr>
              <w:t>États-Unis</w:t>
            </w:r>
            <w:r w:rsidRPr="00B63BD5">
              <w:rPr>
                <w:lang w:val="fr-CA"/>
              </w:rPr>
              <w:t xml:space="preserve"> et publiée de temps à autre par</w:t>
            </w:r>
            <w:r w:rsidR="00EA41DC" w:rsidRPr="00B63BD5">
              <w:rPr>
                <w:lang w:val="fr-CA"/>
              </w:rPr>
              <w:t xml:space="preserve"> </w:t>
            </w:r>
            <w:r w:rsidR="002850F1" w:rsidRPr="00B63BD5">
              <w:rPr>
                <w:lang w:val="fr-CA"/>
              </w:rPr>
              <w:t>l</w:t>
            </w:r>
            <w:r w:rsidRPr="00B63BD5">
              <w:rPr>
                <w:lang w:val="fr-CA"/>
              </w:rPr>
              <w:t>a</w:t>
            </w:r>
            <w:r w:rsidR="00EA41DC" w:rsidRPr="00B63BD5">
              <w:rPr>
                <w:lang w:val="fr-CA"/>
              </w:rPr>
              <w:t xml:space="preserve"> </w:t>
            </w:r>
            <w:r w:rsidRPr="00B63BD5">
              <w:rPr>
                <w:lang w:val="fr-CA"/>
              </w:rPr>
              <w:t>Federal Reserve Bank of New York; ou</w:t>
            </w:r>
            <w:r w:rsidR="00EA41DC" w:rsidRPr="00B63BD5">
              <w:rPr>
                <w:lang w:val="fr-CA"/>
              </w:rPr>
              <w:t xml:space="preserve"> </w:t>
            </w:r>
            <w:r w:rsidR="008B6CE6" w:rsidRPr="00B63BD5">
              <w:rPr>
                <w:lang w:val="fr-CA"/>
              </w:rPr>
              <w:t>(</w:t>
            </w:r>
            <w:r w:rsidR="00EA41DC" w:rsidRPr="00B63BD5">
              <w:rPr>
                <w:lang w:val="fr-CA"/>
              </w:rPr>
              <w:t>b) </w:t>
            </w:r>
            <w:r w:rsidRPr="00B63BD5">
              <w:rPr>
                <w:lang w:val="fr-CA"/>
              </w:rPr>
              <w:t>si la cible n</w:t>
            </w:r>
            <w:r w:rsidR="00564B0C" w:rsidRPr="00B63BD5">
              <w:rPr>
                <w:lang w:val="fr-CA"/>
              </w:rPr>
              <w:t>’</w:t>
            </w:r>
            <w:r w:rsidRPr="00B63BD5">
              <w:rPr>
                <w:lang w:val="fr-CA"/>
              </w:rPr>
              <w:t>est pas un seul chiffre, la moyenne arithmétique de</w:t>
            </w:r>
            <w:r w:rsidR="000A31A7" w:rsidRPr="00B63BD5">
              <w:rPr>
                <w:lang w:val="fr-CA"/>
              </w:rPr>
              <w:t> </w:t>
            </w:r>
            <w:r w:rsidRPr="00B63BD5">
              <w:rPr>
                <w:lang w:val="fr-CA"/>
              </w:rPr>
              <w:t>:</w:t>
            </w:r>
            <w:r w:rsidR="0007331B" w:rsidRPr="00B63BD5">
              <w:rPr>
                <w:lang w:val="fr-CA"/>
              </w:rPr>
              <w:t xml:space="preserve"> </w:t>
            </w:r>
            <w:r w:rsidR="008B6CE6" w:rsidRPr="00B63BD5">
              <w:rPr>
                <w:lang w:val="fr-CA"/>
              </w:rPr>
              <w:t>(</w:t>
            </w:r>
            <w:r w:rsidR="00EA41DC" w:rsidRPr="00B63BD5">
              <w:rPr>
                <w:lang w:val="fr-CA"/>
              </w:rPr>
              <w:t>i)</w:t>
            </w:r>
            <w:r w:rsidR="00C94B90" w:rsidRPr="00B63BD5">
              <w:rPr>
                <w:lang w:val="fr-CA"/>
              </w:rPr>
              <w:t> </w:t>
            </w:r>
            <w:r w:rsidRPr="00B63BD5">
              <w:rPr>
                <w:lang w:val="fr-CA"/>
              </w:rPr>
              <w:t>la limite supérieure de la fourchette cible du</w:t>
            </w:r>
            <w:r w:rsidR="00EA41DC" w:rsidRPr="00B63BD5">
              <w:rPr>
                <w:lang w:val="fr-CA"/>
              </w:rPr>
              <w:t xml:space="preserve"> </w:t>
            </w:r>
            <w:r w:rsidRPr="00B63BD5">
              <w:rPr>
                <w:lang w:val="fr-CA"/>
              </w:rPr>
              <w:t xml:space="preserve">taux </w:t>
            </w:r>
            <w:r w:rsidRPr="00B63BD5">
              <w:rPr>
                <w:spacing w:val="-2"/>
                <w:lang w:val="fr-CA"/>
              </w:rPr>
              <w:t>d</w:t>
            </w:r>
            <w:r w:rsidR="00564B0C" w:rsidRPr="00B63BD5">
              <w:rPr>
                <w:spacing w:val="-2"/>
                <w:lang w:val="fr-CA"/>
              </w:rPr>
              <w:t>’</w:t>
            </w:r>
            <w:r w:rsidRPr="00B63BD5">
              <w:rPr>
                <w:spacing w:val="-2"/>
                <w:lang w:val="fr-CA"/>
              </w:rPr>
              <w:t>intérêt à court terme établie par</w:t>
            </w:r>
            <w:r w:rsidR="00EA41DC" w:rsidRPr="00B63BD5">
              <w:rPr>
                <w:spacing w:val="-2"/>
                <w:lang w:val="fr-CA"/>
              </w:rPr>
              <w:t xml:space="preserve"> </w:t>
            </w:r>
            <w:r w:rsidRPr="00B63BD5">
              <w:rPr>
                <w:spacing w:val="-2"/>
                <w:lang w:val="fr-CA"/>
              </w:rPr>
              <w:t>le</w:t>
            </w:r>
            <w:r w:rsidR="00EA41DC" w:rsidRPr="00B63BD5">
              <w:rPr>
                <w:spacing w:val="-2"/>
                <w:lang w:val="fr-CA"/>
              </w:rPr>
              <w:t xml:space="preserve"> </w:t>
            </w:r>
            <w:r w:rsidRPr="00B63BD5">
              <w:rPr>
                <w:spacing w:val="-2"/>
                <w:lang w:val="fr-CA"/>
              </w:rPr>
              <w:t xml:space="preserve">Federal Open Market Committee </w:t>
            </w:r>
            <w:r w:rsidRPr="00B63BD5">
              <w:rPr>
                <w:lang w:val="fr-CA"/>
              </w:rPr>
              <w:t>des</w:t>
            </w:r>
            <w:r w:rsidR="00EA41DC" w:rsidRPr="00B63BD5">
              <w:rPr>
                <w:lang w:val="fr-CA"/>
              </w:rPr>
              <w:t xml:space="preserve"> </w:t>
            </w:r>
            <w:r w:rsidRPr="00B63BD5">
              <w:rPr>
                <w:lang w:val="fr-CA"/>
              </w:rPr>
              <w:t>États-Unis et publiée par la Federal Reserve Bank de New York; et</w:t>
            </w:r>
            <w:r w:rsidR="0007331B" w:rsidRPr="00B63BD5">
              <w:rPr>
                <w:lang w:val="fr-CA"/>
              </w:rPr>
              <w:t xml:space="preserve"> </w:t>
            </w:r>
            <w:r w:rsidR="008B6CE6" w:rsidRPr="00B63BD5">
              <w:rPr>
                <w:lang w:val="fr-CA"/>
              </w:rPr>
              <w:t>(</w:t>
            </w:r>
            <w:r w:rsidR="00EA41DC" w:rsidRPr="00B63BD5">
              <w:rPr>
                <w:lang w:val="fr-CA"/>
              </w:rPr>
              <w:t>ii) </w:t>
            </w:r>
            <w:r w:rsidRPr="00B63BD5">
              <w:rPr>
                <w:lang w:val="fr-CA"/>
              </w:rPr>
              <w:t>la</w:t>
            </w:r>
            <w:r w:rsidR="00166FF1" w:rsidRPr="00B63BD5">
              <w:rPr>
                <w:lang w:val="fr-CA"/>
              </w:rPr>
              <w:t xml:space="preserve"> </w:t>
            </w:r>
            <w:r w:rsidRPr="00B63BD5">
              <w:rPr>
                <w:lang w:val="fr-CA"/>
              </w:rPr>
              <w:t>limite inférieure de cette fourchette cible</w:t>
            </w:r>
            <w:r w:rsidR="00695BF8" w:rsidRPr="00B63BD5">
              <w:rPr>
                <w:lang w:val="fr-CA"/>
              </w:rPr>
              <w:t xml:space="preserve">, </w:t>
            </w:r>
            <w:r w:rsidR="00B10D51" w:rsidRPr="00B63BD5">
              <w:rPr>
                <w:lang w:val="fr-CA"/>
              </w:rPr>
              <w:t>à</w:t>
            </w:r>
            <w:r w:rsidR="00952856" w:rsidRPr="00B63BD5">
              <w:rPr>
                <w:lang w:val="fr-CA"/>
              </w:rPr>
              <w:t> </w:t>
            </w:r>
            <w:r w:rsidR="00B10D51" w:rsidRPr="00B63BD5">
              <w:rPr>
                <w:lang w:val="fr-CA"/>
              </w:rPr>
              <w:t>condition que toute référence à un taux de</w:t>
            </w:r>
            <w:r w:rsidR="00EA41DC" w:rsidRPr="00B63BD5">
              <w:rPr>
                <w:lang w:val="fr-CA"/>
              </w:rPr>
              <w:t xml:space="preserve"> </w:t>
            </w:r>
            <w:r w:rsidR="00B10D51" w:rsidRPr="00B63BD5">
              <w:rPr>
                <w:lang w:val="fr-CA"/>
              </w:rPr>
              <w:t>la</w:t>
            </w:r>
            <w:r w:rsidR="00EA41DC" w:rsidRPr="00B63BD5">
              <w:rPr>
                <w:lang w:val="fr-CA"/>
              </w:rPr>
              <w:t xml:space="preserve"> </w:t>
            </w:r>
            <w:r w:rsidR="00B10D51" w:rsidRPr="00B63BD5">
              <w:rPr>
                <w:lang w:val="fr-CA"/>
              </w:rPr>
              <w:t>banque centrale comprenne le taux de</w:t>
            </w:r>
            <w:r w:rsidR="00166FF1" w:rsidRPr="00B63BD5">
              <w:rPr>
                <w:lang w:val="fr-CA"/>
              </w:rPr>
              <w:t xml:space="preserve"> </w:t>
            </w:r>
            <w:r w:rsidR="00B10D51" w:rsidRPr="00B63BD5">
              <w:rPr>
                <w:lang w:val="fr-CA"/>
              </w:rPr>
              <w:t>remplacement de ce taux.</w:t>
            </w:r>
          </w:p>
        </w:tc>
      </w:tr>
      <w:tr w:rsidR="00441812" w:rsidRPr="002C047F" w14:paraId="4DA27C44" w14:textId="77777777" w:rsidTr="0007331B">
        <w:tc>
          <w:tcPr>
            <w:tcW w:w="2830" w:type="dxa"/>
          </w:tcPr>
          <w:p w14:paraId="186F67AF" w14:textId="5581B602" w:rsidR="00441812" w:rsidRPr="00B63BD5" w:rsidRDefault="00441812" w:rsidP="00632863">
            <w:pPr>
              <w:spacing w:after="240"/>
              <w:rPr>
                <w:b/>
                <w:bCs/>
                <w:lang w:val="fr-CA"/>
              </w:rPr>
            </w:pPr>
            <w:r w:rsidRPr="00B63BD5">
              <w:rPr>
                <w:b/>
                <w:lang w:val="fr-CA"/>
              </w:rPr>
              <w:t>Rajustement du taux de la banque centrale</w:t>
            </w:r>
          </w:p>
        </w:tc>
        <w:tc>
          <w:tcPr>
            <w:tcW w:w="6298" w:type="dxa"/>
          </w:tcPr>
          <w:p w14:paraId="04E9525C" w14:textId="498BB5A1" w:rsidR="00441812" w:rsidRPr="00B63BD5" w:rsidRDefault="00441812" w:rsidP="00632863">
            <w:pPr>
              <w:spacing w:after="240"/>
              <w:rPr>
                <w:lang w:val="fr-CA"/>
              </w:rPr>
            </w:pPr>
            <w:r w:rsidRPr="00B63BD5">
              <w:rPr>
                <w:lang w:val="fr-CA"/>
              </w:rPr>
              <w:t xml:space="preserve">Désigne, en ce qui concerne un Jour ouvrable de publication du taux </w:t>
            </w:r>
            <w:r w:rsidRPr="00B63BD5">
              <w:rPr>
                <w:spacing w:val="-2"/>
                <w:lang w:val="fr-CA"/>
              </w:rPr>
              <w:t>SOFR, la moyenne des écarts (exprimée en</w:t>
            </w:r>
            <w:r w:rsidR="00C94B90" w:rsidRPr="00B63BD5">
              <w:rPr>
                <w:spacing w:val="-2"/>
                <w:lang w:val="fr-CA"/>
              </w:rPr>
              <w:t xml:space="preserve"> </w:t>
            </w:r>
            <w:r w:rsidRPr="00B63BD5">
              <w:rPr>
                <w:spacing w:val="-2"/>
                <w:lang w:val="fr-CA"/>
              </w:rPr>
              <w:t>pourcentage par année</w:t>
            </w:r>
            <w:r w:rsidRPr="00B63BD5">
              <w:rPr>
                <w:lang w:val="fr-CA"/>
              </w:rPr>
              <w:t>), pour les cinq</w:t>
            </w:r>
            <w:r w:rsidR="00C94B90" w:rsidRPr="00B63BD5">
              <w:rPr>
                <w:lang w:val="fr-CA"/>
              </w:rPr>
              <w:t> </w:t>
            </w:r>
            <w:r w:rsidR="00695BF8" w:rsidRPr="00B63BD5">
              <w:rPr>
                <w:lang w:val="fr-CA"/>
              </w:rPr>
              <w:t xml:space="preserve">(5) </w:t>
            </w:r>
            <w:r w:rsidRPr="00B63BD5">
              <w:rPr>
                <w:lang w:val="fr-CA"/>
              </w:rPr>
              <w:t>Jours ouvrables de publication du taux SOFR précédents pour lesquels le</w:t>
            </w:r>
            <w:r w:rsidR="00C94B90" w:rsidRPr="00B63BD5">
              <w:rPr>
                <w:lang w:val="fr-CA"/>
              </w:rPr>
              <w:t xml:space="preserve"> </w:t>
            </w:r>
            <w:r w:rsidRPr="00B63BD5">
              <w:rPr>
                <w:lang w:val="fr-CA"/>
              </w:rPr>
              <w:t>Taux SOFR affiché a été publié, entre</w:t>
            </w:r>
            <w:r w:rsidR="00AC4107" w:rsidRPr="00B63BD5">
              <w:rPr>
                <w:lang w:val="fr-CA"/>
              </w:rPr>
              <w:t xml:space="preserve"> </w:t>
            </w:r>
            <w:r w:rsidR="0090051E" w:rsidRPr="00B63BD5">
              <w:rPr>
                <w:lang w:val="fr-CA"/>
              </w:rPr>
              <w:t>:</w:t>
            </w:r>
          </w:p>
          <w:p w14:paraId="0609463A" w14:textId="0FC3CAD7" w:rsidR="00441812" w:rsidRPr="000B7739" w:rsidRDefault="00441812" w:rsidP="000C4154">
            <w:pPr>
              <w:pStyle w:val="04LOLglNew3"/>
              <w:numPr>
                <w:ilvl w:val="2"/>
                <w:numId w:val="52"/>
              </w:numPr>
              <w:rPr>
                <w:lang w:val="fr-CA"/>
              </w:rPr>
            </w:pPr>
            <w:r w:rsidRPr="000B7739">
              <w:rPr>
                <w:lang w:val="fr-CA"/>
              </w:rPr>
              <w:t>le Taux SOFR affiché pour ce Jour ouvrable de</w:t>
            </w:r>
            <w:r w:rsidR="00166FF1" w:rsidRPr="000B7739">
              <w:rPr>
                <w:lang w:val="fr-CA"/>
              </w:rPr>
              <w:t xml:space="preserve"> </w:t>
            </w:r>
            <w:r w:rsidRPr="000B7739">
              <w:rPr>
                <w:lang w:val="fr-CA"/>
              </w:rPr>
              <w:t>publication du taux SOFR; et</w:t>
            </w:r>
          </w:p>
          <w:p w14:paraId="2CD7D864" w14:textId="104A5E37" w:rsidR="00441812" w:rsidRPr="000B7739" w:rsidRDefault="00441812" w:rsidP="000C4154">
            <w:pPr>
              <w:pStyle w:val="04LOLglNew3"/>
              <w:numPr>
                <w:ilvl w:val="2"/>
                <w:numId w:val="52"/>
              </w:numPr>
              <w:rPr>
                <w:lang w:val="fr-CA"/>
              </w:rPr>
            </w:pPr>
            <w:r w:rsidRPr="000B7739">
              <w:rPr>
                <w:lang w:val="fr-CA"/>
              </w:rPr>
              <w:t>le Taux de la banque centrale en vigueur à</w:t>
            </w:r>
            <w:r w:rsidR="00C94B90" w:rsidRPr="000B7739">
              <w:rPr>
                <w:lang w:val="fr-CA"/>
              </w:rPr>
              <w:t xml:space="preserve"> </w:t>
            </w:r>
            <w:r w:rsidRPr="000B7739">
              <w:rPr>
                <w:lang w:val="fr-CA"/>
              </w:rPr>
              <w:t>la</w:t>
            </w:r>
            <w:r w:rsidR="00C94B90" w:rsidRPr="000B7739">
              <w:rPr>
                <w:lang w:val="fr-CA"/>
              </w:rPr>
              <w:t xml:space="preserve"> </w:t>
            </w:r>
            <w:r w:rsidRPr="000B7739">
              <w:rPr>
                <w:lang w:val="fr-CA"/>
              </w:rPr>
              <w:t xml:space="preserve">fermeture des </w:t>
            </w:r>
            <w:r w:rsidRPr="000B7739">
              <w:rPr>
                <w:spacing w:val="-2"/>
                <w:szCs w:val="20"/>
                <w:lang w:val="fr-CA"/>
              </w:rPr>
              <w:t>bureaux pour ce Jour ouvrable de</w:t>
            </w:r>
            <w:r w:rsidR="00C94B90" w:rsidRPr="000B7739">
              <w:rPr>
                <w:spacing w:val="-2"/>
                <w:szCs w:val="20"/>
                <w:lang w:val="fr-CA"/>
              </w:rPr>
              <w:t xml:space="preserve"> </w:t>
            </w:r>
            <w:r w:rsidRPr="000B7739">
              <w:rPr>
                <w:spacing w:val="-2"/>
                <w:szCs w:val="20"/>
                <w:lang w:val="fr-CA"/>
              </w:rPr>
              <w:t>publication du taux SOFR;</w:t>
            </w:r>
          </w:p>
          <w:p w14:paraId="6F954C71" w14:textId="44F8D6BC" w:rsidR="00166FF1" w:rsidRPr="00B63BD5" w:rsidRDefault="00441812" w:rsidP="00632863">
            <w:pPr>
              <w:spacing w:after="240"/>
              <w:rPr>
                <w:lang w:val="fr-CA"/>
              </w:rPr>
            </w:pPr>
            <w:r w:rsidRPr="00B63BD5">
              <w:rPr>
                <w:lang w:val="fr-CA"/>
              </w:rPr>
              <w:t>selon le calcul établi par la Banque, à l</w:t>
            </w:r>
            <w:r w:rsidR="00564B0C" w:rsidRPr="00B63BD5">
              <w:rPr>
                <w:lang w:val="fr-CA"/>
              </w:rPr>
              <w:t>’</w:t>
            </w:r>
            <w:r w:rsidRPr="00B63BD5">
              <w:rPr>
                <w:lang w:val="fr-CA"/>
              </w:rPr>
              <w:t>exclusion de la valeur la plus élevée (et, s</w:t>
            </w:r>
            <w:r w:rsidR="00564B0C" w:rsidRPr="00B63BD5">
              <w:rPr>
                <w:lang w:val="fr-CA"/>
              </w:rPr>
              <w:t>’</w:t>
            </w:r>
            <w:r w:rsidRPr="00B63BD5">
              <w:rPr>
                <w:lang w:val="fr-CA"/>
              </w:rPr>
              <w:t>il y a plus d</w:t>
            </w:r>
            <w:r w:rsidR="00564B0C" w:rsidRPr="00B63BD5">
              <w:rPr>
                <w:lang w:val="fr-CA"/>
              </w:rPr>
              <w:t>’</w:t>
            </w:r>
            <w:r w:rsidRPr="00B63BD5">
              <w:rPr>
                <w:lang w:val="fr-CA"/>
              </w:rPr>
              <w:t>une valeur la plus élevée, une</w:t>
            </w:r>
            <w:r w:rsidR="00C94B90" w:rsidRPr="00B63BD5">
              <w:rPr>
                <w:lang w:val="fr-CA"/>
              </w:rPr>
              <w:t xml:space="preserve"> </w:t>
            </w:r>
            <w:r w:rsidRPr="00B63BD5">
              <w:rPr>
                <w:lang w:val="fr-CA"/>
              </w:rPr>
              <w:t>seule de ces valeurs) et de la valeur la plus faible (ou,</w:t>
            </w:r>
            <w:r w:rsidR="00C94B90" w:rsidRPr="00B63BD5">
              <w:rPr>
                <w:lang w:val="fr-CA"/>
              </w:rPr>
              <w:t xml:space="preserve"> </w:t>
            </w:r>
            <w:r w:rsidRPr="00B63BD5">
              <w:rPr>
                <w:lang w:val="fr-CA"/>
              </w:rPr>
              <w:t>s</w:t>
            </w:r>
            <w:r w:rsidR="00564B0C" w:rsidRPr="00B63BD5">
              <w:rPr>
                <w:lang w:val="fr-CA"/>
              </w:rPr>
              <w:t>’</w:t>
            </w:r>
            <w:r w:rsidRPr="00B63BD5">
              <w:rPr>
                <w:lang w:val="fr-CA"/>
              </w:rPr>
              <w:t>il</w:t>
            </w:r>
            <w:r w:rsidR="00C94B90" w:rsidRPr="00B63BD5">
              <w:rPr>
                <w:lang w:val="fr-CA"/>
              </w:rPr>
              <w:t xml:space="preserve"> </w:t>
            </w:r>
            <w:r w:rsidRPr="00B63BD5">
              <w:rPr>
                <w:lang w:val="fr-CA"/>
              </w:rPr>
              <w:t>y a plus d</w:t>
            </w:r>
            <w:r w:rsidR="00564B0C" w:rsidRPr="00B63BD5">
              <w:rPr>
                <w:lang w:val="fr-CA"/>
              </w:rPr>
              <w:t>’</w:t>
            </w:r>
            <w:r w:rsidRPr="00B63BD5">
              <w:rPr>
                <w:lang w:val="fr-CA"/>
              </w:rPr>
              <w:t>une valeur la plus faible, une seul</w:t>
            </w:r>
            <w:r w:rsidR="00C94B90" w:rsidRPr="00B63BD5">
              <w:rPr>
                <w:lang w:val="fr-CA"/>
              </w:rPr>
              <w:t>e</w:t>
            </w:r>
            <w:r w:rsidRPr="00B63BD5">
              <w:rPr>
                <w:lang w:val="fr-CA"/>
              </w:rPr>
              <w:t xml:space="preserve"> de</w:t>
            </w:r>
            <w:r w:rsidR="00C94B90" w:rsidRPr="00B63BD5">
              <w:rPr>
                <w:lang w:val="fr-CA"/>
              </w:rPr>
              <w:t xml:space="preserve"> </w:t>
            </w:r>
            <w:r w:rsidRPr="00B63BD5">
              <w:rPr>
                <w:lang w:val="fr-CA"/>
              </w:rPr>
              <w:t>ces</w:t>
            </w:r>
            <w:r w:rsidR="00C94B90" w:rsidRPr="00B63BD5">
              <w:rPr>
                <w:lang w:val="fr-CA"/>
              </w:rPr>
              <w:t xml:space="preserve"> </w:t>
            </w:r>
            <w:r w:rsidRPr="00B63BD5">
              <w:rPr>
                <w:lang w:val="fr-CA"/>
              </w:rPr>
              <w:t>valeurs).</w:t>
            </w:r>
          </w:p>
        </w:tc>
      </w:tr>
      <w:tr w:rsidR="00C94B90" w:rsidRPr="002C047F" w14:paraId="1D653604" w14:textId="77777777" w:rsidTr="00AF0B06">
        <w:trPr>
          <w:trHeight w:val="7078"/>
        </w:trPr>
        <w:tc>
          <w:tcPr>
            <w:tcW w:w="2830" w:type="dxa"/>
          </w:tcPr>
          <w:p w14:paraId="6D862839" w14:textId="1720D4A4" w:rsidR="00C94B90" w:rsidRPr="00B63BD5" w:rsidRDefault="00C94B90" w:rsidP="00632863">
            <w:pPr>
              <w:spacing w:after="240"/>
              <w:rPr>
                <w:b/>
                <w:bCs/>
                <w:lang w:val="fr-CA"/>
              </w:rPr>
            </w:pPr>
            <w:r w:rsidRPr="00B63BD5">
              <w:rPr>
                <w:b/>
                <w:lang w:val="fr-CA"/>
              </w:rPr>
              <w:lastRenderedPageBreak/>
              <w:t>Taux quotidien</w:t>
            </w:r>
          </w:p>
        </w:tc>
        <w:tc>
          <w:tcPr>
            <w:tcW w:w="6298" w:type="dxa"/>
          </w:tcPr>
          <w:p w14:paraId="045F7D5C" w14:textId="7F417EFD" w:rsidR="00C94B90" w:rsidRPr="00B63BD5" w:rsidRDefault="00C94B90" w:rsidP="00632863">
            <w:pPr>
              <w:spacing w:after="240"/>
              <w:jc w:val="both"/>
              <w:rPr>
                <w:lang w:val="fr-CA"/>
              </w:rPr>
            </w:pPr>
            <w:r w:rsidRPr="00B63BD5">
              <w:rPr>
                <w:lang w:val="fr-CA"/>
              </w:rPr>
              <w:t>Désigne, en ce qui concerne un Jour ouvrable de publication du</w:t>
            </w:r>
            <w:r w:rsidR="00952856" w:rsidRPr="00B63BD5">
              <w:rPr>
                <w:lang w:val="fr-CA"/>
              </w:rPr>
              <w:t> </w:t>
            </w:r>
            <w:r w:rsidRPr="00B63BD5">
              <w:rPr>
                <w:lang w:val="fr-CA"/>
              </w:rPr>
              <w:t>taux</w:t>
            </w:r>
            <w:r w:rsidR="00952856" w:rsidRPr="00B63BD5">
              <w:rPr>
                <w:lang w:val="fr-CA"/>
              </w:rPr>
              <w:t> </w:t>
            </w:r>
            <w:r w:rsidRPr="00B63BD5">
              <w:rPr>
                <w:lang w:val="fr-CA"/>
              </w:rPr>
              <w:t>SOFR :</w:t>
            </w:r>
          </w:p>
          <w:p w14:paraId="5E58F3E8" w14:textId="103A9799" w:rsidR="00C94B90" w:rsidRPr="000B7739" w:rsidRDefault="00C94B90" w:rsidP="000C4154">
            <w:pPr>
              <w:pStyle w:val="04LOLglNew3"/>
              <w:numPr>
                <w:ilvl w:val="2"/>
                <w:numId w:val="53"/>
              </w:numPr>
              <w:rPr>
                <w:lang w:val="fr-CA"/>
              </w:rPr>
            </w:pPr>
            <w:r w:rsidRPr="000B7739">
              <w:rPr>
                <w:lang w:val="fr-CA"/>
              </w:rPr>
              <w:t>le Taux SOFR affiché pour ce Jour ouvrable de</w:t>
            </w:r>
            <w:r w:rsidR="00166FF1" w:rsidRPr="000B7739">
              <w:rPr>
                <w:lang w:val="fr-CA"/>
              </w:rPr>
              <w:t xml:space="preserve"> </w:t>
            </w:r>
            <w:r w:rsidRPr="000B7739">
              <w:rPr>
                <w:lang w:val="fr-CA"/>
              </w:rPr>
              <w:t>publication du taux SOFR; ou</w:t>
            </w:r>
          </w:p>
          <w:p w14:paraId="0CAC93B1" w14:textId="190CEF70" w:rsidR="00C94B90" w:rsidRPr="000B7739" w:rsidRDefault="00C94B90" w:rsidP="000C4154">
            <w:pPr>
              <w:pStyle w:val="04LOLglNew3"/>
              <w:numPr>
                <w:ilvl w:val="2"/>
                <w:numId w:val="53"/>
              </w:numPr>
              <w:rPr>
                <w:lang w:val="fr-CA"/>
              </w:rPr>
            </w:pPr>
            <w:r w:rsidRPr="000B7739">
              <w:rPr>
                <w:lang w:val="fr-CA"/>
              </w:rPr>
              <w:t>si le Taux SOFR affiché n</w:t>
            </w:r>
            <w:r w:rsidR="00564B0C" w:rsidRPr="000B7739">
              <w:rPr>
                <w:lang w:val="fr-CA"/>
              </w:rPr>
              <w:t>’</w:t>
            </w:r>
            <w:r w:rsidRPr="000B7739">
              <w:rPr>
                <w:lang w:val="fr-CA"/>
              </w:rPr>
              <w:t>est pas disponible pour ce Jour ouvrable de publication du taux SOFR, alors :</w:t>
            </w:r>
          </w:p>
          <w:p w14:paraId="53AAA532" w14:textId="52481413" w:rsidR="00C94B90" w:rsidRPr="00B63BD5" w:rsidRDefault="00C94B90" w:rsidP="008B6CE6">
            <w:pPr>
              <w:pStyle w:val="04LOLglNew4"/>
              <w:rPr>
                <w:lang w:val="fr-CA"/>
              </w:rPr>
            </w:pPr>
            <w:r w:rsidRPr="00B63BD5">
              <w:rPr>
                <w:lang w:val="fr-CA"/>
              </w:rPr>
              <w:t>le plus récent Taux SOFR affiché (dans la mesure où</w:t>
            </w:r>
            <w:r w:rsidR="0007331B" w:rsidRPr="00B63BD5">
              <w:rPr>
                <w:lang w:val="fr-CA"/>
              </w:rPr>
              <w:t xml:space="preserve"> </w:t>
            </w:r>
            <w:r w:rsidRPr="00B63BD5">
              <w:rPr>
                <w:lang w:val="fr-CA"/>
              </w:rPr>
              <w:t>il existe) doit être utilisé à condition que le Taux SOFR affiché ait été indisponible pendant moins</w:t>
            </w:r>
            <w:r w:rsidR="00A31435" w:rsidRPr="00B63BD5">
              <w:rPr>
                <w:lang w:val="fr-CA"/>
              </w:rPr>
              <w:t xml:space="preserve"> de</w:t>
            </w:r>
            <w:r w:rsidRPr="00B63BD5">
              <w:rPr>
                <w:lang w:val="fr-CA"/>
              </w:rPr>
              <w:t xml:space="preserve"> cinq</w:t>
            </w:r>
            <w:r w:rsidR="0007331B" w:rsidRPr="00B63BD5">
              <w:rPr>
                <w:lang w:val="fr-CA"/>
              </w:rPr>
              <w:t> </w:t>
            </w:r>
            <w:r w:rsidRPr="00B63BD5">
              <w:rPr>
                <w:lang w:val="fr-CA"/>
              </w:rPr>
              <w:t>(5) Jours ouvrables de publication du taux SOFR consécutifs et qu</w:t>
            </w:r>
            <w:r w:rsidR="00564B0C" w:rsidRPr="00B63BD5">
              <w:rPr>
                <w:lang w:val="fr-CA"/>
              </w:rPr>
              <w:t>’</w:t>
            </w:r>
            <w:r w:rsidRPr="00B63BD5">
              <w:rPr>
                <w:lang w:val="fr-CA"/>
              </w:rPr>
              <w:t>aucun Taux de référence de</w:t>
            </w:r>
            <w:r w:rsidR="00166FF1" w:rsidRPr="00B63BD5">
              <w:rPr>
                <w:lang w:val="fr-CA"/>
              </w:rPr>
              <w:t xml:space="preserve"> </w:t>
            </w:r>
            <w:r w:rsidRPr="00B63BD5">
              <w:rPr>
                <w:lang w:val="fr-CA"/>
              </w:rPr>
              <w:t>remplacement du Taux SOFR simple quotidien ne</w:t>
            </w:r>
            <w:r w:rsidR="00166FF1" w:rsidRPr="00B63BD5">
              <w:rPr>
                <w:lang w:val="fr-CA"/>
              </w:rPr>
              <w:t xml:space="preserve"> </w:t>
            </w:r>
            <w:r w:rsidRPr="00B63BD5">
              <w:rPr>
                <w:lang w:val="fr-CA"/>
              </w:rPr>
              <w:t>soit en</w:t>
            </w:r>
            <w:r w:rsidR="00952856" w:rsidRPr="00B63BD5">
              <w:rPr>
                <w:lang w:val="fr-CA"/>
              </w:rPr>
              <w:t> </w:t>
            </w:r>
            <w:r w:rsidRPr="00B63BD5">
              <w:rPr>
                <w:lang w:val="fr-CA"/>
              </w:rPr>
              <w:t xml:space="preserve">vigueur; </w:t>
            </w:r>
          </w:p>
          <w:p w14:paraId="54905C55" w14:textId="01B8C7CB" w:rsidR="00C94B90" w:rsidRPr="00B63BD5" w:rsidRDefault="00C94B90" w:rsidP="008B6CE6">
            <w:pPr>
              <w:pStyle w:val="04LOLglNew4"/>
              <w:rPr>
                <w:lang w:val="fr-CA"/>
              </w:rPr>
            </w:pPr>
            <w:r w:rsidRPr="00B63BD5">
              <w:rPr>
                <w:spacing w:val="-2"/>
                <w:lang w:val="fr-CA"/>
              </w:rPr>
              <w:t>si un Taux de référence de remplacement du Taux</w:t>
            </w:r>
            <w:r w:rsidR="00952856" w:rsidRPr="00B63BD5">
              <w:rPr>
                <w:spacing w:val="-2"/>
                <w:lang w:val="fr-CA"/>
              </w:rPr>
              <w:t> </w:t>
            </w:r>
            <w:r w:rsidRPr="00B63BD5">
              <w:rPr>
                <w:spacing w:val="-2"/>
                <w:lang w:val="fr-CA"/>
              </w:rPr>
              <w:t>SOFR</w:t>
            </w:r>
            <w:r w:rsidRPr="00B63BD5">
              <w:rPr>
                <w:lang w:val="fr-CA"/>
              </w:rPr>
              <w:t xml:space="preserve"> simple quotidien est alors en vigueur, ce Taux de référence de remplacement doit être utilisé; </w:t>
            </w:r>
          </w:p>
          <w:p w14:paraId="41331BAB" w14:textId="24AC7ED2" w:rsidR="00C94B90" w:rsidRPr="00B63BD5" w:rsidRDefault="00C94B90" w:rsidP="008B6CE6">
            <w:pPr>
              <w:pStyle w:val="04LOLglNew4"/>
              <w:rPr>
                <w:lang w:val="fr-CA"/>
              </w:rPr>
            </w:pPr>
            <w:r w:rsidRPr="00B63BD5">
              <w:rPr>
                <w:spacing w:val="-2"/>
                <w:lang w:val="fr-CA"/>
              </w:rPr>
              <w:t>si le Taux SOFR simple quotidien affiché est</w:t>
            </w:r>
            <w:r w:rsidR="00166FF1" w:rsidRPr="00B63BD5">
              <w:rPr>
                <w:spacing w:val="-2"/>
                <w:lang w:val="fr-CA"/>
              </w:rPr>
              <w:t xml:space="preserve"> </w:t>
            </w:r>
            <w:r w:rsidRPr="00B63BD5">
              <w:rPr>
                <w:spacing w:val="-2"/>
                <w:lang w:val="fr-CA"/>
              </w:rPr>
              <w:t>indisponib</w:t>
            </w:r>
            <w:r w:rsidRPr="00B63BD5">
              <w:rPr>
                <w:lang w:val="fr-CA"/>
              </w:rPr>
              <w:t>le pendant plus de cinq</w:t>
            </w:r>
            <w:r w:rsidR="0007331B" w:rsidRPr="00B63BD5">
              <w:rPr>
                <w:lang w:val="fr-CA"/>
              </w:rPr>
              <w:t> </w:t>
            </w:r>
            <w:r w:rsidRPr="00B63BD5">
              <w:rPr>
                <w:lang w:val="fr-CA"/>
              </w:rPr>
              <w:t xml:space="preserve">(5) Jours ouvrables de publication </w:t>
            </w:r>
            <w:r w:rsidRPr="00B63BD5">
              <w:rPr>
                <w:spacing w:val="-2"/>
                <w:lang w:val="fr-CA"/>
              </w:rPr>
              <w:t>du taux SOFR consécutifs et qu</w:t>
            </w:r>
            <w:r w:rsidR="00564B0C" w:rsidRPr="00B63BD5">
              <w:rPr>
                <w:spacing w:val="-2"/>
                <w:lang w:val="fr-CA"/>
              </w:rPr>
              <w:t>’</w:t>
            </w:r>
            <w:r w:rsidRPr="00B63BD5">
              <w:rPr>
                <w:spacing w:val="-2"/>
                <w:lang w:val="fr-CA"/>
              </w:rPr>
              <w:t>aucun Taux de référenc</w:t>
            </w:r>
            <w:r w:rsidRPr="00B63BD5">
              <w:rPr>
                <w:lang w:val="fr-CA"/>
              </w:rPr>
              <w:t>e de remplacement du</w:t>
            </w:r>
            <w:r w:rsidR="0007331B" w:rsidRPr="00B63BD5">
              <w:rPr>
                <w:lang w:val="fr-CA"/>
              </w:rPr>
              <w:t xml:space="preserve"> </w:t>
            </w:r>
            <w:r w:rsidRPr="00B63BD5">
              <w:rPr>
                <w:lang w:val="fr-CA"/>
              </w:rPr>
              <w:t>Taux SOFR simple quotidien n</w:t>
            </w:r>
            <w:r w:rsidR="00564B0C" w:rsidRPr="00B63BD5">
              <w:rPr>
                <w:lang w:val="fr-CA"/>
              </w:rPr>
              <w:t>’</w:t>
            </w:r>
            <w:r w:rsidRPr="00B63BD5">
              <w:rPr>
                <w:lang w:val="fr-CA"/>
              </w:rPr>
              <w:t>est alors en</w:t>
            </w:r>
            <w:r w:rsidR="0007331B" w:rsidRPr="00B63BD5">
              <w:rPr>
                <w:lang w:val="fr-CA"/>
              </w:rPr>
              <w:t xml:space="preserve"> </w:t>
            </w:r>
            <w:r w:rsidRPr="00B63BD5">
              <w:rPr>
                <w:lang w:val="fr-CA"/>
              </w:rPr>
              <w:t>vigueur, le taux en pourcentage par année qui</w:t>
            </w:r>
            <w:r w:rsidR="0007331B" w:rsidRPr="00B63BD5">
              <w:rPr>
                <w:lang w:val="fr-CA"/>
              </w:rPr>
              <w:t xml:space="preserve"> </w:t>
            </w:r>
            <w:r w:rsidRPr="00B63BD5">
              <w:rPr>
                <w:lang w:val="fr-CA"/>
              </w:rPr>
              <w:t>tient compte :</w:t>
            </w:r>
          </w:p>
          <w:p w14:paraId="60B95373" w14:textId="2F8179F5" w:rsidR="00C94B90" w:rsidRPr="00B63BD5" w:rsidRDefault="00C94B90" w:rsidP="008B6CE6">
            <w:pPr>
              <w:pStyle w:val="04LOLglNew5"/>
              <w:rPr>
                <w:lang w:val="fr-CA"/>
              </w:rPr>
            </w:pPr>
            <w:r w:rsidRPr="00B63BD5">
              <w:rPr>
                <w:lang w:val="fr-CA"/>
              </w:rPr>
              <w:t>du Taux de la banque centrale en</w:t>
            </w:r>
            <w:r w:rsidR="0007331B" w:rsidRPr="00B63BD5">
              <w:rPr>
                <w:lang w:val="fr-CA"/>
              </w:rPr>
              <w:t xml:space="preserve"> </w:t>
            </w:r>
            <w:r w:rsidRPr="00B63BD5">
              <w:rPr>
                <w:lang w:val="fr-CA"/>
              </w:rPr>
              <w:t>vigueur à la fermeture des</w:t>
            </w:r>
            <w:r w:rsidR="0007331B" w:rsidRPr="00B63BD5">
              <w:rPr>
                <w:lang w:val="fr-CA"/>
              </w:rPr>
              <w:t xml:space="preserve"> </w:t>
            </w:r>
            <w:r w:rsidRPr="00B63BD5">
              <w:rPr>
                <w:lang w:val="fr-CA"/>
              </w:rPr>
              <w:t xml:space="preserve">bureaux pour ce Jour ouvrable de publication du taux SOFR; et </w:t>
            </w:r>
          </w:p>
          <w:p w14:paraId="40C344EF" w14:textId="4A46D0EF" w:rsidR="00C94B90" w:rsidRPr="00B63BD5" w:rsidRDefault="00C94B90" w:rsidP="008B6CE6">
            <w:pPr>
              <w:pStyle w:val="04LOLglNew5"/>
              <w:rPr>
                <w:lang w:val="fr-CA"/>
              </w:rPr>
            </w:pPr>
            <w:r w:rsidRPr="00B63BD5">
              <w:rPr>
                <w:lang w:val="fr-CA"/>
              </w:rPr>
              <w:t>du Rajustement du taux de</w:t>
            </w:r>
            <w:r w:rsidR="0007331B" w:rsidRPr="00B63BD5">
              <w:rPr>
                <w:lang w:val="fr-CA"/>
              </w:rPr>
              <w:t xml:space="preserve"> </w:t>
            </w:r>
            <w:r w:rsidRPr="00B63BD5">
              <w:rPr>
                <w:lang w:val="fr-CA"/>
              </w:rPr>
              <w:t>la</w:t>
            </w:r>
            <w:r w:rsidR="0007331B" w:rsidRPr="00B63BD5">
              <w:rPr>
                <w:lang w:val="fr-CA"/>
              </w:rPr>
              <w:t xml:space="preserve"> </w:t>
            </w:r>
            <w:r w:rsidRPr="00B63BD5">
              <w:rPr>
                <w:lang w:val="fr-CA"/>
              </w:rPr>
              <w:t>banque centrale</w:t>
            </w:r>
            <w:r w:rsidR="00952856" w:rsidRPr="00B63BD5">
              <w:rPr>
                <w:lang w:val="fr-CA"/>
              </w:rPr>
              <w:t> </w:t>
            </w:r>
            <w:r w:rsidRPr="00B63BD5">
              <w:rPr>
                <w:lang w:val="fr-CA"/>
              </w:rPr>
              <w:t>applicable;</w:t>
            </w:r>
          </w:p>
          <w:p w14:paraId="4151743F" w14:textId="622C3489" w:rsidR="00AF0B06" w:rsidRPr="00B63BD5" w:rsidRDefault="00D05B83" w:rsidP="00632863">
            <w:pPr>
              <w:spacing w:after="240"/>
              <w:ind w:left="720"/>
              <w:jc w:val="both"/>
              <w:rPr>
                <w:lang w:val="fr-CA"/>
              </w:rPr>
            </w:pPr>
            <w:r w:rsidRPr="00B63BD5">
              <w:rPr>
                <w:lang w:val="fr-CA"/>
              </w:rPr>
              <w:t>(</w:t>
            </w:r>
            <w:r w:rsidR="00C94B90" w:rsidRPr="00B63BD5">
              <w:rPr>
                <w:lang w:val="fr-CA"/>
              </w:rPr>
              <w:t>arrondi au besoin à cinq décimales</w:t>
            </w:r>
            <w:r w:rsidRPr="00B63BD5">
              <w:rPr>
                <w:lang w:val="fr-CA"/>
              </w:rPr>
              <w:t xml:space="preserve">, </w:t>
            </w:r>
            <w:r w:rsidR="00C94B90" w:rsidRPr="00B63BD5">
              <w:rPr>
                <w:lang w:val="fr-CA"/>
              </w:rPr>
              <w:t>0,000</w:t>
            </w:r>
            <w:r w:rsidR="002B6180" w:rsidRPr="00B63BD5">
              <w:rPr>
                <w:lang w:val="fr-CA"/>
              </w:rPr>
              <w:t> </w:t>
            </w:r>
            <w:r w:rsidR="00C94B90" w:rsidRPr="00B63BD5">
              <w:rPr>
                <w:lang w:val="fr-CA"/>
              </w:rPr>
              <w:t>005 étant arrondi à la hausse)</w:t>
            </w:r>
          </w:p>
          <w:p w14:paraId="1592020C" w14:textId="2BCEB910" w:rsidR="00166FF1" w:rsidRPr="00B63BD5" w:rsidRDefault="00C94B90" w:rsidP="00632863">
            <w:pPr>
              <w:spacing w:after="240"/>
              <w:jc w:val="both"/>
              <w:rPr>
                <w:lang w:val="fr-CA"/>
              </w:rPr>
            </w:pPr>
            <w:r w:rsidRPr="00B63BD5">
              <w:rPr>
                <w:lang w:val="fr-CA"/>
              </w:rPr>
              <w:t>et si, dans chacun des cas, ce taux est inférieur à zéro, le Taux quotidien est réputé être égal à zéro.</w:t>
            </w:r>
          </w:p>
        </w:tc>
      </w:tr>
      <w:tr w:rsidR="00441812" w:rsidRPr="002C047F" w14:paraId="219C7349" w14:textId="77777777" w:rsidTr="0007331B">
        <w:tc>
          <w:tcPr>
            <w:tcW w:w="2830" w:type="dxa"/>
          </w:tcPr>
          <w:p w14:paraId="5C31628D" w14:textId="3A7E63EA" w:rsidR="00441812" w:rsidRPr="00B63BD5" w:rsidRDefault="00441812" w:rsidP="00632863">
            <w:pPr>
              <w:spacing w:after="240"/>
              <w:rPr>
                <w:b/>
                <w:bCs/>
                <w:lang w:val="fr-CA"/>
              </w:rPr>
            </w:pPr>
            <w:r w:rsidRPr="00B63BD5">
              <w:rPr>
                <w:b/>
                <w:lang w:val="fr-CA"/>
              </w:rPr>
              <w:t>Taux SOFR affiché</w:t>
            </w:r>
          </w:p>
        </w:tc>
        <w:tc>
          <w:tcPr>
            <w:tcW w:w="6298" w:type="dxa"/>
          </w:tcPr>
          <w:p w14:paraId="792528D5" w14:textId="24000D9B" w:rsidR="00441812" w:rsidRPr="00B63BD5" w:rsidRDefault="00695BF8" w:rsidP="00632863">
            <w:pPr>
              <w:spacing w:after="240"/>
              <w:jc w:val="both"/>
              <w:rPr>
                <w:lang w:val="fr-CA"/>
              </w:rPr>
            </w:pPr>
            <w:r w:rsidRPr="00B63BD5">
              <w:rPr>
                <w:lang w:val="fr-CA"/>
              </w:rPr>
              <w:t xml:space="preserve">Désigne le </w:t>
            </w:r>
            <w:r w:rsidR="00441812" w:rsidRPr="00B63BD5">
              <w:rPr>
                <w:lang w:val="fr-CA"/>
              </w:rPr>
              <w:t>taux du financement à un jour garanti (SOFR) administré par la Federal Reserve Bank of New York (ou</w:t>
            </w:r>
            <w:r w:rsidR="0007331B" w:rsidRPr="00B63BD5">
              <w:rPr>
                <w:lang w:val="fr-CA"/>
              </w:rPr>
              <w:t xml:space="preserve"> </w:t>
            </w:r>
            <w:r w:rsidR="00441812" w:rsidRPr="00B63BD5">
              <w:rPr>
                <w:lang w:val="fr-CA"/>
              </w:rPr>
              <w:t>toute autre personne qui s</w:t>
            </w:r>
            <w:r w:rsidR="00564B0C" w:rsidRPr="00B63BD5">
              <w:rPr>
                <w:lang w:val="fr-CA"/>
              </w:rPr>
              <w:t>’</w:t>
            </w:r>
            <w:r w:rsidR="00441812" w:rsidRPr="00B63BD5">
              <w:rPr>
                <w:lang w:val="fr-CA"/>
              </w:rPr>
              <w:t>occupe de l</w:t>
            </w:r>
            <w:r w:rsidR="00564B0C" w:rsidRPr="00B63BD5">
              <w:rPr>
                <w:lang w:val="fr-CA"/>
              </w:rPr>
              <w:t>’</w:t>
            </w:r>
            <w:r w:rsidR="00441812" w:rsidRPr="00B63BD5">
              <w:rPr>
                <w:lang w:val="fr-CA"/>
              </w:rPr>
              <w:t>administration de</w:t>
            </w:r>
            <w:r w:rsidR="0007331B" w:rsidRPr="00B63BD5">
              <w:rPr>
                <w:lang w:val="fr-CA"/>
              </w:rPr>
              <w:t xml:space="preserve"> </w:t>
            </w:r>
            <w:r w:rsidR="00441812" w:rsidRPr="00B63BD5">
              <w:rPr>
                <w:lang w:val="fr-CA"/>
              </w:rPr>
              <w:t>ce taux) et publié par la Federal Reserve Bank of New York (ou toute autre personne qui s</w:t>
            </w:r>
            <w:r w:rsidR="00564B0C" w:rsidRPr="00B63BD5">
              <w:rPr>
                <w:lang w:val="fr-CA"/>
              </w:rPr>
              <w:t>’</w:t>
            </w:r>
            <w:r w:rsidR="00441812" w:rsidRPr="00B63BD5">
              <w:rPr>
                <w:lang w:val="fr-CA"/>
              </w:rPr>
              <w:t>occupe de la publication de ce taux).</w:t>
            </w:r>
          </w:p>
        </w:tc>
      </w:tr>
    </w:tbl>
    <w:p w14:paraId="21B891B1" w14:textId="4261CA03" w:rsidR="00C80DE6" w:rsidRPr="00B63BD5" w:rsidRDefault="00C80DE6"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bCs/>
          <w:lang w:val="fr-CA"/>
        </w:rPr>
      </w:pPr>
    </w:p>
    <w:p w14:paraId="3C8FA4BD" w14:textId="7DE8B8AF" w:rsidR="00695BF8" w:rsidRPr="00B63BD5" w:rsidRDefault="00695BF8" w:rsidP="00632863">
      <w:pPr>
        <w:spacing w:after="240"/>
        <w:jc w:val="both"/>
        <w:rPr>
          <w:bCs/>
          <w:lang w:val="fr-CA"/>
        </w:rPr>
      </w:pPr>
      <w:r w:rsidRPr="00B63BD5">
        <w:rPr>
          <w:bCs/>
          <w:lang w:val="fr-CA"/>
        </w:rPr>
        <w:br w:type="page"/>
      </w:r>
    </w:p>
    <w:p w14:paraId="3421AABD" w14:textId="30423313" w:rsidR="00695BF8" w:rsidRPr="00B63BD5" w:rsidRDefault="00695BF8" w:rsidP="00632863">
      <w:pPr>
        <w:spacing w:after="240"/>
        <w:jc w:val="center"/>
        <w:rPr>
          <w:b/>
          <w:color w:val="00B0F0"/>
          <w:lang w:val="fr-CA"/>
        </w:rPr>
      </w:pPr>
      <w:r w:rsidRPr="00B63BD5">
        <w:rPr>
          <w:b/>
          <w:u w:val="single"/>
          <w:lang w:val="fr-CA"/>
        </w:rPr>
        <w:lastRenderedPageBreak/>
        <w:t>ANNEXE</w:t>
      </w:r>
      <w:r w:rsidR="00AC4107" w:rsidRPr="00B63BD5">
        <w:rPr>
          <w:b/>
          <w:u w:val="single"/>
          <w:lang w:val="fr-CA"/>
        </w:rPr>
        <w:t xml:space="preserve"> </w:t>
      </w:r>
      <w:r w:rsidRPr="00B63BD5">
        <w:rPr>
          <w:b/>
          <w:u w:val="single"/>
          <w:lang w:val="fr-CA"/>
        </w:rPr>
        <w:t>RELATIVE AUX PRÊTS AU</w:t>
      </w:r>
      <w:r w:rsidR="00AC4107" w:rsidRPr="00B63BD5">
        <w:rPr>
          <w:b/>
          <w:u w:val="single"/>
          <w:lang w:val="fr-CA"/>
        </w:rPr>
        <w:t xml:space="preserve"> </w:t>
      </w:r>
      <w:r w:rsidRPr="00B63BD5">
        <w:rPr>
          <w:b/>
          <w:u w:val="single"/>
          <w:lang w:val="fr-CA"/>
        </w:rPr>
        <w:t>TAUX SOFR À TERME</w:t>
      </w:r>
    </w:p>
    <w:p w14:paraId="32824DB6" w14:textId="77777777" w:rsidR="00695BF8" w:rsidRPr="00B63BD5" w:rsidRDefault="00695BF8" w:rsidP="004E4DF9">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color w:val="00B0F0"/>
          <w:lang w:val="fr-CA"/>
        </w:rPr>
      </w:pPr>
      <w:r w:rsidRPr="00B63BD5">
        <w:rPr>
          <w:b/>
          <w:lang w:val="fr-CA"/>
        </w:rPr>
        <w:t>À LA LETTRE RELATIVE AUX FACILITÉS</w:t>
      </w:r>
    </w:p>
    <w:p w14:paraId="4BEC0746" w14:textId="77777777" w:rsidR="00695BF8" w:rsidRPr="00B63BD5" w:rsidRDefault="00695BF8" w:rsidP="004E4DF9">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color w:val="00B0F0"/>
          <w:lang w:val="fr-CA"/>
        </w:rPr>
      </w:pPr>
      <w:r w:rsidRPr="00B63BD5">
        <w:rPr>
          <w:b/>
          <w:lang w:val="fr-CA"/>
        </w:rPr>
        <w:t>CONSENTIES PAR LA BANQUE HSBC CANADA</w:t>
      </w:r>
    </w:p>
    <w:p w14:paraId="38DFDF33" w14:textId="143BE1D7" w:rsidR="00695BF8" w:rsidRPr="00B63BD5" w:rsidRDefault="00695BF8" w:rsidP="004E4DF9">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color w:val="00B0F0"/>
          <w:lang w:val="fr-CA"/>
        </w:rPr>
      </w:pPr>
      <w:r w:rsidRPr="00B63BD5">
        <w:rPr>
          <w:b/>
          <w:lang w:val="fr-CA"/>
        </w:rPr>
        <w:t>À [L</w:t>
      </w:r>
      <w:r w:rsidR="00564B0C" w:rsidRPr="00B63BD5">
        <w:rPr>
          <w:b/>
          <w:lang w:val="fr-CA"/>
        </w:rPr>
        <w:t>’</w:t>
      </w:r>
      <w:r w:rsidRPr="00B63BD5">
        <w:rPr>
          <w:b/>
          <w:lang w:val="fr-CA"/>
        </w:rPr>
        <w:t xml:space="preserve">EMPRUNTEUR UNIQUE </w:t>
      </w:r>
      <w:r w:rsidRPr="00B63BD5">
        <w:rPr>
          <w:b/>
          <w:color w:val="00B0F0"/>
          <w:highlight w:val="yellow"/>
          <w:lang w:val="fr-CA"/>
        </w:rPr>
        <w:t>OU</w:t>
      </w:r>
      <w:r w:rsidRPr="00B63BD5">
        <w:rPr>
          <w:b/>
          <w:color w:val="00B0F0"/>
          <w:lang w:val="fr-CA"/>
        </w:rPr>
        <w:t xml:space="preserve"> </w:t>
      </w:r>
      <w:r w:rsidRPr="00B63BD5">
        <w:rPr>
          <w:b/>
          <w:lang w:val="fr-CA"/>
        </w:rPr>
        <w:t>L</w:t>
      </w:r>
      <w:r w:rsidR="00564B0C" w:rsidRPr="00B63BD5">
        <w:rPr>
          <w:b/>
          <w:lang w:val="fr-CA"/>
        </w:rPr>
        <w:t>’</w:t>
      </w:r>
      <w:r w:rsidRPr="00B63BD5">
        <w:rPr>
          <w:b/>
          <w:lang w:val="fr-CA"/>
        </w:rPr>
        <w:t>EMPRUNTEUR PRINCIPAL ET À D</w:t>
      </w:r>
      <w:r w:rsidR="00564B0C" w:rsidRPr="00B63BD5">
        <w:rPr>
          <w:b/>
          <w:lang w:val="fr-CA"/>
        </w:rPr>
        <w:t>’</w:t>
      </w:r>
      <w:r w:rsidRPr="00B63BD5">
        <w:rPr>
          <w:b/>
          <w:lang w:val="fr-CA"/>
        </w:rPr>
        <w:t>AUTRES PERSONNES]</w:t>
      </w:r>
    </w:p>
    <w:p w14:paraId="7F826809" w14:textId="77777777" w:rsidR="00695BF8" w:rsidRPr="00B63BD5" w:rsidRDefault="00695BF8" w:rsidP="004E4DF9">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color w:val="00B0F0"/>
          <w:lang w:val="fr-CA"/>
        </w:rPr>
      </w:pPr>
      <w:r w:rsidRPr="00B63BD5">
        <w:rPr>
          <w:b/>
          <w:lang w:val="fr-CA"/>
        </w:rPr>
        <w:t xml:space="preserve">DATÉE DU </w:t>
      </w:r>
      <w:r w:rsidRPr="00B63BD5">
        <w:rPr>
          <w:rStyle w:val="Prompt"/>
          <w:lang w:val="fr-CA"/>
        </w:rPr>
        <w:sym w:font="Wingdings" w:char="F06C"/>
      </w:r>
    </w:p>
    <w:tbl>
      <w:tblPr>
        <w:tblStyle w:val="TableGrid"/>
        <w:tblW w:w="0" w:type="auto"/>
        <w:tblLayout w:type="fixed"/>
        <w:tblLook w:val="04A0" w:firstRow="1" w:lastRow="0" w:firstColumn="1" w:lastColumn="0" w:noHBand="0" w:noVBand="1"/>
      </w:tblPr>
      <w:tblGrid>
        <w:gridCol w:w="2829"/>
        <w:gridCol w:w="6925"/>
      </w:tblGrid>
      <w:tr w:rsidR="00695BF8" w:rsidRPr="002C047F" w14:paraId="45213617" w14:textId="77777777" w:rsidTr="005D0484">
        <w:tc>
          <w:tcPr>
            <w:tcW w:w="2829" w:type="dxa"/>
            <w:shd w:val="clear" w:color="auto" w:fill="FFFFFF" w:themeFill="background1"/>
          </w:tcPr>
          <w:p w14:paraId="76834DE6" w14:textId="434E4FE4" w:rsidR="00695BF8" w:rsidRPr="00B63BD5" w:rsidRDefault="00695BF8" w:rsidP="00632863">
            <w:pPr>
              <w:tabs>
                <w:tab w:val="num" w:pos="360"/>
                <w:tab w:val="left" w:pos="2268"/>
              </w:tabs>
              <w:spacing w:after="240"/>
              <w:contextualSpacing/>
              <w:rPr>
                <w:lang w:val="fr-CA"/>
              </w:rPr>
            </w:pPr>
            <w:r w:rsidRPr="00B63BD5">
              <w:rPr>
                <w:b/>
                <w:lang w:val="fr-CA"/>
              </w:rPr>
              <w:t>Durée offerte</w:t>
            </w:r>
          </w:p>
        </w:tc>
        <w:tc>
          <w:tcPr>
            <w:tcW w:w="6925" w:type="dxa"/>
            <w:shd w:val="clear" w:color="auto" w:fill="FFFFFF" w:themeFill="background1"/>
          </w:tcPr>
          <w:p w14:paraId="750E6AB9" w14:textId="02907EAF" w:rsidR="00695BF8" w:rsidRPr="00B63BD5" w:rsidRDefault="00166FF1" w:rsidP="00632863">
            <w:pPr>
              <w:spacing w:after="240"/>
              <w:jc w:val="both"/>
              <w:rPr>
                <w:lang w:val="fr-CA"/>
              </w:rPr>
            </w:pPr>
            <w:r w:rsidRPr="00B63BD5">
              <w:rPr>
                <w:lang w:val="fr-CA"/>
              </w:rPr>
              <w:t>D</w:t>
            </w:r>
            <w:r w:rsidR="00695BF8" w:rsidRPr="00B63BD5">
              <w:rPr>
                <w:lang w:val="fr-CA"/>
              </w:rPr>
              <w:t>ésigne, en ce qui concerne le Taux SOFR à terme affiché, toute période pour laquelle ce taux est habituellement affiché à la page ou à l</w:t>
            </w:r>
            <w:r w:rsidR="00564B0C" w:rsidRPr="00B63BD5">
              <w:rPr>
                <w:lang w:val="fr-CA"/>
              </w:rPr>
              <w:t>’</w:t>
            </w:r>
            <w:r w:rsidR="00695BF8" w:rsidRPr="00B63BD5">
              <w:rPr>
                <w:lang w:val="fr-CA"/>
              </w:rPr>
              <w:t>écran pertinent d</w:t>
            </w:r>
            <w:r w:rsidR="00564B0C" w:rsidRPr="00B63BD5">
              <w:rPr>
                <w:lang w:val="fr-CA"/>
              </w:rPr>
              <w:t>’</w:t>
            </w:r>
            <w:r w:rsidR="00695BF8" w:rsidRPr="00B63BD5">
              <w:rPr>
                <w:lang w:val="fr-CA"/>
              </w:rPr>
              <w:t>un service d</w:t>
            </w:r>
            <w:r w:rsidR="00564B0C" w:rsidRPr="00B63BD5">
              <w:rPr>
                <w:lang w:val="fr-CA"/>
              </w:rPr>
              <w:t>’</w:t>
            </w:r>
            <w:r w:rsidR="00695BF8" w:rsidRPr="00B63BD5">
              <w:rPr>
                <w:lang w:val="fr-CA"/>
              </w:rPr>
              <w:t>information.</w:t>
            </w:r>
          </w:p>
        </w:tc>
      </w:tr>
      <w:tr w:rsidR="00695BF8" w:rsidRPr="002C047F" w14:paraId="1261534D" w14:textId="77777777" w:rsidTr="005D0484">
        <w:tc>
          <w:tcPr>
            <w:tcW w:w="2829" w:type="dxa"/>
            <w:shd w:val="clear" w:color="auto" w:fill="FFFFFF" w:themeFill="background1"/>
          </w:tcPr>
          <w:p w14:paraId="2624E600" w14:textId="77777777" w:rsidR="00695BF8" w:rsidRPr="00B63BD5" w:rsidRDefault="00695BF8" w:rsidP="00632863">
            <w:pPr>
              <w:tabs>
                <w:tab w:val="num" w:pos="360"/>
                <w:tab w:val="left" w:pos="2268"/>
              </w:tabs>
              <w:spacing w:after="240"/>
              <w:contextualSpacing/>
              <w:rPr>
                <w:lang w:val="fr-CA"/>
              </w:rPr>
            </w:pPr>
            <w:r w:rsidRPr="00B63BD5">
              <w:rPr>
                <w:b/>
                <w:lang w:val="fr-CA"/>
              </w:rPr>
              <w:t>Jour ouvrable de publication du taux SOFR</w:t>
            </w:r>
          </w:p>
        </w:tc>
        <w:tc>
          <w:tcPr>
            <w:tcW w:w="6925" w:type="dxa"/>
            <w:shd w:val="clear" w:color="auto" w:fill="FFFFFF" w:themeFill="background1"/>
          </w:tcPr>
          <w:p w14:paraId="1F9E2E42" w14:textId="7B27FF70" w:rsidR="00166FF1" w:rsidRPr="00B63BD5" w:rsidRDefault="00166FF1" w:rsidP="00632863">
            <w:pPr>
              <w:spacing w:after="240"/>
              <w:jc w:val="both"/>
              <w:rPr>
                <w:lang w:val="fr-CA"/>
              </w:rPr>
            </w:pPr>
            <w:r w:rsidRPr="00B63BD5">
              <w:rPr>
                <w:lang w:val="fr-CA"/>
              </w:rPr>
              <w:t>D</w:t>
            </w:r>
            <w:r w:rsidR="00695BF8" w:rsidRPr="00B63BD5">
              <w:rPr>
                <w:lang w:val="fr-CA"/>
              </w:rPr>
              <w:t xml:space="preserve">ésigne un jour </w:t>
            </w:r>
            <w:r w:rsidR="00D33630" w:rsidRPr="00B63BD5">
              <w:rPr>
                <w:lang w:val="fr-CA"/>
              </w:rPr>
              <w:t>(</w:t>
            </w:r>
            <w:r w:rsidR="00695BF8" w:rsidRPr="00B63BD5">
              <w:rPr>
                <w:lang w:val="fr-CA"/>
              </w:rPr>
              <w:t>a)</w:t>
            </w:r>
            <w:r w:rsidRPr="00B63BD5">
              <w:rPr>
                <w:lang w:val="fr-CA"/>
              </w:rPr>
              <w:t> </w:t>
            </w:r>
            <w:r w:rsidR="00695BF8" w:rsidRPr="00B63BD5">
              <w:rPr>
                <w:lang w:val="fr-CA"/>
              </w:rPr>
              <w:t>qui n</w:t>
            </w:r>
            <w:r w:rsidR="00564B0C" w:rsidRPr="00B63BD5">
              <w:rPr>
                <w:lang w:val="fr-CA"/>
              </w:rPr>
              <w:t>’</w:t>
            </w:r>
            <w:r w:rsidR="00695BF8" w:rsidRPr="00B63BD5">
              <w:rPr>
                <w:lang w:val="fr-CA"/>
              </w:rPr>
              <w:t xml:space="preserve">est pas un samedi ou un dimanche et </w:t>
            </w:r>
            <w:r w:rsidR="00D33630" w:rsidRPr="00B63BD5">
              <w:rPr>
                <w:lang w:val="fr-CA"/>
              </w:rPr>
              <w:t>(</w:t>
            </w:r>
            <w:r w:rsidR="00695BF8" w:rsidRPr="00B63BD5">
              <w:rPr>
                <w:lang w:val="fr-CA"/>
              </w:rPr>
              <w:t>b)</w:t>
            </w:r>
            <w:r w:rsidR="001D63F8" w:rsidRPr="00B63BD5">
              <w:rPr>
                <w:lang w:val="fr-CA"/>
              </w:rPr>
              <w:t> </w:t>
            </w:r>
            <w:r w:rsidR="00695BF8" w:rsidRPr="00B63BD5">
              <w:rPr>
                <w:lang w:val="fr-CA"/>
              </w:rPr>
              <w:t xml:space="preserve">où </w:t>
            </w:r>
            <w:r w:rsidRPr="00B63BD5">
              <w:rPr>
                <w:lang w:val="fr-CA"/>
              </w:rPr>
              <w:t>l</w:t>
            </w:r>
            <w:r w:rsidR="00695BF8" w:rsidRPr="00B63BD5">
              <w:rPr>
                <w:lang w:val="fr-CA"/>
              </w:rPr>
              <w:t>a</w:t>
            </w:r>
            <w:r w:rsidRPr="00B63BD5">
              <w:rPr>
                <w:lang w:val="fr-CA"/>
              </w:rPr>
              <w:t xml:space="preserve"> </w:t>
            </w:r>
            <w:r w:rsidR="00695BF8" w:rsidRPr="00B63BD5">
              <w:rPr>
                <w:lang w:val="fr-CA"/>
              </w:rPr>
              <w:t>Securities Industry and Financial Markets Association (ou tout organisme remplaçant) recommande la fermeture des services des titres à</w:t>
            </w:r>
            <w:r w:rsidRPr="00B63BD5">
              <w:rPr>
                <w:lang w:val="fr-CA"/>
              </w:rPr>
              <w:t xml:space="preserve"> </w:t>
            </w:r>
            <w:r w:rsidR="00695BF8" w:rsidRPr="00B63BD5">
              <w:rPr>
                <w:lang w:val="fr-CA"/>
              </w:rPr>
              <w:t>revenu fixe de ses membres pendant toute la journée en ce qui concerne la négociation de titres du gouvernement américain.</w:t>
            </w:r>
          </w:p>
        </w:tc>
      </w:tr>
      <w:tr w:rsidR="00695BF8" w:rsidRPr="002C047F" w14:paraId="156FD52F" w14:textId="77777777" w:rsidTr="005D0484">
        <w:tc>
          <w:tcPr>
            <w:tcW w:w="2829" w:type="dxa"/>
          </w:tcPr>
          <w:p w14:paraId="3AC562BA" w14:textId="77777777" w:rsidR="00695BF8" w:rsidRPr="00B63BD5" w:rsidRDefault="00695BF8" w:rsidP="00632863">
            <w:pPr>
              <w:tabs>
                <w:tab w:val="num" w:pos="360"/>
                <w:tab w:val="left" w:pos="2268"/>
              </w:tabs>
              <w:spacing w:after="240"/>
              <w:contextualSpacing/>
              <w:rPr>
                <w:lang w:val="fr-CA"/>
              </w:rPr>
            </w:pPr>
            <w:r w:rsidRPr="00B63BD5">
              <w:rPr>
                <w:b/>
                <w:lang w:val="fr-CA"/>
              </w:rPr>
              <w:t>Taux SOFR à terme affiché</w:t>
            </w:r>
          </w:p>
        </w:tc>
        <w:tc>
          <w:tcPr>
            <w:tcW w:w="6925" w:type="dxa"/>
          </w:tcPr>
          <w:p w14:paraId="7E72CEAE" w14:textId="4CC64BA1" w:rsidR="00695BF8" w:rsidRPr="00B63BD5" w:rsidRDefault="00166FF1" w:rsidP="00632863">
            <w:pPr>
              <w:spacing w:after="240"/>
              <w:jc w:val="both"/>
              <w:rPr>
                <w:lang w:val="fr-CA"/>
              </w:rPr>
            </w:pPr>
            <w:r w:rsidRPr="00B63BD5">
              <w:rPr>
                <w:lang w:val="fr-CA"/>
              </w:rPr>
              <w:t>D</w:t>
            </w:r>
            <w:r w:rsidR="00695BF8" w:rsidRPr="00B63BD5">
              <w:rPr>
                <w:lang w:val="fr-CA"/>
              </w:rPr>
              <w:t>ésigne le Taux de référence SOFR (Secured Overnight Financing Rate ou</w:t>
            </w:r>
            <w:r w:rsidR="00952856" w:rsidRPr="00B63BD5">
              <w:rPr>
                <w:lang w:val="fr-CA"/>
              </w:rPr>
              <w:t> </w:t>
            </w:r>
            <w:r w:rsidR="00695BF8" w:rsidRPr="00B63BD5">
              <w:rPr>
                <w:lang w:val="fr-CA"/>
              </w:rPr>
              <w:t>taux du financement à un jour garanti) à terme publié par la société CME Benchmark Adminstration Limited (ou tout autre fournisseur accepté par</w:t>
            </w:r>
            <w:r w:rsidRPr="00B63BD5">
              <w:rPr>
                <w:lang w:val="fr-CA"/>
              </w:rPr>
              <w:t xml:space="preserve"> </w:t>
            </w:r>
            <w:r w:rsidR="00695BF8" w:rsidRPr="00B63BD5">
              <w:rPr>
                <w:lang w:val="fr-CA"/>
              </w:rPr>
              <w:t>la</w:t>
            </w:r>
            <w:r w:rsidRPr="00B63BD5">
              <w:rPr>
                <w:lang w:val="fr-CA"/>
              </w:rPr>
              <w:t xml:space="preserve"> </w:t>
            </w:r>
            <w:r w:rsidR="00695BF8" w:rsidRPr="00B63BD5">
              <w:rPr>
                <w:lang w:val="fr-CA"/>
              </w:rPr>
              <w:t>Banque et notifié à l</w:t>
            </w:r>
            <w:r w:rsidR="00564B0C" w:rsidRPr="00B63BD5">
              <w:rPr>
                <w:lang w:val="fr-CA"/>
              </w:rPr>
              <w:t>’</w:t>
            </w:r>
            <w:r w:rsidR="00695BF8" w:rsidRPr="00B63BD5">
              <w:rPr>
                <w:lang w:val="fr-CA"/>
              </w:rPr>
              <w:t>Emprunteur) pour une période d</w:t>
            </w:r>
            <w:r w:rsidR="00564B0C" w:rsidRPr="00B63BD5">
              <w:rPr>
                <w:lang w:val="fr-CA"/>
              </w:rPr>
              <w:t>’</w:t>
            </w:r>
            <w:r w:rsidR="00695BF8" w:rsidRPr="00B63BD5">
              <w:rPr>
                <w:lang w:val="fr-CA"/>
              </w:rPr>
              <w:t>une durée égale à la Période SOFR ou à la période d</w:t>
            </w:r>
            <w:r w:rsidR="00564B0C" w:rsidRPr="00B63BD5">
              <w:rPr>
                <w:lang w:val="fr-CA"/>
              </w:rPr>
              <w:t>’</w:t>
            </w:r>
            <w:r w:rsidR="00695BF8" w:rsidRPr="00B63BD5">
              <w:rPr>
                <w:lang w:val="fr-CA"/>
              </w:rPr>
              <w:t>escompte en question, à condition toutefois que si une Durée offerte n</w:t>
            </w:r>
            <w:r w:rsidR="00564B0C" w:rsidRPr="00B63BD5">
              <w:rPr>
                <w:lang w:val="fr-CA"/>
              </w:rPr>
              <w:t>’</w:t>
            </w:r>
            <w:r w:rsidR="00695BF8" w:rsidRPr="00B63BD5">
              <w:rPr>
                <w:lang w:val="fr-CA"/>
              </w:rPr>
              <w:t>est pas disponible pour la Période SOFR ou la période d</w:t>
            </w:r>
            <w:r w:rsidR="00564B0C" w:rsidRPr="00B63BD5">
              <w:rPr>
                <w:lang w:val="fr-CA"/>
              </w:rPr>
              <w:t>’</w:t>
            </w:r>
            <w:r w:rsidR="00695BF8" w:rsidRPr="00B63BD5">
              <w:rPr>
                <w:lang w:val="fr-CA"/>
              </w:rPr>
              <w:t>escompte en question, la Banque puisse déterminer le taux par rapport à la prochaine Durée offerte qui est plus longue que la Période SOFR ou la période d</w:t>
            </w:r>
            <w:r w:rsidR="00564B0C" w:rsidRPr="00B63BD5">
              <w:rPr>
                <w:lang w:val="fr-CA"/>
              </w:rPr>
              <w:t>’</w:t>
            </w:r>
            <w:r w:rsidR="00695BF8" w:rsidRPr="00B63BD5">
              <w:rPr>
                <w:lang w:val="fr-CA"/>
              </w:rPr>
              <w:t>escompte en question (ou la Durée offerte publiée la</w:t>
            </w:r>
            <w:r w:rsidRPr="00B63BD5">
              <w:rPr>
                <w:lang w:val="fr-CA"/>
              </w:rPr>
              <w:t xml:space="preserve"> </w:t>
            </w:r>
            <w:r w:rsidR="00695BF8" w:rsidRPr="00B63BD5">
              <w:rPr>
                <w:lang w:val="fr-CA"/>
              </w:rPr>
              <w:t>plus longue si aucune Durée offerte plus longue n</w:t>
            </w:r>
            <w:r w:rsidR="00564B0C" w:rsidRPr="00B63BD5">
              <w:rPr>
                <w:lang w:val="fr-CA"/>
              </w:rPr>
              <w:t>’</w:t>
            </w:r>
            <w:r w:rsidR="00695BF8" w:rsidRPr="00B63BD5">
              <w:rPr>
                <w:lang w:val="fr-CA"/>
              </w:rPr>
              <w:t>est disponible).</w:t>
            </w:r>
          </w:p>
        </w:tc>
      </w:tr>
      <w:tr w:rsidR="00695BF8" w:rsidRPr="002C047F" w14:paraId="7F84AECF" w14:textId="77777777" w:rsidTr="005D0484">
        <w:tc>
          <w:tcPr>
            <w:tcW w:w="2829" w:type="dxa"/>
          </w:tcPr>
          <w:p w14:paraId="7E523C2B" w14:textId="77777777" w:rsidR="00695BF8" w:rsidRPr="00B63BD5" w:rsidRDefault="00695BF8" w:rsidP="00632863">
            <w:pPr>
              <w:tabs>
                <w:tab w:val="num" w:pos="360"/>
                <w:tab w:val="left" w:pos="2268"/>
              </w:tabs>
              <w:spacing w:after="240"/>
              <w:contextualSpacing/>
              <w:rPr>
                <w:lang w:val="fr-CA"/>
              </w:rPr>
            </w:pPr>
            <w:r w:rsidRPr="00B63BD5">
              <w:rPr>
                <w:b/>
                <w:lang w:val="fr-CA"/>
              </w:rPr>
              <w:t>Taux de la banque centrale</w:t>
            </w:r>
          </w:p>
        </w:tc>
        <w:tc>
          <w:tcPr>
            <w:tcW w:w="6925" w:type="dxa"/>
          </w:tcPr>
          <w:p w14:paraId="7DDF6DD0" w14:textId="28F21CB4" w:rsidR="00695BF8" w:rsidRPr="00B63BD5" w:rsidRDefault="00166FF1" w:rsidP="00632863">
            <w:pPr>
              <w:spacing w:after="240"/>
              <w:jc w:val="both"/>
              <w:rPr>
                <w:lang w:val="fr-CA"/>
              </w:rPr>
            </w:pPr>
            <w:r w:rsidRPr="00B63BD5">
              <w:rPr>
                <w:lang w:val="fr-CA"/>
              </w:rPr>
              <w:t>D</w:t>
            </w:r>
            <w:r w:rsidR="00695BF8" w:rsidRPr="00B63BD5">
              <w:rPr>
                <w:lang w:val="fr-CA"/>
              </w:rPr>
              <w:t>ésigne, pour n</w:t>
            </w:r>
            <w:r w:rsidR="00564B0C" w:rsidRPr="00B63BD5">
              <w:rPr>
                <w:lang w:val="fr-CA"/>
              </w:rPr>
              <w:t>’</w:t>
            </w:r>
            <w:r w:rsidR="00695BF8" w:rsidRPr="00B63BD5">
              <w:rPr>
                <w:lang w:val="fr-CA"/>
              </w:rPr>
              <w:t xml:space="preserve">importe quel jour, </w:t>
            </w:r>
            <w:r w:rsidR="00D33630" w:rsidRPr="00B63BD5">
              <w:rPr>
                <w:lang w:val="fr-CA"/>
              </w:rPr>
              <w:t>(</w:t>
            </w:r>
            <w:r w:rsidR="00695BF8" w:rsidRPr="00B63BD5">
              <w:rPr>
                <w:lang w:val="fr-CA"/>
              </w:rPr>
              <w:t>a)</w:t>
            </w:r>
            <w:r w:rsidRPr="00B63BD5">
              <w:rPr>
                <w:lang w:val="fr-CA"/>
              </w:rPr>
              <w:t> </w:t>
            </w:r>
            <w:r w:rsidR="00695BF8" w:rsidRPr="00B63BD5">
              <w:rPr>
                <w:lang w:val="fr-CA"/>
              </w:rPr>
              <w:t>la cible du taux d</w:t>
            </w:r>
            <w:r w:rsidR="00564B0C" w:rsidRPr="00B63BD5">
              <w:rPr>
                <w:lang w:val="fr-CA"/>
              </w:rPr>
              <w:t>’</w:t>
            </w:r>
            <w:r w:rsidR="00695BF8" w:rsidRPr="00B63BD5">
              <w:rPr>
                <w:lang w:val="fr-CA"/>
              </w:rPr>
              <w:t>intérêt à court terme établie par le Federal Open Market Committee des États-Unis et publiée de</w:t>
            </w:r>
            <w:r w:rsidRPr="00B63BD5">
              <w:rPr>
                <w:lang w:val="fr-CA"/>
              </w:rPr>
              <w:t xml:space="preserve"> </w:t>
            </w:r>
            <w:r w:rsidR="00695BF8" w:rsidRPr="00B63BD5">
              <w:rPr>
                <w:lang w:val="fr-CA"/>
              </w:rPr>
              <w:t xml:space="preserve">temps à autre par la Federal Reserve Bank of New York; ou </w:t>
            </w:r>
            <w:r w:rsidR="00D33630" w:rsidRPr="00B63BD5">
              <w:rPr>
                <w:lang w:val="fr-CA"/>
              </w:rPr>
              <w:t>(</w:t>
            </w:r>
            <w:r w:rsidR="00695BF8" w:rsidRPr="00B63BD5">
              <w:rPr>
                <w:lang w:val="fr-CA"/>
              </w:rPr>
              <w:t>b)</w:t>
            </w:r>
            <w:r w:rsidRPr="00B63BD5">
              <w:rPr>
                <w:lang w:val="fr-CA"/>
              </w:rPr>
              <w:t> </w:t>
            </w:r>
            <w:r w:rsidR="00695BF8" w:rsidRPr="00B63BD5">
              <w:rPr>
                <w:lang w:val="fr-CA"/>
              </w:rPr>
              <w:t>si la cible n</w:t>
            </w:r>
            <w:r w:rsidR="00564B0C" w:rsidRPr="00B63BD5">
              <w:rPr>
                <w:lang w:val="fr-CA"/>
              </w:rPr>
              <w:t>’</w:t>
            </w:r>
            <w:r w:rsidR="00695BF8" w:rsidRPr="00B63BD5">
              <w:rPr>
                <w:lang w:val="fr-CA"/>
              </w:rPr>
              <w:t>est pas un seul chiffre, la moyenne arithmétique de</w:t>
            </w:r>
            <w:r w:rsidR="00AC4107" w:rsidRPr="00B63BD5">
              <w:rPr>
                <w:lang w:val="fr-CA"/>
              </w:rPr>
              <w:t xml:space="preserve"> </w:t>
            </w:r>
            <w:r w:rsidR="00695BF8" w:rsidRPr="00B63BD5">
              <w:rPr>
                <w:lang w:val="fr-CA"/>
              </w:rPr>
              <w:t xml:space="preserve">: </w:t>
            </w:r>
            <w:r w:rsidR="00D33630" w:rsidRPr="00B63BD5">
              <w:rPr>
                <w:lang w:val="fr-CA"/>
              </w:rPr>
              <w:t>(</w:t>
            </w:r>
            <w:r w:rsidR="00695BF8" w:rsidRPr="00B63BD5">
              <w:rPr>
                <w:lang w:val="fr-CA"/>
              </w:rPr>
              <w:t>i)</w:t>
            </w:r>
            <w:r w:rsidRPr="00B63BD5">
              <w:rPr>
                <w:lang w:val="fr-CA"/>
              </w:rPr>
              <w:t> </w:t>
            </w:r>
            <w:r w:rsidR="00695BF8" w:rsidRPr="00B63BD5">
              <w:rPr>
                <w:lang w:val="fr-CA"/>
              </w:rPr>
              <w:t>la limite supérieure de la fourchette cible du taux d</w:t>
            </w:r>
            <w:r w:rsidR="00564B0C" w:rsidRPr="00B63BD5">
              <w:rPr>
                <w:lang w:val="fr-CA"/>
              </w:rPr>
              <w:t>’</w:t>
            </w:r>
            <w:r w:rsidR="00695BF8" w:rsidRPr="00B63BD5">
              <w:rPr>
                <w:lang w:val="fr-CA"/>
              </w:rPr>
              <w:t xml:space="preserve">intérêt à court terme établie par le Federal Open Market Committee des États-Unis et publiée par la Federal Reserve Bank de New York; et </w:t>
            </w:r>
            <w:r w:rsidR="00D33630" w:rsidRPr="00B63BD5">
              <w:rPr>
                <w:lang w:val="fr-CA"/>
              </w:rPr>
              <w:t>(</w:t>
            </w:r>
            <w:r w:rsidR="00695BF8" w:rsidRPr="00B63BD5">
              <w:rPr>
                <w:lang w:val="fr-CA"/>
              </w:rPr>
              <w:t>ii)</w:t>
            </w:r>
            <w:r w:rsidRPr="00B63BD5">
              <w:rPr>
                <w:lang w:val="fr-CA"/>
              </w:rPr>
              <w:t> </w:t>
            </w:r>
            <w:r w:rsidR="00695BF8" w:rsidRPr="00B63BD5">
              <w:rPr>
                <w:lang w:val="fr-CA"/>
              </w:rPr>
              <w:t>la limite inférieure de cette fourchette cible, à</w:t>
            </w:r>
            <w:r w:rsidR="00952856" w:rsidRPr="00B63BD5">
              <w:rPr>
                <w:lang w:val="fr-CA"/>
              </w:rPr>
              <w:t> </w:t>
            </w:r>
            <w:r w:rsidR="00695BF8" w:rsidRPr="00B63BD5">
              <w:rPr>
                <w:lang w:val="fr-CA"/>
              </w:rPr>
              <w:t xml:space="preserve">condition que toute référence à un taux de la banque centrale comprenne le taux de remplacement de ce taux. </w:t>
            </w:r>
          </w:p>
        </w:tc>
      </w:tr>
      <w:tr w:rsidR="00695BF8" w:rsidRPr="002C047F" w14:paraId="5C0728A0" w14:textId="77777777" w:rsidTr="005D0484">
        <w:tc>
          <w:tcPr>
            <w:tcW w:w="2829" w:type="dxa"/>
          </w:tcPr>
          <w:p w14:paraId="20332AEB" w14:textId="77777777" w:rsidR="00695BF8" w:rsidRPr="00B63BD5" w:rsidRDefault="00695BF8" w:rsidP="00632863">
            <w:pPr>
              <w:tabs>
                <w:tab w:val="num" w:pos="360"/>
                <w:tab w:val="left" w:pos="2268"/>
              </w:tabs>
              <w:spacing w:after="240"/>
              <w:contextualSpacing/>
              <w:rPr>
                <w:lang w:val="fr-CA"/>
              </w:rPr>
            </w:pPr>
            <w:r w:rsidRPr="00B63BD5">
              <w:rPr>
                <w:b/>
                <w:lang w:val="fr-CA"/>
              </w:rPr>
              <w:t>Rajustement du taux de la banque centrale</w:t>
            </w:r>
          </w:p>
        </w:tc>
        <w:tc>
          <w:tcPr>
            <w:tcW w:w="6925" w:type="dxa"/>
          </w:tcPr>
          <w:p w14:paraId="66024C9D" w14:textId="3021145E" w:rsidR="00695BF8" w:rsidRPr="00B63BD5" w:rsidRDefault="00166FF1" w:rsidP="00632863">
            <w:pPr>
              <w:spacing w:after="240"/>
              <w:contextualSpacing/>
              <w:jc w:val="both"/>
              <w:rPr>
                <w:lang w:val="fr-CA"/>
              </w:rPr>
            </w:pPr>
            <w:r w:rsidRPr="00B63BD5">
              <w:rPr>
                <w:spacing w:val="-2"/>
                <w:lang w:val="fr-CA"/>
              </w:rPr>
              <w:t>D</w:t>
            </w:r>
            <w:r w:rsidR="00695BF8" w:rsidRPr="00B63BD5">
              <w:rPr>
                <w:spacing w:val="-2"/>
                <w:lang w:val="fr-CA"/>
              </w:rPr>
              <w:t>ésigne, en ce qui concerne un Jour ouvrable de publication du taux SOFR,</w:t>
            </w:r>
            <w:r w:rsidR="00695BF8" w:rsidRPr="00B63BD5">
              <w:rPr>
                <w:lang w:val="fr-CA"/>
              </w:rPr>
              <w:t xml:space="preserve"> la moyenne des écarts (exprimée en pourcentage par année), pour les cinq</w:t>
            </w:r>
            <w:r w:rsidRPr="00B63BD5">
              <w:rPr>
                <w:lang w:val="fr-CA"/>
              </w:rPr>
              <w:t> </w:t>
            </w:r>
            <w:r w:rsidR="00695BF8" w:rsidRPr="00B63BD5">
              <w:rPr>
                <w:lang w:val="fr-CA"/>
              </w:rPr>
              <w:t>(5)</w:t>
            </w:r>
            <w:r w:rsidR="00AC4107" w:rsidRPr="00B63BD5">
              <w:rPr>
                <w:lang w:val="fr-CA"/>
              </w:rPr>
              <w:t xml:space="preserve"> </w:t>
            </w:r>
            <w:r w:rsidR="00695BF8" w:rsidRPr="00B63BD5">
              <w:rPr>
                <w:lang w:val="fr-CA"/>
              </w:rPr>
              <w:t>Jours ouvrables de publication du taux SOFR précédents pour lesquels le Taux SOFR à terme affiché a été publié, entre</w:t>
            </w:r>
            <w:r w:rsidR="00AC4107" w:rsidRPr="00B63BD5">
              <w:rPr>
                <w:lang w:val="fr-CA"/>
              </w:rPr>
              <w:t xml:space="preserve"> </w:t>
            </w:r>
            <w:r w:rsidR="00695BF8" w:rsidRPr="00B63BD5">
              <w:rPr>
                <w:lang w:val="fr-CA"/>
              </w:rPr>
              <w:t>:</w:t>
            </w:r>
            <w:r w:rsidR="00AC4107" w:rsidRPr="00B63BD5">
              <w:rPr>
                <w:lang w:val="fr-CA"/>
              </w:rPr>
              <w:t xml:space="preserve"> </w:t>
            </w:r>
          </w:p>
          <w:p w14:paraId="602C59E4" w14:textId="2536664C" w:rsidR="00695BF8" w:rsidRPr="000B7739" w:rsidRDefault="00695BF8" w:rsidP="000C4154">
            <w:pPr>
              <w:pStyle w:val="04LOLglNew3"/>
              <w:numPr>
                <w:ilvl w:val="2"/>
                <w:numId w:val="54"/>
              </w:numPr>
              <w:rPr>
                <w:lang w:val="fr-CA"/>
              </w:rPr>
            </w:pPr>
            <w:r w:rsidRPr="000B7739">
              <w:rPr>
                <w:lang w:val="fr-CA"/>
              </w:rPr>
              <w:t>le Taux SOFR à terme affiché pour la Période SOFR en question ou</w:t>
            </w:r>
            <w:r w:rsidR="00166FF1" w:rsidRPr="000B7739">
              <w:rPr>
                <w:lang w:val="fr-CA"/>
              </w:rPr>
              <w:t xml:space="preserve"> </w:t>
            </w:r>
            <w:r w:rsidRPr="000B7739">
              <w:rPr>
                <w:lang w:val="fr-CA"/>
              </w:rPr>
              <w:t>la période d</w:t>
            </w:r>
            <w:r w:rsidR="00564B0C" w:rsidRPr="000B7739">
              <w:rPr>
                <w:lang w:val="fr-CA"/>
              </w:rPr>
              <w:t>’</w:t>
            </w:r>
            <w:r w:rsidRPr="000B7739">
              <w:rPr>
                <w:lang w:val="fr-CA"/>
              </w:rPr>
              <w:t>escompte le Jour ouvrable de publication du</w:t>
            </w:r>
            <w:r w:rsidR="00166FF1" w:rsidRPr="000B7739">
              <w:rPr>
                <w:lang w:val="fr-CA"/>
              </w:rPr>
              <w:t xml:space="preserve"> </w:t>
            </w:r>
            <w:r w:rsidRPr="000B7739">
              <w:rPr>
                <w:lang w:val="fr-CA"/>
              </w:rPr>
              <w:t>taux</w:t>
            </w:r>
            <w:r w:rsidR="00952856" w:rsidRPr="000B7739">
              <w:rPr>
                <w:lang w:val="fr-CA"/>
              </w:rPr>
              <w:t> </w:t>
            </w:r>
            <w:r w:rsidRPr="000B7739">
              <w:rPr>
                <w:lang w:val="fr-CA"/>
              </w:rPr>
              <w:t>SOFR;</w:t>
            </w:r>
          </w:p>
          <w:p w14:paraId="222AFAC7" w14:textId="77777777" w:rsidR="00695BF8" w:rsidRPr="000B7739" w:rsidRDefault="00695BF8" w:rsidP="000C4154">
            <w:pPr>
              <w:pStyle w:val="04LOLglNew3"/>
              <w:numPr>
                <w:ilvl w:val="2"/>
                <w:numId w:val="54"/>
              </w:numPr>
              <w:rPr>
                <w:lang w:val="fr-CA"/>
              </w:rPr>
            </w:pPr>
            <w:r w:rsidRPr="000B7739">
              <w:rPr>
                <w:lang w:val="fr-CA"/>
              </w:rPr>
              <w:t>le Taux de la banque centrale en vigueur à la fermeture des bureaux pour ce Jour ouvrable de publication du taux SOFR;</w:t>
            </w:r>
          </w:p>
          <w:p w14:paraId="61AA4432" w14:textId="501EF483" w:rsidR="00695BF8" w:rsidRPr="00B63BD5" w:rsidRDefault="00695BF8" w:rsidP="00632863">
            <w:pPr>
              <w:spacing w:after="240"/>
              <w:contextualSpacing/>
              <w:jc w:val="both"/>
              <w:rPr>
                <w:lang w:val="fr-CA"/>
              </w:rPr>
            </w:pPr>
            <w:r w:rsidRPr="00B63BD5">
              <w:rPr>
                <w:lang w:val="fr-CA"/>
              </w:rPr>
              <w:t>dans chacun des cas, selon le calcul établi par la Banque, à l</w:t>
            </w:r>
            <w:r w:rsidR="00564B0C" w:rsidRPr="00B63BD5">
              <w:rPr>
                <w:lang w:val="fr-CA"/>
              </w:rPr>
              <w:t>’</w:t>
            </w:r>
            <w:r w:rsidRPr="00B63BD5">
              <w:rPr>
                <w:lang w:val="fr-CA"/>
              </w:rPr>
              <w:t>exclusion de</w:t>
            </w:r>
            <w:r w:rsidR="00952856" w:rsidRPr="00B63BD5">
              <w:rPr>
                <w:lang w:val="fr-CA"/>
              </w:rPr>
              <w:t> </w:t>
            </w:r>
            <w:r w:rsidRPr="00B63BD5">
              <w:rPr>
                <w:lang w:val="fr-CA"/>
              </w:rPr>
              <w:t>la</w:t>
            </w:r>
            <w:r w:rsidR="00166FF1" w:rsidRPr="00B63BD5">
              <w:rPr>
                <w:lang w:val="fr-CA"/>
              </w:rPr>
              <w:t xml:space="preserve"> </w:t>
            </w:r>
            <w:r w:rsidRPr="00B63BD5">
              <w:rPr>
                <w:lang w:val="fr-CA"/>
              </w:rPr>
              <w:t>valeur la plus élevée (et, s</w:t>
            </w:r>
            <w:r w:rsidR="00564B0C" w:rsidRPr="00B63BD5">
              <w:rPr>
                <w:lang w:val="fr-CA"/>
              </w:rPr>
              <w:t>’</w:t>
            </w:r>
            <w:r w:rsidRPr="00B63BD5">
              <w:rPr>
                <w:lang w:val="fr-CA"/>
              </w:rPr>
              <w:t>il y a plus d</w:t>
            </w:r>
            <w:r w:rsidR="00564B0C" w:rsidRPr="00B63BD5">
              <w:rPr>
                <w:lang w:val="fr-CA"/>
              </w:rPr>
              <w:t>’</w:t>
            </w:r>
            <w:r w:rsidRPr="00B63BD5">
              <w:rPr>
                <w:lang w:val="fr-CA"/>
              </w:rPr>
              <w:t>une valeur la plus élevée, une</w:t>
            </w:r>
            <w:r w:rsidR="00952856" w:rsidRPr="00B63BD5">
              <w:rPr>
                <w:lang w:val="fr-CA"/>
              </w:rPr>
              <w:t> </w:t>
            </w:r>
            <w:r w:rsidRPr="00B63BD5">
              <w:rPr>
                <w:lang w:val="fr-CA"/>
              </w:rPr>
              <w:t>seule de ces valeurs) et de la valeur la plus faible (ou, s</w:t>
            </w:r>
            <w:r w:rsidR="00564B0C" w:rsidRPr="00B63BD5">
              <w:rPr>
                <w:lang w:val="fr-CA"/>
              </w:rPr>
              <w:t>’</w:t>
            </w:r>
            <w:r w:rsidRPr="00B63BD5">
              <w:rPr>
                <w:lang w:val="fr-CA"/>
              </w:rPr>
              <w:t>il y a plus d</w:t>
            </w:r>
            <w:r w:rsidR="00564B0C" w:rsidRPr="00B63BD5">
              <w:rPr>
                <w:lang w:val="fr-CA"/>
              </w:rPr>
              <w:t>’</w:t>
            </w:r>
            <w:r w:rsidRPr="00B63BD5">
              <w:rPr>
                <w:lang w:val="fr-CA"/>
              </w:rPr>
              <w:t>une</w:t>
            </w:r>
            <w:r w:rsidR="001D63F8" w:rsidRPr="00B63BD5">
              <w:rPr>
                <w:lang w:val="fr-CA"/>
              </w:rPr>
              <w:t> </w:t>
            </w:r>
            <w:r w:rsidRPr="00B63BD5">
              <w:rPr>
                <w:lang w:val="fr-CA"/>
              </w:rPr>
              <w:t>valeur la plus faible, une seule de ces valeurs).</w:t>
            </w:r>
          </w:p>
        </w:tc>
      </w:tr>
      <w:tr w:rsidR="00695BF8" w:rsidRPr="002C047F" w14:paraId="7CCED41F" w14:textId="77777777" w:rsidTr="005D0484">
        <w:tc>
          <w:tcPr>
            <w:tcW w:w="2829" w:type="dxa"/>
            <w:shd w:val="clear" w:color="auto" w:fill="FFFFFF" w:themeFill="background1"/>
          </w:tcPr>
          <w:p w14:paraId="19AE62A3" w14:textId="7D0B8B01" w:rsidR="00695BF8" w:rsidRPr="00B63BD5" w:rsidRDefault="00695BF8" w:rsidP="00632863">
            <w:pPr>
              <w:tabs>
                <w:tab w:val="num" w:pos="360"/>
                <w:tab w:val="left" w:pos="2268"/>
              </w:tabs>
              <w:spacing w:after="240"/>
              <w:contextualSpacing/>
              <w:rPr>
                <w:lang w:val="fr-CA"/>
              </w:rPr>
            </w:pPr>
            <w:r w:rsidRPr="00B63BD5">
              <w:rPr>
                <w:b/>
                <w:color w:val="231F20"/>
                <w:lang w:val="fr-CA"/>
              </w:rPr>
              <w:t>Taux de référence SOFR à</w:t>
            </w:r>
            <w:r w:rsidR="00952856" w:rsidRPr="00B63BD5">
              <w:rPr>
                <w:b/>
                <w:color w:val="231F20"/>
                <w:lang w:val="fr-CA"/>
              </w:rPr>
              <w:t> </w:t>
            </w:r>
            <w:r w:rsidRPr="00B63BD5">
              <w:rPr>
                <w:b/>
                <w:color w:val="231F20"/>
                <w:lang w:val="fr-CA"/>
              </w:rPr>
              <w:t>terme</w:t>
            </w:r>
          </w:p>
        </w:tc>
        <w:tc>
          <w:tcPr>
            <w:tcW w:w="6925" w:type="dxa"/>
            <w:shd w:val="clear" w:color="auto" w:fill="FFFFFF" w:themeFill="background1"/>
          </w:tcPr>
          <w:p w14:paraId="520AB8E4" w14:textId="0E37CDA5" w:rsidR="00695BF8" w:rsidRPr="00B63BD5" w:rsidRDefault="00166FF1" w:rsidP="00632863">
            <w:pPr>
              <w:spacing w:after="240"/>
              <w:jc w:val="both"/>
              <w:rPr>
                <w:lang w:val="fr-CA"/>
              </w:rPr>
            </w:pPr>
            <w:r w:rsidRPr="00B63BD5">
              <w:rPr>
                <w:lang w:val="fr-CA"/>
              </w:rPr>
              <w:t>D</w:t>
            </w:r>
            <w:r w:rsidR="00695BF8" w:rsidRPr="00B63BD5">
              <w:rPr>
                <w:lang w:val="fr-CA"/>
              </w:rPr>
              <w:t>ésigne</w:t>
            </w:r>
            <w:r w:rsidR="00AC4107" w:rsidRPr="00B63BD5">
              <w:rPr>
                <w:lang w:val="fr-CA"/>
              </w:rPr>
              <w:t xml:space="preserve"> </w:t>
            </w:r>
            <w:r w:rsidR="00695BF8" w:rsidRPr="00B63BD5">
              <w:rPr>
                <w:lang w:val="fr-CA"/>
              </w:rPr>
              <w:t xml:space="preserve">: </w:t>
            </w:r>
          </w:p>
          <w:p w14:paraId="148AE179" w14:textId="34C7C039" w:rsidR="00695BF8" w:rsidRPr="000B7739" w:rsidRDefault="00695BF8" w:rsidP="000C4154">
            <w:pPr>
              <w:pStyle w:val="04LOLglNew3"/>
              <w:numPr>
                <w:ilvl w:val="2"/>
                <w:numId w:val="55"/>
              </w:numPr>
              <w:rPr>
                <w:lang w:val="fr-CA"/>
              </w:rPr>
            </w:pPr>
            <w:r w:rsidRPr="000B7739">
              <w:rPr>
                <w:lang w:val="fr-CA"/>
              </w:rPr>
              <w:lastRenderedPageBreak/>
              <w:t>le Taux SOFR à terme affiché deux Jours ouvrables de publication du taux SOFR avant le premier jour de la Période SOFR ou</w:t>
            </w:r>
            <w:r w:rsidR="00166FF1" w:rsidRPr="000B7739">
              <w:rPr>
                <w:lang w:val="fr-CA"/>
              </w:rPr>
              <w:t xml:space="preserve"> </w:t>
            </w:r>
            <w:r w:rsidRPr="000B7739">
              <w:rPr>
                <w:lang w:val="fr-CA"/>
              </w:rPr>
              <w:t>de</w:t>
            </w:r>
            <w:r w:rsidR="00166FF1" w:rsidRPr="000B7739">
              <w:rPr>
                <w:lang w:val="fr-CA"/>
              </w:rPr>
              <w:t xml:space="preserve"> </w:t>
            </w:r>
            <w:r w:rsidRPr="000B7739">
              <w:rPr>
                <w:lang w:val="fr-CA"/>
              </w:rPr>
              <w:t>la</w:t>
            </w:r>
            <w:r w:rsidR="00166FF1" w:rsidRPr="000B7739">
              <w:rPr>
                <w:lang w:val="fr-CA"/>
              </w:rPr>
              <w:t xml:space="preserve"> </w:t>
            </w:r>
            <w:r w:rsidRPr="000B7739">
              <w:rPr>
                <w:lang w:val="fr-CA"/>
              </w:rPr>
              <w:t>période d</w:t>
            </w:r>
            <w:r w:rsidR="00564B0C" w:rsidRPr="000B7739">
              <w:rPr>
                <w:lang w:val="fr-CA"/>
              </w:rPr>
              <w:t>’</w:t>
            </w:r>
            <w:r w:rsidRPr="000B7739">
              <w:rPr>
                <w:lang w:val="fr-CA"/>
              </w:rPr>
              <w:t>escompte en question; ou</w:t>
            </w:r>
          </w:p>
          <w:p w14:paraId="13BFCDB7" w14:textId="396AEE0B" w:rsidR="00695BF8" w:rsidRPr="000B7739" w:rsidRDefault="00695BF8" w:rsidP="000C4154">
            <w:pPr>
              <w:pStyle w:val="04LOLglNew3"/>
              <w:numPr>
                <w:ilvl w:val="2"/>
                <w:numId w:val="55"/>
              </w:numPr>
              <w:rPr>
                <w:lang w:val="fr-CA"/>
              </w:rPr>
            </w:pPr>
            <w:r w:rsidRPr="000B7739">
              <w:rPr>
                <w:lang w:val="fr-CA"/>
              </w:rPr>
              <w:t>si le Taux SOFR à terme affiché n</w:t>
            </w:r>
            <w:r w:rsidR="00564B0C" w:rsidRPr="000B7739">
              <w:rPr>
                <w:lang w:val="fr-CA"/>
              </w:rPr>
              <w:t>’</w:t>
            </w:r>
            <w:r w:rsidRPr="000B7739">
              <w:rPr>
                <w:lang w:val="fr-CA"/>
              </w:rPr>
              <w:t>est pas disponible ce</w:t>
            </w:r>
            <w:r w:rsidR="00166FF1" w:rsidRPr="000B7739">
              <w:rPr>
                <w:lang w:val="fr-CA"/>
              </w:rPr>
              <w:t xml:space="preserve"> </w:t>
            </w:r>
            <w:r w:rsidR="00B63BD5" w:rsidRPr="000B7739">
              <w:rPr>
                <w:lang w:val="fr-CA"/>
              </w:rPr>
              <w:t>jour-là</w:t>
            </w:r>
            <w:r w:rsidRPr="000B7739">
              <w:rPr>
                <w:lang w:val="fr-CA"/>
              </w:rPr>
              <w:t>,</w:t>
            </w:r>
            <w:r w:rsidR="00166FF1" w:rsidRPr="000B7739">
              <w:rPr>
                <w:lang w:val="fr-CA"/>
              </w:rPr>
              <w:t xml:space="preserve"> </w:t>
            </w:r>
            <w:r w:rsidRPr="000B7739">
              <w:rPr>
                <w:lang w:val="fr-CA"/>
              </w:rPr>
              <w:t>alors</w:t>
            </w:r>
            <w:r w:rsidR="008B6CE6" w:rsidRPr="000B7739">
              <w:rPr>
                <w:lang w:val="fr-CA"/>
              </w:rPr>
              <w:t xml:space="preserve"> : </w:t>
            </w:r>
          </w:p>
          <w:p w14:paraId="7FD09853" w14:textId="04FF1BBD" w:rsidR="00695BF8" w:rsidRPr="00B63BD5" w:rsidRDefault="00695BF8" w:rsidP="008B6CE6">
            <w:pPr>
              <w:pStyle w:val="04LOLglNew4"/>
              <w:rPr>
                <w:lang w:val="fr-CA"/>
              </w:rPr>
            </w:pPr>
            <w:r w:rsidRPr="00B63BD5">
              <w:rPr>
                <w:lang w:val="fr-CA"/>
              </w:rPr>
              <w:t>le plus récent Taux SOFR à terme affiché (dans</w:t>
            </w:r>
            <w:r w:rsidR="00D05B83" w:rsidRPr="00B63BD5">
              <w:rPr>
                <w:lang w:val="fr-CA"/>
              </w:rPr>
              <w:t xml:space="preserve"> </w:t>
            </w:r>
            <w:r w:rsidRPr="00B63BD5">
              <w:rPr>
                <w:lang w:val="fr-CA"/>
              </w:rPr>
              <w:t>la</w:t>
            </w:r>
            <w:r w:rsidR="00D05B83" w:rsidRPr="00B63BD5">
              <w:rPr>
                <w:lang w:val="fr-CA"/>
              </w:rPr>
              <w:t xml:space="preserve"> </w:t>
            </w:r>
            <w:r w:rsidRPr="00B63BD5">
              <w:rPr>
                <w:lang w:val="fr-CA"/>
              </w:rPr>
              <w:t>mesure où il existe) doit être utilisé à</w:t>
            </w:r>
            <w:r w:rsidR="00D05B83" w:rsidRPr="00B63BD5">
              <w:rPr>
                <w:lang w:val="fr-CA"/>
              </w:rPr>
              <w:t xml:space="preserve"> </w:t>
            </w:r>
            <w:r w:rsidRPr="00B63BD5">
              <w:rPr>
                <w:lang w:val="fr-CA"/>
              </w:rPr>
              <w:t>condition que le Taux SOFR à terme affiché ait été indisponible pendant moins de cinq</w:t>
            </w:r>
            <w:r w:rsidR="00D05B83" w:rsidRPr="00B63BD5">
              <w:rPr>
                <w:lang w:val="fr-CA"/>
              </w:rPr>
              <w:t> </w:t>
            </w:r>
            <w:r w:rsidRPr="00B63BD5">
              <w:rPr>
                <w:lang w:val="fr-CA"/>
              </w:rPr>
              <w:t>(5) Jours ouvrables de publication du taux SOFR consécutifs et qu</w:t>
            </w:r>
            <w:r w:rsidR="00564B0C" w:rsidRPr="00B63BD5">
              <w:rPr>
                <w:lang w:val="fr-CA"/>
              </w:rPr>
              <w:t>’</w:t>
            </w:r>
            <w:r w:rsidRPr="00B63BD5">
              <w:rPr>
                <w:lang w:val="fr-CA"/>
              </w:rPr>
              <w:t>aucun Taux de référence de remplacement du</w:t>
            </w:r>
            <w:r w:rsidR="00D05B83" w:rsidRPr="00B63BD5">
              <w:rPr>
                <w:lang w:val="fr-CA"/>
              </w:rPr>
              <w:t xml:space="preserve"> </w:t>
            </w:r>
            <w:r w:rsidRPr="00B63BD5">
              <w:rPr>
                <w:lang w:val="fr-CA"/>
              </w:rPr>
              <w:t>Taux SOFR à terme ne soit en vigueur;</w:t>
            </w:r>
          </w:p>
          <w:p w14:paraId="00709421" w14:textId="2665BE5B" w:rsidR="00695BF8" w:rsidRPr="00B63BD5" w:rsidRDefault="00D87305" w:rsidP="008B6CE6">
            <w:pPr>
              <w:pStyle w:val="04LOLglNew4"/>
              <w:rPr>
                <w:lang w:val="fr-CA"/>
              </w:rPr>
            </w:pPr>
            <w:r w:rsidRPr="00B63BD5">
              <w:rPr>
                <w:lang w:val="fr-CA"/>
              </w:rPr>
              <w:t>s</w:t>
            </w:r>
            <w:r w:rsidR="00695BF8" w:rsidRPr="00B63BD5">
              <w:rPr>
                <w:lang w:val="fr-CA"/>
              </w:rPr>
              <w:t>i un Taux de référence de remplacement du Taux SOFR à</w:t>
            </w:r>
            <w:r w:rsidR="004665AD" w:rsidRPr="00B63BD5">
              <w:rPr>
                <w:lang w:val="fr-CA"/>
              </w:rPr>
              <w:t> </w:t>
            </w:r>
            <w:r w:rsidR="00695BF8" w:rsidRPr="00B63BD5">
              <w:rPr>
                <w:lang w:val="fr-CA"/>
              </w:rPr>
              <w:t>terme est alors en vigueur, ce Taux de</w:t>
            </w:r>
            <w:r w:rsidR="00D05B83" w:rsidRPr="00B63BD5">
              <w:rPr>
                <w:lang w:val="fr-CA"/>
              </w:rPr>
              <w:t xml:space="preserve"> </w:t>
            </w:r>
            <w:r w:rsidR="00695BF8" w:rsidRPr="00B63BD5">
              <w:rPr>
                <w:lang w:val="fr-CA"/>
              </w:rPr>
              <w:t xml:space="preserve">référence de remplacement doit être utilisé; </w:t>
            </w:r>
          </w:p>
          <w:p w14:paraId="79EF5FB8" w14:textId="56BBDF63" w:rsidR="00695BF8" w:rsidRPr="00B63BD5" w:rsidRDefault="00D87305" w:rsidP="008B6CE6">
            <w:pPr>
              <w:pStyle w:val="04LOLglNew4"/>
              <w:rPr>
                <w:lang w:val="fr-CA"/>
              </w:rPr>
            </w:pPr>
            <w:r w:rsidRPr="00B63BD5">
              <w:rPr>
                <w:lang w:val="fr-CA"/>
              </w:rPr>
              <w:t>s</w:t>
            </w:r>
            <w:r w:rsidR="00695BF8" w:rsidRPr="00B63BD5">
              <w:rPr>
                <w:lang w:val="fr-CA"/>
              </w:rPr>
              <w:t>i le Taux SOFR à terme affiché est indisponible pendant plus de cinq</w:t>
            </w:r>
            <w:r w:rsidR="00D05B83" w:rsidRPr="00B63BD5">
              <w:rPr>
                <w:lang w:val="fr-CA"/>
              </w:rPr>
              <w:t> </w:t>
            </w:r>
            <w:r w:rsidR="00695BF8" w:rsidRPr="00B63BD5">
              <w:rPr>
                <w:lang w:val="fr-CA"/>
              </w:rPr>
              <w:t>(5) Jours ouvrables de</w:t>
            </w:r>
            <w:r w:rsidR="00D05B83" w:rsidRPr="00B63BD5">
              <w:rPr>
                <w:lang w:val="fr-CA"/>
              </w:rPr>
              <w:t xml:space="preserve"> </w:t>
            </w:r>
            <w:r w:rsidR="00695BF8" w:rsidRPr="00B63BD5">
              <w:rPr>
                <w:lang w:val="fr-CA"/>
              </w:rPr>
              <w:t>publication du taux SOFR consécutifs et</w:t>
            </w:r>
            <w:r w:rsidR="00D05B83" w:rsidRPr="00B63BD5">
              <w:rPr>
                <w:lang w:val="fr-CA"/>
              </w:rPr>
              <w:t xml:space="preserve"> </w:t>
            </w:r>
            <w:r w:rsidR="00695BF8" w:rsidRPr="00B63BD5">
              <w:rPr>
                <w:lang w:val="fr-CA"/>
              </w:rPr>
              <w:t>qu</w:t>
            </w:r>
            <w:r w:rsidR="00564B0C" w:rsidRPr="00B63BD5">
              <w:rPr>
                <w:lang w:val="fr-CA"/>
              </w:rPr>
              <w:t>’</w:t>
            </w:r>
            <w:r w:rsidR="00695BF8" w:rsidRPr="00B63BD5">
              <w:rPr>
                <w:lang w:val="fr-CA"/>
              </w:rPr>
              <w:t>aucun Taux de référence de remplacement du</w:t>
            </w:r>
            <w:r w:rsidR="00D05B83" w:rsidRPr="00B63BD5">
              <w:rPr>
                <w:lang w:val="fr-CA"/>
              </w:rPr>
              <w:t xml:space="preserve"> </w:t>
            </w:r>
            <w:r w:rsidR="00695BF8" w:rsidRPr="00B63BD5">
              <w:rPr>
                <w:lang w:val="fr-CA"/>
              </w:rPr>
              <w:t>Taux SOFR à terme n</w:t>
            </w:r>
            <w:r w:rsidR="00564B0C" w:rsidRPr="00B63BD5">
              <w:rPr>
                <w:lang w:val="fr-CA"/>
              </w:rPr>
              <w:t>’</w:t>
            </w:r>
            <w:r w:rsidR="00695BF8" w:rsidRPr="00B63BD5">
              <w:rPr>
                <w:lang w:val="fr-CA"/>
              </w:rPr>
              <w:t>est alors en vigueur, le</w:t>
            </w:r>
            <w:r w:rsidR="00D05B83" w:rsidRPr="00B63BD5">
              <w:rPr>
                <w:lang w:val="fr-CA"/>
              </w:rPr>
              <w:t xml:space="preserve"> </w:t>
            </w:r>
            <w:r w:rsidR="00695BF8" w:rsidRPr="00B63BD5">
              <w:rPr>
                <w:lang w:val="fr-CA"/>
              </w:rPr>
              <w:t>taux en pourcentage par année qui tient compte</w:t>
            </w:r>
            <w:r w:rsidR="00D05B83" w:rsidRPr="00B63BD5">
              <w:rPr>
                <w:lang w:val="fr-CA"/>
              </w:rPr>
              <w:t> </w:t>
            </w:r>
            <w:r w:rsidR="00695BF8" w:rsidRPr="00B63BD5">
              <w:rPr>
                <w:lang w:val="fr-CA"/>
              </w:rPr>
              <w:t>:</w:t>
            </w:r>
          </w:p>
          <w:p w14:paraId="6F381CB7" w14:textId="63A9EDE7" w:rsidR="00695BF8" w:rsidRPr="00B63BD5" w:rsidRDefault="00695BF8" w:rsidP="008B6CE6">
            <w:pPr>
              <w:pStyle w:val="04LOLglNew5"/>
              <w:rPr>
                <w:lang w:val="fr-CA"/>
              </w:rPr>
            </w:pPr>
            <w:r w:rsidRPr="00B63BD5">
              <w:rPr>
                <w:lang w:val="fr-CA"/>
              </w:rPr>
              <w:t>du Taux de la banque centrale américaine en vigueur le</w:t>
            </w:r>
            <w:r w:rsidR="004665AD" w:rsidRPr="00B63BD5">
              <w:rPr>
                <w:lang w:val="fr-CA"/>
              </w:rPr>
              <w:t> </w:t>
            </w:r>
            <w:r w:rsidRPr="00B63BD5">
              <w:rPr>
                <w:lang w:val="fr-CA"/>
              </w:rPr>
              <w:t>premier jour de la Période SOFR ou de la période d</w:t>
            </w:r>
            <w:r w:rsidR="00564B0C" w:rsidRPr="00B63BD5">
              <w:rPr>
                <w:lang w:val="fr-CA"/>
              </w:rPr>
              <w:t>’</w:t>
            </w:r>
            <w:r w:rsidRPr="00B63BD5">
              <w:rPr>
                <w:lang w:val="fr-CA"/>
              </w:rPr>
              <w:t>escompte, comme déterminé par la Banque; et</w:t>
            </w:r>
          </w:p>
          <w:p w14:paraId="56B27C0F" w14:textId="77777777" w:rsidR="00695BF8" w:rsidRPr="00B63BD5" w:rsidRDefault="00695BF8" w:rsidP="008B6CE6">
            <w:pPr>
              <w:pStyle w:val="04LOLglNew5"/>
              <w:rPr>
                <w:lang w:val="fr-CA"/>
              </w:rPr>
            </w:pPr>
            <w:r w:rsidRPr="00B63BD5">
              <w:rPr>
                <w:lang w:val="fr-CA"/>
              </w:rPr>
              <w:t>du Rajustement du taux de la banque centrale applicable,</w:t>
            </w:r>
          </w:p>
          <w:p w14:paraId="184E34BA" w14:textId="10FA172F" w:rsidR="00695BF8" w:rsidRPr="00B63BD5" w:rsidRDefault="00695BF8" w:rsidP="00632863">
            <w:pPr>
              <w:spacing w:after="240"/>
              <w:ind w:left="720"/>
              <w:jc w:val="both"/>
              <w:rPr>
                <w:lang w:val="fr-CA"/>
              </w:rPr>
            </w:pPr>
            <w:r w:rsidRPr="00B63BD5">
              <w:rPr>
                <w:lang w:val="fr-CA"/>
              </w:rPr>
              <w:t>(arrondi au besoin à cinq décimales, 0,000</w:t>
            </w:r>
            <w:r w:rsidR="002B6180" w:rsidRPr="00B63BD5">
              <w:rPr>
                <w:lang w:val="fr-CA"/>
              </w:rPr>
              <w:t> </w:t>
            </w:r>
            <w:r w:rsidRPr="00B63BD5">
              <w:rPr>
                <w:lang w:val="fr-CA"/>
              </w:rPr>
              <w:t>005 étant arrondi</w:t>
            </w:r>
            <w:r w:rsidR="004665AD" w:rsidRPr="00B63BD5">
              <w:rPr>
                <w:lang w:val="fr-CA"/>
              </w:rPr>
              <w:br/>
            </w:r>
            <w:r w:rsidRPr="00B63BD5">
              <w:rPr>
                <w:lang w:val="fr-CA"/>
              </w:rPr>
              <w:t xml:space="preserve">à la hausse), </w:t>
            </w:r>
          </w:p>
          <w:p w14:paraId="383C4FD1" w14:textId="7F6BCCCE" w:rsidR="00695BF8" w:rsidRPr="00B63BD5" w:rsidRDefault="00695BF8" w:rsidP="00632863">
            <w:pPr>
              <w:spacing w:after="240"/>
              <w:jc w:val="both"/>
              <w:rPr>
                <w:lang w:val="fr-CA"/>
              </w:rPr>
            </w:pPr>
            <w:r w:rsidRPr="00B63BD5">
              <w:rPr>
                <w:spacing w:val="-2"/>
                <w:lang w:val="fr-CA"/>
              </w:rPr>
              <w:t>et si, dans chacun des cas, le total de ce taux est inférieur à zéro, le Taux</w:t>
            </w:r>
            <w:r w:rsidR="004665AD" w:rsidRPr="00B63BD5">
              <w:rPr>
                <w:spacing w:val="-2"/>
                <w:lang w:val="fr-CA"/>
              </w:rPr>
              <w:t> </w:t>
            </w:r>
            <w:r w:rsidRPr="00B63BD5">
              <w:rPr>
                <w:spacing w:val="-2"/>
                <w:lang w:val="fr-CA"/>
              </w:rPr>
              <w:t>d</w:t>
            </w:r>
            <w:r w:rsidRPr="00B63BD5">
              <w:rPr>
                <w:lang w:val="fr-CA"/>
              </w:rPr>
              <w:t>e</w:t>
            </w:r>
            <w:r w:rsidR="00D05B83" w:rsidRPr="00B63BD5">
              <w:rPr>
                <w:lang w:val="fr-CA"/>
              </w:rPr>
              <w:t xml:space="preserve"> </w:t>
            </w:r>
            <w:r w:rsidRPr="00B63BD5">
              <w:rPr>
                <w:lang w:val="fr-CA"/>
              </w:rPr>
              <w:t>référence SOFR à terme est réputé être égal à zéro.</w:t>
            </w:r>
          </w:p>
        </w:tc>
      </w:tr>
    </w:tbl>
    <w:p w14:paraId="25ACA93E" w14:textId="77777777" w:rsidR="00695BF8" w:rsidRPr="00B63BD5" w:rsidRDefault="00695BF8" w:rsidP="00632863">
      <w:pPr>
        <w:spacing w:after="240"/>
        <w:jc w:val="both"/>
        <w:rPr>
          <w:b/>
          <w:color w:val="00B0F0"/>
          <w:lang w:val="fr-CA"/>
        </w:rPr>
      </w:pPr>
    </w:p>
    <w:p w14:paraId="6BE56C4A" w14:textId="77777777" w:rsidR="00695BF8" w:rsidRPr="00B63BD5" w:rsidRDefault="00695BF8" w:rsidP="00632863">
      <w:pPr>
        <w:spacing w:after="240" w:line="259" w:lineRule="auto"/>
        <w:jc w:val="both"/>
        <w:rPr>
          <w:rFonts w:eastAsia="STZhongsong"/>
          <w:kern w:val="28"/>
          <w:lang w:val="fr-CA"/>
        </w:rPr>
      </w:pPr>
      <w:r w:rsidRPr="00B63BD5">
        <w:rPr>
          <w:lang w:val="fr-CA"/>
        </w:rPr>
        <w:br w:type="page"/>
      </w:r>
    </w:p>
    <w:p w14:paraId="5B7838A2" w14:textId="39ECE6C0" w:rsidR="00695BF8" w:rsidRPr="00B63BD5" w:rsidRDefault="00695BF8" w:rsidP="00632863">
      <w:pPr>
        <w:spacing w:after="240"/>
        <w:jc w:val="center"/>
        <w:rPr>
          <w:b/>
          <w:color w:val="00B0F0"/>
          <w:lang w:val="fr-CA"/>
        </w:rPr>
      </w:pPr>
      <w:r w:rsidRPr="00B63BD5">
        <w:rPr>
          <w:b/>
          <w:u w:val="single"/>
          <w:lang w:val="fr-CA"/>
        </w:rPr>
        <w:lastRenderedPageBreak/>
        <w:t>ANNEXE RELATIVE AUX PRÊTS AU TAUX SONIA</w:t>
      </w:r>
    </w:p>
    <w:p w14:paraId="58FCC37C" w14:textId="77777777" w:rsidR="00695BF8" w:rsidRPr="00B63BD5" w:rsidRDefault="00695BF8" w:rsidP="004E4DF9">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color w:val="00B0F0"/>
          <w:lang w:val="fr-CA"/>
        </w:rPr>
      </w:pPr>
      <w:r w:rsidRPr="00B63BD5">
        <w:rPr>
          <w:b/>
          <w:lang w:val="fr-CA"/>
        </w:rPr>
        <w:t>À LA LETTRE RELATIVE AUX FACILITÉS</w:t>
      </w:r>
    </w:p>
    <w:p w14:paraId="73E4473B" w14:textId="77777777" w:rsidR="00695BF8" w:rsidRPr="00B63BD5" w:rsidRDefault="00695BF8" w:rsidP="004E4DF9">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color w:val="00B0F0"/>
          <w:lang w:val="fr-CA"/>
        </w:rPr>
      </w:pPr>
      <w:r w:rsidRPr="00B63BD5">
        <w:rPr>
          <w:b/>
          <w:lang w:val="fr-CA"/>
        </w:rPr>
        <w:t>CONSENTIES PAR LA BANQUE HSBC CANADA</w:t>
      </w:r>
    </w:p>
    <w:p w14:paraId="178DA4D0" w14:textId="06A754EA" w:rsidR="00695BF8" w:rsidRPr="00B63BD5" w:rsidRDefault="00695BF8" w:rsidP="004E4DF9">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color w:val="00B0F0"/>
          <w:lang w:val="fr-CA"/>
        </w:rPr>
      </w:pPr>
      <w:r w:rsidRPr="00B63BD5">
        <w:rPr>
          <w:b/>
          <w:lang w:val="fr-CA"/>
        </w:rPr>
        <w:t>À [L</w:t>
      </w:r>
      <w:r w:rsidR="00564B0C" w:rsidRPr="00B63BD5">
        <w:rPr>
          <w:b/>
          <w:lang w:val="fr-CA"/>
        </w:rPr>
        <w:t>’</w:t>
      </w:r>
      <w:r w:rsidRPr="00B63BD5">
        <w:rPr>
          <w:b/>
          <w:lang w:val="fr-CA"/>
        </w:rPr>
        <w:t xml:space="preserve">EMPRUNTEUR UNIQUE </w:t>
      </w:r>
      <w:r w:rsidRPr="00B63BD5">
        <w:rPr>
          <w:b/>
          <w:color w:val="00B0F0"/>
          <w:highlight w:val="yellow"/>
          <w:lang w:val="fr-CA"/>
        </w:rPr>
        <w:t>OU</w:t>
      </w:r>
      <w:r w:rsidRPr="00B63BD5">
        <w:rPr>
          <w:b/>
          <w:color w:val="00B0F0"/>
          <w:lang w:val="fr-CA"/>
        </w:rPr>
        <w:t xml:space="preserve"> </w:t>
      </w:r>
      <w:r w:rsidRPr="00B63BD5">
        <w:rPr>
          <w:b/>
          <w:lang w:val="fr-CA"/>
        </w:rPr>
        <w:t>L</w:t>
      </w:r>
      <w:r w:rsidR="00564B0C" w:rsidRPr="00B63BD5">
        <w:rPr>
          <w:b/>
          <w:lang w:val="fr-CA"/>
        </w:rPr>
        <w:t>’</w:t>
      </w:r>
      <w:r w:rsidRPr="00B63BD5">
        <w:rPr>
          <w:b/>
          <w:lang w:val="fr-CA"/>
        </w:rPr>
        <w:t>EMPRUNTEUR PRINCIPAL ET À D</w:t>
      </w:r>
      <w:r w:rsidR="00564B0C" w:rsidRPr="00B63BD5">
        <w:rPr>
          <w:b/>
          <w:lang w:val="fr-CA"/>
        </w:rPr>
        <w:t>’</w:t>
      </w:r>
      <w:r w:rsidRPr="00B63BD5">
        <w:rPr>
          <w:b/>
          <w:lang w:val="fr-CA"/>
        </w:rPr>
        <w:t>AUTRES PERSONNES]</w:t>
      </w:r>
    </w:p>
    <w:p w14:paraId="2FF87523" w14:textId="77777777" w:rsidR="00695BF8" w:rsidRPr="00B63BD5" w:rsidRDefault="00695BF8" w:rsidP="004E4DF9">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color w:val="00B0F0"/>
          <w:lang w:val="fr-CA"/>
        </w:rPr>
      </w:pPr>
      <w:r w:rsidRPr="00B63BD5">
        <w:rPr>
          <w:b/>
          <w:lang w:val="fr-CA"/>
        </w:rPr>
        <w:t xml:space="preserve">DATÉE DU </w:t>
      </w:r>
      <w:r w:rsidRPr="00B63BD5">
        <w:rPr>
          <w:rStyle w:val="Prompt"/>
          <w:lang w:val="fr-CA"/>
        </w:rPr>
        <w:sym w:font="Wingdings" w:char="F06C"/>
      </w:r>
    </w:p>
    <w:tbl>
      <w:tblPr>
        <w:tblStyle w:val="TableGrid"/>
        <w:tblW w:w="0" w:type="auto"/>
        <w:tblLook w:val="04A0" w:firstRow="1" w:lastRow="0" w:firstColumn="1" w:lastColumn="0" w:noHBand="0" w:noVBand="1"/>
      </w:tblPr>
      <w:tblGrid>
        <w:gridCol w:w="2829"/>
        <w:gridCol w:w="6793"/>
      </w:tblGrid>
      <w:tr w:rsidR="00695BF8" w:rsidRPr="002C047F" w14:paraId="7A2FB851" w14:textId="77777777" w:rsidTr="00F174D9">
        <w:tc>
          <w:tcPr>
            <w:tcW w:w="2829" w:type="dxa"/>
          </w:tcPr>
          <w:p w14:paraId="057E107A" w14:textId="52BEFBB9" w:rsidR="00695BF8" w:rsidRPr="00B63BD5" w:rsidRDefault="00695BF8" w:rsidP="00632863">
            <w:pPr>
              <w:spacing w:after="240"/>
              <w:rPr>
                <w:b/>
                <w:lang w:val="fr-CA"/>
              </w:rPr>
            </w:pPr>
            <w:r w:rsidRPr="00B63BD5">
              <w:rPr>
                <w:b/>
                <w:lang w:val="fr-CA"/>
              </w:rPr>
              <w:t>Taux de référence SONIA</w:t>
            </w:r>
            <w:r w:rsidR="004665AD" w:rsidRPr="00B63BD5">
              <w:rPr>
                <w:b/>
                <w:lang w:val="fr-CA"/>
              </w:rPr>
              <w:t> </w:t>
            </w:r>
            <w:r w:rsidRPr="00B63BD5">
              <w:rPr>
                <w:b/>
                <w:lang w:val="fr-CA"/>
              </w:rPr>
              <w:t>simple</w:t>
            </w:r>
          </w:p>
        </w:tc>
        <w:tc>
          <w:tcPr>
            <w:tcW w:w="6793" w:type="dxa"/>
          </w:tcPr>
          <w:p w14:paraId="504ACE32" w14:textId="17D9F544" w:rsidR="00695BF8" w:rsidRPr="00B63BD5" w:rsidRDefault="00F174D9" w:rsidP="00632863">
            <w:pPr>
              <w:spacing w:after="240"/>
              <w:jc w:val="both"/>
              <w:rPr>
                <w:lang w:val="fr-CA"/>
              </w:rPr>
            </w:pPr>
            <w:r w:rsidRPr="00B63BD5">
              <w:rPr>
                <w:lang w:val="fr-CA"/>
              </w:rPr>
              <w:t>D</w:t>
            </w:r>
            <w:r w:rsidR="00695BF8" w:rsidRPr="00B63BD5">
              <w:rPr>
                <w:lang w:val="fr-CA"/>
              </w:rPr>
              <w:t>ésigne, pour chaque jour d</w:t>
            </w:r>
            <w:r w:rsidR="00564B0C" w:rsidRPr="00B63BD5">
              <w:rPr>
                <w:lang w:val="fr-CA"/>
              </w:rPr>
              <w:t>’</w:t>
            </w:r>
            <w:r w:rsidR="00695BF8" w:rsidRPr="00B63BD5">
              <w:rPr>
                <w:lang w:val="fr-CA"/>
              </w:rPr>
              <w:t>un Prêt au taux SONIA, le taux annuel en</w:t>
            </w:r>
            <w:r w:rsidR="00D05B83" w:rsidRPr="00B63BD5">
              <w:rPr>
                <w:lang w:val="fr-CA"/>
              </w:rPr>
              <w:t xml:space="preserve"> </w:t>
            </w:r>
            <w:r w:rsidR="00695BF8" w:rsidRPr="00B63BD5">
              <w:rPr>
                <w:lang w:val="fr-CA"/>
              </w:rPr>
              <w:t>pourcentage qui est le Taux quotidien du Jour ouvrable de publication du</w:t>
            </w:r>
            <w:r w:rsidR="004665AD" w:rsidRPr="00B63BD5">
              <w:rPr>
                <w:lang w:val="fr-CA"/>
              </w:rPr>
              <w:t> </w:t>
            </w:r>
            <w:r w:rsidR="00695BF8" w:rsidRPr="00B63BD5">
              <w:rPr>
                <w:lang w:val="fr-CA"/>
              </w:rPr>
              <w:t>taux SONIA qui correspond au cinquième Jour ouvrable de publication du taux SONIA précédant</w:t>
            </w:r>
            <w:r w:rsidR="00AC4107" w:rsidRPr="00B63BD5">
              <w:rPr>
                <w:lang w:val="fr-CA"/>
              </w:rPr>
              <w:t xml:space="preserve"> </w:t>
            </w:r>
            <w:r w:rsidR="00695BF8" w:rsidRPr="00B63BD5">
              <w:rPr>
                <w:lang w:val="fr-CA"/>
              </w:rPr>
              <w:t xml:space="preserve">: </w:t>
            </w:r>
          </w:p>
          <w:p w14:paraId="60D535A2" w14:textId="414799E8" w:rsidR="00695BF8" w:rsidRPr="00B63BD5" w:rsidRDefault="00695BF8" w:rsidP="000C4154">
            <w:pPr>
              <w:pStyle w:val="04LOLglNew4"/>
              <w:numPr>
                <w:ilvl w:val="3"/>
                <w:numId w:val="56"/>
              </w:numPr>
              <w:rPr>
                <w:lang w:val="fr-CA"/>
              </w:rPr>
            </w:pPr>
            <w:r w:rsidRPr="00B63BD5">
              <w:rPr>
                <w:lang w:val="fr-CA"/>
              </w:rPr>
              <w:t>ce jour-là s</w:t>
            </w:r>
            <w:r w:rsidR="00564B0C" w:rsidRPr="00B63BD5">
              <w:rPr>
                <w:lang w:val="fr-CA"/>
              </w:rPr>
              <w:t>’</w:t>
            </w:r>
            <w:r w:rsidRPr="00B63BD5">
              <w:rPr>
                <w:lang w:val="fr-CA"/>
              </w:rPr>
              <w:t>il s</w:t>
            </w:r>
            <w:r w:rsidR="00564B0C" w:rsidRPr="00B63BD5">
              <w:rPr>
                <w:lang w:val="fr-CA"/>
              </w:rPr>
              <w:t>’</w:t>
            </w:r>
            <w:r w:rsidRPr="00B63BD5">
              <w:rPr>
                <w:lang w:val="fr-CA"/>
              </w:rPr>
              <w:t>agit d</w:t>
            </w:r>
            <w:r w:rsidR="00564B0C" w:rsidRPr="00B63BD5">
              <w:rPr>
                <w:lang w:val="fr-CA"/>
              </w:rPr>
              <w:t>’</w:t>
            </w:r>
            <w:r w:rsidRPr="00B63BD5">
              <w:rPr>
                <w:lang w:val="fr-CA"/>
              </w:rPr>
              <w:t>un Jour ouvrable de publication du taux SONIA; ou</w:t>
            </w:r>
          </w:p>
          <w:p w14:paraId="6E7784D4" w14:textId="4991EC9D" w:rsidR="00695BF8" w:rsidRPr="00B63BD5" w:rsidRDefault="00695BF8" w:rsidP="000C4154">
            <w:pPr>
              <w:pStyle w:val="04LOLglNew4"/>
              <w:numPr>
                <w:ilvl w:val="3"/>
                <w:numId w:val="56"/>
              </w:numPr>
              <w:rPr>
                <w:lang w:val="fr-CA"/>
              </w:rPr>
            </w:pPr>
            <w:r w:rsidRPr="00B63BD5">
              <w:rPr>
                <w:lang w:val="fr-CA"/>
              </w:rPr>
              <w:t>le Jour ouvrable de publication du taux SONIA précédant immédiatement ce jour-là s</w:t>
            </w:r>
            <w:r w:rsidR="00564B0C" w:rsidRPr="00B63BD5">
              <w:rPr>
                <w:lang w:val="fr-CA"/>
              </w:rPr>
              <w:t>’</w:t>
            </w:r>
            <w:r w:rsidRPr="00B63BD5">
              <w:rPr>
                <w:lang w:val="fr-CA"/>
              </w:rPr>
              <w:t>il ne s</w:t>
            </w:r>
            <w:r w:rsidR="00564B0C" w:rsidRPr="00B63BD5">
              <w:rPr>
                <w:lang w:val="fr-CA"/>
              </w:rPr>
              <w:t>’</w:t>
            </w:r>
            <w:r w:rsidRPr="00B63BD5">
              <w:rPr>
                <w:lang w:val="fr-CA"/>
              </w:rPr>
              <w:t>agit pas d</w:t>
            </w:r>
            <w:r w:rsidR="00564B0C" w:rsidRPr="00B63BD5">
              <w:rPr>
                <w:lang w:val="fr-CA"/>
              </w:rPr>
              <w:t>’</w:t>
            </w:r>
            <w:r w:rsidRPr="00B63BD5">
              <w:rPr>
                <w:lang w:val="fr-CA"/>
              </w:rPr>
              <w:t>un Jour ouvrable de</w:t>
            </w:r>
            <w:r w:rsidR="004665AD" w:rsidRPr="00B63BD5">
              <w:rPr>
                <w:lang w:val="fr-CA"/>
              </w:rPr>
              <w:t> </w:t>
            </w:r>
            <w:r w:rsidRPr="00B63BD5">
              <w:rPr>
                <w:lang w:val="fr-CA"/>
              </w:rPr>
              <w:t xml:space="preserve">publication du taux SONIA. </w:t>
            </w:r>
          </w:p>
        </w:tc>
      </w:tr>
      <w:tr w:rsidR="00695BF8" w:rsidRPr="002C047F" w14:paraId="39D8AF15" w14:textId="77777777" w:rsidTr="00F174D9">
        <w:tc>
          <w:tcPr>
            <w:tcW w:w="2829" w:type="dxa"/>
          </w:tcPr>
          <w:p w14:paraId="13BEECA5" w14:textId="2E08D473" w:rsidR="00695BF8" w:rsidRPr="00B63BD5" w:rsidRDefault="00695BF8" w:rsidP="00632863">
            <w:pPr>
              <w:spacing w:after="240"/>
              <w:rPr>
                <w:b/>
                <w:lang w:val="fr-CA"/>
              </w:rPr>
            </w:pPr>
            <w:r w:rsidRPr="00B63BD5">
              <w:rPr>
                <w:b/>
                <w:lang w:val="fr-CA"/>
              </w:rPr>
              <w:t>Jour ouvrable de publication du taux SONIA</w:t>
            </w:r>
          </w:p>
        </w:tc>
        <w:tc>
          <w:tcPr>
            <w:tcW w:w="6793" w:type="dxa"/>
          </w:tcPr>
          <w:p w14:paraId="11AD2106" w14:textId="60F76226" w:rsidR="00695BF8" w:rsidRPr="00B63BD5" w:rsidRDefault="00F174D9" w:rsidP="00632863">
            <w:pPr>
              <w:spacing w:after="240"/>
              <w:jc w:val="both"/>
              <w:rPr>
                <w:lang w:val="fr-CA"/>
              </w:rPr>
            </w:pPr>
            <w:r w:rsidRPr="00B63BD5">
              <w:rPr>
                <w:lang w:val="fr-CA"/>
              </w:rPr>
              <w:t>D</w:t>
            </w:r>
            <w:r w:rsidR="00695BF8" w:rsidRPr="00B63BD5">
              <w:rPr>
                <w:lang w:val="fr-CA"/>
              </w:rPr>
              <w:t>ésigne un jour (autre qu</w:t>
            </w:r>
            <w:r w:rsidR="00564B0C" w:rsidRPr="00B63BD5">
              <w:rPr>
                <w:lang w:val="fr-CA"/>
              </w:rPr>
              <w:t>’</w:t>
            </w:r>
            <w:r w:rsidR="00695BF8" w:rsidRPr="00B63BD5">
              <w:rPr>
                <w:lang w:val="fr-CA"/>
              </w:rPr>
              <w:t>un samedi ou un dimanche) où les banques sont ouvertes à Londres, en Angleterre.</w:t>
            </w:r>
          </w:p>
        </w:tc>
      </w:tr>
      <w:tr w:rsidR="00695BF8" w:rsidRPr="002C047F" w14:paraId="2E19D0E0" w14:textId="77777777" w:rsidTr="00F174D9">
        <w:tc>
          <w:tcPr>
            <w:tcW w:w="2829" w:type="dxa"/>
            <w:tcBorders>
              <w:bottom w:val="single" w:sz="4" w:space="0" w:color="auto"/>
            </w:tcBorders>
          </w:tcPr>
          <w:p w14:paraId="48C1928B" w14:textId="3C9DA3FC" w:rsidR="00695BF8" w:rsidRPr="00B63BD5" w:rsidRDefault="00695BF8" w:rsidP="00632863">
            <w:pPr>
              <w:spacing w:after="240"/>
              <w:rPr>
                <w:b/>
                <w:lang w:val="fr-CA"/>
              </w:rPr>
            </w:pPr>
            <w:r w:rsidRPr="00B63BD5">
              <w:rPr>
                <w:b/>
                <w:lang w:val="fr-CA"/>
              </w:rPr>
              <w:t>Rajustement du taux</w:t>
            </w:r>
            <w:r w:rsidR="004665AD" w:rsidRPr="00B63BD5">
              <w:rPr>
                <w:b/>
                <w:lang w:val="fr-CA"/>
              </w:rPr>
              <w:br/>
            </w:r>
            <w:r w:rsidRPr="00B63BD5">
              <w:rPr>
                <w:b/>
                <w:lang w:val="fr-CA"/>
              </w:rPr>
              <w:t>de la banque</w:t>
            </w:r>
          </w:p>
        </w:tc>
        <w:tc>
          <w:tcPr>
            <w:tcW w:w="6793" w:type="dxa"/>
            <w:tcBorders>
              <w:bottom w:val="single" w:sz="4" w:space="0" w:color="auto"/>
            </w:tcBorders>
          </w:tcPr>
          <w:p w14:paraId="451FB723" w14:textId="3D16CC9B" w:rsidR="00695BF8" w:rsidRPr="00B63BD5" w:rsidRDefault="00F174D9" w:rsidP="00632863">
            <w:pPr>
              <w:spacing w:after="240"/>
              <w:jc w:val="both"/>
              <w:rPr>
                <w:lang w:val="fr-CA"/>
              </w:rPr>
            </w:pPr>
            <w:r w:rsidRPr="00B63BD5">
              <w:rPr>
                <w:lang w:val="fr-CA"/>
              </w:rPr>
              <w:t>D</w:t>
            </w:r>
            <w:r w:rsidR="00695BF8" w:rsidRPr="00B63BD5">
              <w:rPr>
                <w:lang w:val="fr-CA"/>
              </w:rPr>
              <w:t>ésigne, en ce qui concerne un Jour ouvrable de publication du taux SONIA, la moyenne des écarts (exprimée en pourcentage par année), pour</w:t>
            </w:r>
            <w:r w:rsidR="001D63F8" w:rsidRPr="00B63BD5">
              <w:rPr>
                <w:lang w:val="fr-CA"/>
              </w:rPr>
              <w:t> </w:t>
            </w:r>
            <w:r w:rsidR="00695BF8" w:rsidRPr="00B63BD5">
              <w:rPr>
                <w:lang w:val="fr-CA"/>
              </w:rPr>
              <w:t>les cinq</w:t>
            </w:r>
            <w:r w:rsidR="00AC4107" w:rsidRPr="00B63BD5">
              <w:rPr>
                <w:lang w:val="fr-CA"/>
              </w:rPr>
              <w:t xml:space="preserve"> </w:t>
            </w:r>
            <w:r w:rsidR="00695BF8" w:rsidRPr="00B63BD5">
              <w:rPr>
                <w:lang w:val="fr-CA"/>
              </w:rPr>
              <w:t>(5) Jours ouvrables de publication du taux SONIA précédents pour lesquels le Taux SONIA affiché a été publié, entre</w:t>
            </w:r>
            <w:r w:rsidR="00AC4107" w:rsidRPr="00B63BD5">
              <w:rPr>
                <w:lang w:val="fr-CA"/>
              </w:rPr>
              <w:t xml:space="preserve"> </w:t>
            </w:r>
            <w:r w:rsidR="00695BF8" w:rsidRPr="00B63BD5">
              <w:rPr>
                <w:lang w:val="fr-CA"/>
              </w:rPr>
              <w:t xml:space="preserve">: </w:t>
            </w:r>
          </w:p>
          <w:p w14:paraId="6CC18EFB" w14:textId="6F067F78" w:rsidR="00695BF8" w:rsidRPr="000B7739" w:rsidRDefault="00695BF8" w:rsidP="000C4154">
            <w:pPr>
              <w:pStyle w:val="04LOLglNew3"/>
              <w:numPr>
                <w:ilvl w:val="2"/>
                <w:numId w:val="57"/>
              </w:numPr>
              <w:rPr>
                <w:lang w:val="fr-CA"/>
              </w:rPr>
            </w:pPr>
            <w:r w:rsidRPr="000B7739">
              <w:rPr>
                <w:lang w:val="fr-CA"/>
              </w:rPr>
              <w:t>le Taux SONIA affiché pour ce Jour ouvrable de publication du</w:t>
            </w:r>
            <w:r w:rsidR="004665AD" w:rsidRPr="000B7739">
              <w:rPr>
                <w:lang w:val="fr-CA"/>
              </w:rPr>
              <w:t> </w:t>
            </w:r>
            <w:r w:rsidRPr="000B7739">
              <w:rPr>
                <w:lang w:val="fr-CA"/>
              </w:rPr>
              <w:t>taux SONIA; et</w:t>
            </w:r>
          </w:p>
          <w:p w14:paraId="58972825" w14:textId="187855D1" w:rsidR="00695BF8" w:rsidRPr="000B7739" w:rsidRDefault="00695BF8" w:rsidP="000C4154">
            <w:pPr>
              <w:pStyle w:val="04LOLglNew3"/>
              <w:numPr>
                <w:ilvl w:val="2"/>
                <w:numId w:val="57"/>
              </w:numPr>
              <w:rPr>
                <w:lang w:val="fr-CA"/>
              </w:rPr>
            </w:pPr>
            <w:r w:rsidRPr="000B7739">
              <w:rPr>
                <w:lang w:val="fr-CA"/>
              </w:rPr>
              <w:t>le Taux de la Banque d</w:t>
            </w:r>
            <w:r w:rsidR="00564B0C" w:rsidRPr="000B7739">
              <w:rPr>
                <w:lang w:val="fr-CA"/>
              </w:rPr>
              <w:t>’</w:t>
            </w:r>
            <w:r w:rsidRPr="000B7739">
              <w:rPr>
                <w:lang w:val="fr-CA"/>
              </w:rPr>
              <w:t>Angleterre en vigueur à la fermeture des</w:t>
            </w:r>
            <w:r w:rsidR="00D05B83" w:rsidRPr="000B7739">
              <w:rPr>
                <w:lang w:val="fr-CA"/>
              </w:rPr>
              <w:t xml:space="preserve"> </w:t>
            </w:r>
            <w:r w:rsidRPr="000B7739">
              <w:rPr>
                <w:lang w:val="fr-CA"/>
              </w:rPr>
              <w:t>bureaux pour ce Jour ouvrable de publication du taux SONIA;</w:t>
            </w:r>
            <w:r w:rsidR="00AC4107" w:rsidRPr="000B7739">
              <w:rPr>
                <w:lang w:val="fr-CA"/>
              </w:rPr>
              <w:t xml:space="preserve"> </w:t>
            </w:r>
          </w:p>
          <w:p w14:paraId="39EC021C" w14:textId="26C38EBD" w:rsidR="00695BF8" w:rsidRPr="00B63BD5" w:rsidRDefault="00695BF8" w:rsidP="00632863">
            <w:pPr>
              <w:spacing w:after="240"/>
              <w:jc w:val="both"/>
              <w:rPr>
                <w:lang w:val="fr-CA"/>
              </w:rPr>
            </w:pPr>
            <w:r w:rsidRPr="00B63BD5">
              <w:rPr>
                <w:spacing w:val="-2"/>
                <w:lang w:val="fr-CA"/>
              </w:rPr>
              <w:t>selon le calcul établi par la Banque, à l</w:t>
            </w:r>
            <w:r w:rsidR="00564B0C" w:rsidRPr="00B63BD5">
              <w:rPr>
                <w:spacing w:val="-2"/>
                <w:lang w:val="fr-CA"/>
              </w:rPr>
              <w:t>’</w:t>
            </w:r>
            <w:r w:rsidRPr="00B63BD5">
              <w:rPr>
                <w:spacing w:val="-2"/>
                <w:lang w:val="fr-CA"/>
              </w:rPr>
              <w:t xml:space="preserve">exclusion de la valeur la plus élevée </w:t>
            </w:r>
            <w:r w:rsidRPr="00B63BD5">
              <w:rPr>
                <w:lang w:val="fr-CA"/>
              </w:rPr>
              <w:t>(et, s</w:t>
            </w:r>
            <w:r w:rsidR="00564B0C" w:rsidRPr="00B63BD5">
              <w:rPr>
                <w:lang w:val="fr-CA"/>
              </w:rPr>
              <w:t>’</w:t>
            </w:r>
            <w:r w:rsidRPr="00B63BD5">
              <w:rPr>
                <w:lang w:val="fr-CA"/>
              </w:rPr>
              <w:t>il y a plus d</w:t>
            </w:r>
            <w:r w:rsidR="00564B0C" w:rsidRPr="00B63BD5">
              <w:rPr>
                <w:lang w:val="fr-CA"/>
              </w:rPr>
              <w:t>’</w:t>
            </w:r>
            <w:r w:rsidRPr="00B63BD5">
              <w:rPr>
                <w:lang w:val="fr-CA"/>
              </w:rPr>
              <w:t>une valeur la plus élevée, une seule de ces valeurs) et</w:t>
            </w:r>
            <w:r w:rsidR="00D05B83" w:rsidRPr="00B63BD5">
              <w:rPr>
                <w:lang w:val="fr-CA"/>
              </w:rPr>
              <w:t xml:space="preserve"> </w:t>
            </w:r>
            <w:r w:rsidRPr="00B63BD5">
              <w:rPr>
                <w:lang w:val="fr-CA"/>
              </w:rPr>
              <w:t>de</w:t>
            </w:r>
            <w:r w:rsidR="00D05B83" w:rsidRPr="00B63BD5">
              <w:rPr>
                <w:lang w:val="fr-CA"/>
              </w:rPr>
              <w:t xml:space="preserve"> </w:t>
            </w:r>
            <w:r w:rsidRPr="00B63BD5">
              <w:rPr>
                <w:lang w:val="fr-CA"/>
              </w:rPr>
              <w:t>la valeur la plus faible (ou, s</w:t>
            </w:r>
            <w:r w:rsidR="00564B0C" w:rsidRPr="00B63BD5">
              <w:rPr>
                <w:lang w:val="fr-CA"/>
              </w:rPr>
              <w:t>’</w:t>
            </w:r>
            <w:r w:rsidRPr="00B63BD5">
              <w:rPr>
                <w:lang w:val="fr-CA"/>
              </w:rPr>
              <w:t>il y a plus d</w:t>
            </w:r>
            <w:r w:rsidR="00564B0C" w:rsidRPr="00B63BD5">
              <w:rPr>
                <w:lang w:val="fr-CA"/>
              </w:rPr>
              <w:t>’</w:t>
            </w:r>
            <w:r w:rsidRPr="00B63BD5">
              <w:rPr>
                <w:lang w:val="fr-CA"/>
              </w:rPr>
              <w:t>une valeur la plus faible, une</w:t>
            </w:r>
            <w:r w:rsidR="00D05B83" w:rsidRPr="00B63BD5">
              <w:rPr>
                <w:lang w:val="fr-CA"/>
              </w:rPr>
              <w:t xml:space="preserve"> </w:t>
            </w:r>
            <w:r w:rsidRPr="00B63BD5">
              <w:rPr>
                <w:lang w:val="fr-CA"/>
              </w:rPr>
              <w:t>seule de ces valeurs).</w:t>
            </w:r>
          </w:p>
        </w:tc>
      </w:tr>
      <w:tr w:rsidR="004E4DF9" w:rsidRPr="002C047F" w14:paraId="0BAAA318" w14:textId="77777777" w:rsidTr="00F174D9">
        <w:tc>
          <w:tcPr>
            <w:tcW w:w="2829" w:type="dxa"/>
            <w:tcBorders>
              <w:bottom w:val="single" w:sz="4" w:space="0" w:color="auto"/>
            </w:tcBorders>
          </w:tcPr>
          <w:p w14:paraId="02881F05" w14:textId="4747A2F3" w:rsidR="004E4DF9" w:rsidRPr="00B63BD5" w:rsidRDefault="004E4DF9" w:rsidP="004E4DF9">
            <w:pPr>
              <w:spacing w:after="240"/>
              <w:rPr>
                <w:b/>
                <w:lang w:val="fr-CA"/>
              </w:rPr>
            </w:pPr>
            <w:r w:rsidRPr="00B63BD5">
              <w:rPr>
                <w:b/>
                <w:lang w:val="fr-CA"/>
              </w:rPr>
              <w:t>Taux quotidien</w:t>
            </w:r>
          </w:p>
        </w:tc>
        <w:tc>
          <w:tcPr>
            <w:tcW w:w="6793" w:type="dxa"/>
            <w:tcBorders>
              <w:bottom w:val="single" w:sz="4" w:space="0" w:color="auto"/>
            </w:tcBorders>
          </w:tcPr>
          <w:p w14:paraId="22433053" w14:textId="77777777" w:rsidR="004E4DF9" w:rsidRPr="00B63BD5" w:rsidRDefault="004E4DF9" w:rsidP="004E4DF9">
            <w:pPr>
              <w:spacing w:after="240"/>
              <w:jc w:val="both"/>
              <w:rPr>
                <w:lang w:val="fr-CA"/>
              </w:rPr>
            </w:pPr>
            <w:r w:rsidRPr="00B63BD5">
              <w:rPr>
                <w:lang w:val="fr-CA"/>
              </w:rPr>
              <w:t>Désigne, en ce qui concerne un Jour ouvrable de publication du taux SONIA :</w:t>
            </w:r>
          </w:p>
          <w:p w14:paraId="06A1B726" w14:textId="77777777" w:rsidR="004E4DF9" w:rsidRPr="000B7739" w:rsidRDefault="004E4DF9" w:rsidP="000C4154">
            <w:pPr>
              <w:pStyle w:val="04LOLglNew3"/>
              <w:numPr>
                <w:ilvl w:val="2"/>
                <w:numId w:val="58"/>
              </w:numPr>
              <w:rPr>
                <w:lang w:val="fr-CA"/>
              </w:rPr>
            </w:pPr>
            <w:r w:rsidRPr="000B7739">
              <w:rPr>
                <w:lang w:val="fr-CA"/>
              </w:rPr>
              <w:t>le Taux SONIA affiché pour ce Jour ouvrable de publication du taux SONIA; ou</w:t>
            </w:r>
          </w:p>
          <w:p w14:paraId="04FBDBDD" w14:textId="77777777" w:rsidR="004E4DF9" w:rsidRPr="000B7739" w:rsidRDefault="004E4DF9" w:rsidP="000C4154">
            <w:pPr>
              <w:pStyle w:val="04LOLglNew3"/>
              <w:numPr>
                <w:ilvl w:val="2"/>
                <w:numId w:val="58"/>
              </w:numPr>
              <w:rPr>
                <w:lang w:val="fr-CA"/>
              </w:rPr>
            </w:pPr>
            <w:r w:rsidRPr="000B7739">
              <w:rPr>
                <w:lang w:val="fr-CA"/>
              </w:rPr>
              <w:t xml:space="preserve">si le Taux SONIA affiché n’est pas disponible pour ce Jour ouvrable de publication du taux SONIA, alors </w:t>
            </w:r>
          </w:p>
          <w:p w14:paraId="4D2E6375" w14:textId="77777777" w:rsidR="004E4DF9" w:rsidRPr="00B63BD5" w:rsidRDefault="004E4DF9" w:rsidP="008B6CE6">
            <w:pPr>
              <w:pStyle w:val="04LOLglNew4"/>
              <w:rPr>
                <w:lang w:val="fr-CA"/>
              </w:rPr>
            </w:pPr>
            <w:r w:rsidRPr="00B63BD5">
              <w:rPr>
                <w:lang w:val="fr-CA"/>
              </w:rPr>
              <w:t xml:space="preserve">le plus récent Taux SONIA affiché (dans la mesure où il existe) doit être utilisé à condition que le Taux SONIA affiché ait été indisponible pendant moins de cinq (5) Jours ouvrables de publication du taux SONIA consécutifs et qu’aucun Taux de référence de remplacement du Taux SONIA simple quotidien ne soit en vigueur; </w:t>
            </w:r>
          </w:p>
          <w:p w14:paraId="07AA65DC" w14:textId="77777777" w:rsidR="004E4DF9" w:rsidRPr="00B63BD5" w:rsidRDefault="004E4DF9" w:rsidP="008B6CE6">
            <w:pPr>
              <w:pStyle w:val="04LOLglNew4"/>
              <w:rPr>
                <w:lang w:val="fr-CA"/>
              </w:rPr>
            </w:pPr>
            <w:r w:rsidRPr="00B63BD5">
              <w:rPr>
                <w:lang w:val="fr-CA"/>
              </w:rPr>
              <w:t xml:space="preserve">si un Taux de référence de remplacement du Taux SONIA simple quotidien est alors en vigueur, ce Taux de référence de remplacement doit être utilisé; </w:t>
            </w:r>
          </w:p>
          <w:p w14:paraId="2F12610B" w14:textId="77777777" w:rsidR="004E4DF9" w:rsidRPr="00B63BD5" w:rsidRDefault="004E4DF9" w:rsidP="008B6CE6">
            <w:pPr>
              <w:pStyle w:val="04LOLglNew4"/>
              <w:rPr>
                <w:lang w:val="fr-CA"/>
              </w:rPr>
            </w:pPr>
            <w:r w:rsidRPr="00B63BD5">
              <w:rPr>
                <w:lang w:val="fr-CA"/>
              </w:rPr>
              <w:lastRenderedPageBreak/>
              <w:t>si le Taux SONIA simple quotidien affiché en question est indisponible pendant plus de cinq (5) Jours ouvrables de publication du taux SONIA consécutifs et qu’aucun Taux de référence de remplacement du Taux SONIA simple quotidien n’est alors en vigueur, le taux en pourcentage par année qui tient compte :</w:t>
            </w:r>
          </w:p>
          <w:p w14:paraId="6F21BEB5" w14:textId="77777777" w:rsidR="004E4DF9" w:rsidRPr="00B63BD5" w:rsidRDefault="004E4DF9" w:rsidP="008B6CE6">
            <w:pPr>
              <w:pStyle w:val="04LOLglNew5"/>
              <w:rPr>
                <w:lang w:val="fr-CA"/>
              </w:rPr>
            </w:pPr>
            <w:r w:rsidRPr="00B63BD5">
              <w:rPr>
                <w:lang w:val="fr-CA"/>
              </w:rPr>
              <w:t xml:space="preserve">du Taux de la Banque d’Angleterre en vigueur à la fermeture des bureaux pour ce Jour ouvrable de publication du taux SONIA; et </w:t>
            </w:r>
          </w:p>
          <w:p w14:paraId="7C9E0C2D" w14:textId="77777777" w:rsidR="004E4DF9" w:rsidRPr="00B63BD5" w:rsidRDefault="004E4DF9" w:rsidP="008B6CE6">
            <w:pPr>
              <w:pStyle w:val="04LOLglNew5"/>
              <w:rPr>
                <w:lang w:val="fr-CA"/>
              </w:rPr>
            </w:pPr>
            <w:r w:rsidRPr="00B63BD5">
              <w:rPr>
                <w:lang w:val="fr-CA"/>
              </w:rPr>
              <w:t>du Rajustement du taux de la banque applicable,</w:t>
            </w:r>
          </w:p>
          <w:p w14:paraId="5646263D" w14:textId="77777777" w:rsidR="004E4DF9" w:rsidRPr="00B63BD5" w:rsidRDefault="004E4DF9" w:rsidP="004E4DF9">
            <w:pPr>
              <w:spacing w:after="240"/>
              <w:ind w:left="720"/>
              <w:jc w:val="both"/>
              <w:rPr>
                <w:lang w:val="fr-CA"/>
              </w:rPr>
            </w:pPr>
            <w:r w:rsidRPr="00B63BD5">
              <w:rPr>
                <w:lang w:val="fr-CA"/>
              </w:rPr>
              <w:t>(arrondi dans les deux cas à cinq décimales, 0,000 005 étant arrondi à la hausse),</w:t>
            </w:r>
          </w:p>
          <w:p w14:paraId="3B1ABBFD" w14:textId="5C35D0CB" w:rsidR="004E4DF9" w:rsidRPr="00B63BD5" w:rsidRDefault="004E4DF9" w:rsidP="004E4DF9">
            <w:pPr>
              <w:spacing w:after="240"/>
              <w:jc w:val="both"/>
              <w:rPr>
                <w:lang w:val="fr-CA"/>
              </w:rPr>
            </w:pPr>
            <w:r w:rsidRPr="00B63BD5">
              <w:rPr>
                <w:lang w:val="fr-CA"/>
              </w:rPr>
              <w:t xml:space="preserve">et si, dans chacun des cas, le total de ce taux est inférieur à zéro, le Taux quotidien est réputé être égal à zéro. </w:t>
            </w:r>
          </w:p>
        </w:tc>
      </w:tr>
      <w:tr w:rsidR="004E4DF9" w:rsidRPr="002C047F" w14:paraId="0D34C21C" w14:textId="77777777" w:rsidTr="00F174D9">
        <w:tc>
          <w:tcPr>
            <w:tcW w:w="2829" w:type="dxa"/>
          </w:tcPr>
          <w:p w14:paraId="3B17B50C" w14:textId="53BED985" w:rsidR="004E4DF9" w:rsidRPr="00B63BD5" w:rsidRDefault="004E4DF9" w:rsidP="004E4DF9">
            <w:pPr>
              <w:spacing w:after="240"/>
              <w:rPr>
                <w:b/>
                <w:lang w:val="fr-CA"/>
              </w:rPr>
            </w:pPr>
            <w:r w:rsidRPr="00B63BD5">
              <w:rPr>
                <w:b/>
                <w:lang w:val="fr-CA"/>
              </w:rPr>
              <w:lastRenderedPageBreak/>
              <w:t>Taux SONIA affiché</w:t>
            </w:r>
          </w:p>
        </w:tc>
        <w:tc>
          <w:tcPr>
            <w:tcW w:w="6793" w:type="dxa"/>
          </w:tcPr>
          <w:p w14:paraId="178966AD" w14:textId="7AAE3B8D" w:rsidR="004E4DF9" w:rsidRPr="00B63BD5" w:rsidRDefault="004E4DF9" w:rsidP="004E4DF9">
            <w:pPr>
              <w:spacing w:after="240"/>
              <w:jc w:val="both"/>
              <w:rPr>
                <w:lang w:val="fr-CA"/>
              </w:rPr>
            </w:pPr>
            <w:r w:rsidRPr="00B63BD5">
              <w:rPr>
                <w:lang w:val="fr-CA"/>
              </w:rPr>
              <w:t>Désigne le taux de référence SONIA (Sterling Overnight Index Average ou moyenne de l’indice à un jour en livres sterling) administré par la Banque d’Angleterre (ou toute autre personne qui assume l’administration de ce taux) affiché à la page SONIA de l’écran Thomson Reuters.</w:t>
            </w:r>
          </w:p>
        </w:tc>
      </w:tr>
    </w:tbl>
    <w:p w14:paraId="3C0755AF" w14:textId="77777777" w:rsidR="00695BF8" w:rsidRPr="00B63BD5" w:rsidRDefault="00695BF8" w:rsidP="00632863">
      <w:pPr>
        <w:spacing w:after="240"/>
        <w:jc w:val="both"/>
        <w:rPr>
          <w:b/>
          <w:color w:val="00B0F0"/>
          <w:lang w:val="fr-CA"/>
        </w:rPr>
      </w:pPr>
    </w:p>
    <w:p w14:paraId="64020124" w14:textId="77777777" w:rsidR="00695BF8" w:rsidRPr="00B63BD5" w:rsidRDefault="00695BF8" w:rsidP="00632863">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bCs/>
          <w:lang w:val="fr-CA"/>
        </w:rPr>
      </w:pPr>
    </w:p>
    <w:sectPr w:rsidR="00695BF8" w:rsidRPr="00B63BD5" w:rsidSect="00904628">
      <w:headerReference w:type="even" r:id="rId18"/>
      <w:headerReference w:type="default" r:id="rId19"/>
      <w:footerReference w:type="default" r:id="rId20"/>
      <w:headerReference w:type="first" r:id="rId21"/>
      <w:footerReference w:type="first" r:id="rId22"/>
      <w:pgSz w:w="12240" w:h="15840" w:code="1"/>
      <w:pgMar w:top="851" w:right="1041" w:bottom="1152" w:left="1440" w:header="576" w:footer="57"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BD68" w14:textId="77777777" w:rsidR="00C1625B" w:rsidRDefault="00C1625B">
      <w:r>
        <w:separator/>
      </w:r>
    </w:p>
  </w:endnote>
  <w:endnote w:type="continuationSeparator" w:id="0">
    <w:p w14:paraId="7E889240" w14:textId="77777777" w:rsidR="00C1625B" w:rsidRDefault="00C1625B">
      <w:r>
        <w:continuationSeparator/>
      </w:r>
    </w:p>
  </w:endnote>
  <w:endnote w:type="continuationNotice" w:id="1">
    <w:p w14:paraId="6BD05C4F" w14:textId="77777777" w:rsidR="00C1625B" w:rsidRDefault="00C16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DB67" w14:textId="77777777" w:rsidR="002C047F" w:rsidRDefault="002C0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A850" w14:textId="3B46720D" w:rsidR="00C1625B" w:rsidRPr="00B7548F" w:rsidRDefault="00C1625B" w:rsidP="003B39EE">
    <w:pPr>
      <w:pStyle w:val="Footer"/>
      <w:tabs>
        <w:tab w:val="clear" w:pos="4320"/>
        <w:tab w:val="clear" w:pos="8640"/>
        <w:tab w:val="left" w:pos="2800"/>
      </w:tabs>
      <w:rPr>
        <w:rFonts w:asciiTheme="minorHAnsi" w:hAnsiTheme="minorHAnsi" w:cstheme="minorHAnsi"/>
        <w:sz w:val="18"/>
        <w:szCs w:val="18"/>
      </w:rPr>
    </w:pPr>
    <w:r>
      <w:rPr>
        <w:noProof/>
        <w:szCs w:val="16"/>
      </w:rPr>
      <mc:AlternateContent>
        <mc:Choice Requires="wps">
          <w:drawing>
            <wp:anchor distT="0" distB="0" distL="114300" distR="114300" simplePos="0" relativeHeight="251689805" behindDoc="0" locked="0" layoutInCell="0" allowOverlap="1" wp14:anchorId="5959B3A8" wp14:editId="1AA5C58E">
              <wp:simplePos x="0" y="0"/>
              <wp:positionH relativeFrom="page">
                <wp:posOffset>0</wp:posOffset>
              </wp:positionH>
              <wp:positionV relativeFrom="page">
                <wp:posOffset>9594850</wp:posOffset>
              </wp:positionV>
              <wp:extent cx="7772400" cy="273050"/>
              <wp:effectExtent l="0" t="0" r="0" b="12700"/>
              <wp:wrapNone/>
              <wp:docPr id="3" name="MSIPCMae1a4469afddb65ce77e128f" descr="{&quot;HashCode&quot;:131653798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65E1F9" w14:textId="68F962BB" w:rsidR="00C1625B" w:rsidRPr="002C047F" w:rsidRDefault="002C047F" w:rsidP="002C047F">
                          <w:pPr>
                            <w:jc w:val="center"/>
                            <w:rPr>
                              <w:rFonts w:ascii="Calibri" w:hAnsi="Calibri" w:cs="Calibri"/>
                              <w:color w:val="000000"/>
                            </w:rPr>
                          </w:pPr>
                          <w:r w:rsidRPr="002C047F">
                            <w:rPr>
                              <w:rFonts w:ascii="Calibri" w:hAnsi="Calibri" w:cs="Calibri"/>
                              <w:color w:val="00000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59B3A8" id="_x0000_t202" coordsize="21600,21600" o:spt="202" path="m,l,21600r21600,l21600,xe">
              <v:stroke joinstyle="miter"/>
              <v:path gradientshapeok="t" o:connecttype="rect"/>
            </v:shapetype>
            <v:shape id="MSIPCMae1a4469afddb65ce77e128f" o:spid="_x0000_s1026" type="#_x0000_t202" alt="{&quot;HashCode&quot;:1316537984,&quot;Height&quot;:792.0,&quot;Width&quot;:612.0,&quot;Placement&quot;:&quot;Footer&quot;,&quot;Index&quot;:&quot;Primary&quot;,&quot;Section&quot;:1,&quot;Top&quot;:0.0,&quot;Left&quot;:0.0}" style="position:absolute;margin-left:0;margin-top:755.5pt;width:612pt;height:21.5pt;z-index:25168980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" o:allowincell="f" filled="f" stroked="f" strokeweight=".5pt">
              <v:textbox inset=",0,,0">
                <w:txbxContent>
                  <w:p w14:paraId="0965E1F9" w14:textId="68F962BB" w:rsidR="00C1625B" w:rsidRPr="002C047F" w:rsidRDefault="002C047F" w:rsidP="002C047F">
                    <w:pPr>
                      <w:jc w:val="center"/>
                      <w:rPr>
                        <w:rFonts w:ascii="Calibri" w:hAnsi="Calibri" w:cs="Calibri"/>
                        <w:color w:val="000000"/>
                      </w:rPr>
                    </w:pPr>
                    <w:r w:rsidRPr="002C047F">
                      <w:rPr>
                        <w:rFonts w:ascii="Calibri" w:hAnsi="Calibri" w:cs="Calibri"/>
                        <w:color w:val="000000"/>
                      </w:rPr>
                      <w:t>PUBLIC</w:t>
                    </w:r>
                  </w:p>
                </w:txbxContent>
              </v:textbox>
              <w10:wrap anchorx="page" anchory="page"/>
            </v:shape>
          </w:pict>
        </mc:Fallback>
      </mc:AlternateContent>
    </w:r>
    <w:r>
      <w:rPr>
        <w:rFonts w:asciiTheme="minorHAnsi" w:hAnsiTheme="minorHAnsi" w:cstheme="minorHAnsi"/>
        <w:sz w:val="18"/>
        <w:szCs w:val="18"/>
      </w:rPr>
      <w:t>8</w:t>
    </w:r>
    <w:r w:rsidRPr="00B7548F">
      <w:rPr>
        <w:rFonts w:asciiTheme="minorHAnsi" w:hAnsiTheme="minorHAnsi" w:cstheme="minorHAnsi"/>
        <w:sz w:val="18"/>
        <w:szCs w:val="18"/>
      </w:rPr>
      <w:t>25-0003-FR_2022-</w:t>
    </w:r>
    <w:r>
      <w:rPr>
        <w:rFonts w:asciiTheme="minorHAnsi" w:hAnsiTheme="minorHAnsi" w:cstheme="minorHAnsi"/>
        <w:sz w:val="18"/>
        <w:szCs w:val="18"/>
      </w:rPr>
      <w:t>11</w:t>
    </w:r>
    <w:r w:rsidRPr="00B7548F">
      <w:rPr>
        <w:rFonts w:asciiTheme="minorHAnsi" w:hAnsiTheme="minorHAnsi" w:cstheme="minorHAnsi"/>
        <w:sz w:val="18"/>
        <w:szCs w:val="18"/>
      </w:rPr>
      <w:t>-0</w:t>
    </w:r>
    <w:r>
      <w:rPr>
        <w:rFonts w:asciiTheme="minorHAnsi" w:hAnsiTheme="minorHAnsi" w:cstheme="minorHAnsi"/>
        <w:sz w:val="18"/>
        <w:szCs w:val="18"/>
      </w:rPr>
      <w:t>7</w:t>
    </w:r>
    <w:r>
      <w:rPr>
        <w:rFonts w:asciiTheme="minorHAnsi" w:hAnsiTheme="minorHAnsi" w:cstheme="minorHAnsi"/>
        <w:sz w:val="18"/>
        <w:szCs w:val="18"/>
      </w:rPr>
      <w:tab/>
    </w:r>
  </w:p>
  <w:p w14:paraId="52C5AA95" w14:textId="476A1E6E" w:rsidR="00C1625B" w:rsidRDefault="00C1625B" w:rsidP="00665798"/>
  <w:p w14:paraId="77C322DB" w14:textId="27FE1423" w:rsidR="00C1625B" w:rsidRPr="005607F4" w:rsidRDefault="00C1625B" w:rsidP="007371BF">
    <w:pP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FA43" w14:textId="24598191" w:rsidR="00C1625B" w:rsidRPr="005607F4" w:rsidRDefault="00C1625B" w:rsidP="007371BF">
    <w:pPr>
      <w:rPr>
        <w:szCs w:val="16"/>
      </w:rPr>
    </w:pPr>
    <w:r>
      <w:rPr>
        <w:noProof/>
        <w:szCs w:val="16"/>
      </w:rPr>
      <mc:AlternateContent>
        <mc:Choice Requires="wps">
          <w:drawing>
            <wp:anchor distT="0" distB="0" distL="114300" distR="114300" simplePos="0" relativeHeight="251704052" behindDoc="0" locked="0" layoutInCell="0" allowOverlap="1" wp14:anchorId="483522CD" wp14:editId="52C90C2B">
              <wp:simplePos x="0" y="0"/>
              <wp:positionH relativeFrom="page">
                <wp:posOffset>0</wp:posOffset>
              </wp:positionH>
              <wp:positionV relativeFrom="page">
                <wp:posOffset>9594850</wp:posOffset>
              </wp:positionV>
              <wp:extent cx="7772400" cy="273050"/>
              <wp:effectExtent l="0" t="0" r="0" b="12700"/>
              <wp:wrapNone/>
              <wp:docPr id="1" name="MSIPCM2c87487aa4ca7781a2b18134" descr="{&quot;HashCode&quot;:1316537984,&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78EA17" w14:textId="2B5F842D" w:rsidR="00C1625B" w:rsidRPr="002C047F" w:rsidRDefault="002C047F" w:rsidP="002C047F">
                          <w:pPr>
                            <w:jc w:val="center"/>
                            <w:rPr>
                              <w:rFonts w:ascii="Calibri" w:hAnsi="Calibri" w:cs="Calibri"/>
                              <w:color w:val="000000"/>
                            </w:rPr>
                          </w:pPr>
                          <w:r w:rsidRPr="002C047F">
                            <w:rPr>
                              <w:rFonts w:ascii="Calibri" w:hAnsi="Calibri" w:cs="Calibri"/>
                              <w:color w:val="00000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3522CD" id="_x0000_t202" coordsize="21600,21600" o:spt="202" path="m,l,21600r21600,l21600,xe">
              <v:stroke joinstyle="miter"/>
              <v:path gradientshapeok="t" o:connecttype="rect"/>
            </v:shapetype>
            <v:shape id="MSIPCM2c87487aa4ca7781a2b18134" o:spid="_x0000_s1027" type="#_x0000_t202" alt="{&quot;HashCode&quot;:1316537984,&quot;Height&quot;:792.0,&quot;Width&quot;:612.0,&quot;Placement&quot;:&quot;Footer&quot;,&quot;Index&quot;:&quot;FirstPage&quot;,&quot;Section&quot;:1,&quot;Top&quot;:0.0,&quot;Left&quot;:0.0}" style="position:absolute;margin-left:0;margin-top:755.5pt;width:612pt;height:21.5pt;z-index:2517040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" o:allowincell="f" filled="f" stroked="f" strokeweight=".5pt">
              <v:textbox inset=",0,,0">
                <w:txbxContent>
                  <w:p w14:paraId="3B78EA17" w14:textId="2B5F842D" w:rsidR="00C1625B" w:rsidRPr="002C047F" w:rsidRDefault="002C047F" w:rsidP="002C047F">
                    <w:pPr>
                      <w:jc w:val="center"/>
                      <w:rPr>
                        <w:rFonts w:ascii="Calibri" w:hAnsi="Calibri" w:cs="Calibri"/>
                        <w:color w:val="000000"/>
                      </w:rPr>
                    </w:pPr>
                    <w:r w:rsidRPr="002C047F">
                      <w:rPr>
                        <w:rFonts w:ascii="Calibri" w:hAnsi="Calibri" w:cs="Calibri"/>
                        <w:color w:val="000000"/>
                      </w:rPr>
                      <w:t>PUBLIC</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BDD3" w14:textId="50E1DF7A" w:rsidR="00C1625B" w:rsidRPr="007C4DEF" w:rsidRDefault="00C1625B">
    <w:pPr>
      <w:pStyle w:val="Footer"/>
    </w:pPr>
    <w:r>
      <w:rPr>
        <w:noProof/>
      </w:rPr>
      <mc:AlternateContent>
        <mc:Choice Requires="wps">
          <w:drawing>
            <wp:anchor distT="0" distB="0" distL="114300" distR="114300" simplePos="0" relativeHeight="251738879" behindDoc="0" locked="0" layoutInCell="0" allowOverlap="1" wp14:anchorId="6BA50763" wp14:editId="6609FD85">
              <wp:simplePos x="0" y="0"/>
              <wp:positionH relativeFrom="page">
                <wp:posOffset>0</wp:posOffset>
              </wp:positionH>
              <wp:positionV relativeFrom="page">
                <wp:posOffset>9594850</wp:posOffset>
              </wp:positionV>
              <wp:extent cx="7772400" cy="273050"/>
              <wp:effectExtent l="0" t="0" r="0" b="12700"/>
              <wp:wrapNone/>
              <wp:docPr id="2" name="MSIPCMd1fb4d51b1302eebfc6de917" descr="{&quot;HashCode&quot;:1316537984,&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FE69C3" w14:textId="1F423791" w:rsidR="00C1625B" w:rsidRPr="002C047F" w:rsidRDefault="002C047F" w:rsidP="002C047F">
                          <w:pPr>
                            <w:jc w:val="center"/>
                            <w:rPr>
                              <w:rFonts w:ascii="Calibri" w:hAnsi="Calibri" w:cs="Calibri"/>
                              <w:color w:val="000000"/>
                            </w:rPr>
                          </w:pPr>
                          <w:r w:rsidRPr="002C047F">
                            <w:rPr>
                              <w:rFonts w:ascii="Calibri" w:hAnsi="Calibri" w:cs="Calibri"/>
                              <w:color w:val="00000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A50763" id="_x0000_t202" coordsize="21600,21600" o:spt="202" path="m,l,21600r21600,l21600,xe">
              <v:stroke joinstyle="miter"/>
              <v:path gradientshapeok="t" o:connecttype="rect"/>
            </v:shapetype>
            <v:shape id="MSIPCMd1fb4d51b1302eebfc6de917" o:spid="_x0000_s1028" type="#_x0000_t202" alt="{&quot;HashCode&quot;:1316537984,&quot;Height&quot;:792.0,&quot;Width&quot;:612.0,&quot;Placement&quot;:&quot;Footer&quot;,&quot;Index&quot;:&quot;Primary&quot;,&quot;Section&quot;:2,&quot;Top&quot;:0.0,&quot;Left&quot;:0.0}" style="position:absolute;margin-left:0;margin-top:755.5pt;width:612pt;height:21.5pt;z-index:2517388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L9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" o:allowincell="f" filled="f" stroked="f" strokeweight=".5pt">
              <v:textbox inset=",0,,0">
                <w:txbxContent>
                  <w:p w14:paraId="5AFE69C3" w14:textId="1F423791" w:rsidR="00C1625B" w:rsidRPr="002C047F" w:rsidRDefault="002C047F" w:rsidP="002C047F">
                    <w:pPr>
                      <w:jc w:val="center"/>
                      <w:rPr>
                        <w:rFonts w:ascii="Calibri" w:hAnsi="Calibri" w:cs="Calibri"/>
                        <w:color w:val="000000"/>
                      </w:rPr>
                    </w:pPr>
                    <w:r w:rsidRPr="002C047F">
                      <w:rPr>
                        <w:rFonts w:ascii="Calibri" w:hAnsi="Calibri" w:cs="Calibri"/>
                        <w:color w:val="000000"/>
                      </w:rPr>
                      <w:t>PUBLIC</w:t>
                    </w:r>
                  </w:p>
                </w:txbxContent>
              </v:textbox>
              <w10:wrap anchorx="page" anchory="page"/>
            </v:shape>
          </w:pict>
        </mc:Fallback>
      </mc:AlternateContent>
    </w:r>
    <w:r w:rsidRPr="007C4DEF">
      <w:t>XXXXXXXXX.XXXXXX.1</w:t>
    </w:r>
    <w:r w:rsidRPr="007C4DEF">
      <w:tab/>
    </w:r>
    <w:r w:rsidRPr="007C4DEF">
      <w:tab/>
    </w:r>
    <w:r w:rsidRPr="007C4DEF">
      <w:tab/>
    </w:r>
    <w:sdt>
      <w:sdtPr>
        <w:id w:val="2144691236"/>
        <w:docPartObj>
          <w:docPartGallery w:val="Page Numbers (Bottom of Page)"/>
          <w:docPartUnique/>
        </w:docPartObj>
      </w:sdtPr>
      <w:sdtEndPr>
        <w:rPr>
          <w:noProof/>
        </w:rPr>
      </w:sdtEndPr>
      <w:sdtContent>
        <w:r w:rsidRPr="007C4DEF">
          <w:fldChar w:fldCharType="begin"/>
        </w:r>
        <w:r w:rsidRPr="007C4DEF">
          <w:instrText xml:space="preserve"> PAGE   \* MERGEFORMAT </w:instrText>
        </w:r>
        <w:r w:rsidRPr="007C4DEF">
          <w:fldChar w:fldCharType="separate"/>
        </w:r>
        <w:r w:rsidR="00AE7CCA">
          <w:rPr>
            <w:noProof/>
          </w:rPr>
          <w:t>60</w:t>
        </w:r>
        <w:r w:rsidRPr="007C4DEF">
          <w:rPr>
            <w:noProof/>
          </w:rPr>
          <w:fldChar w:fldCharType="end"/>
        </w:r>
      </w:sdtContent>
    </w:sdt>
  </w:p>
  <w:p w14:paraId="5C127FD5" w14:textId="5FFB0308" w:rsidR="00C1625B" w:rsidRPr="005E0CA9" w:rsidRDefault="00C1625B" w:rsidP="005607F4">
    <w:pPr>
      <w:pStyle w:val="Footer"/>
      <w:jc w:val="right"/>
      <w:rPr>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F891" w14:textId="7A204927" w:rsidR="00C1625B" w:rsidRPr="005607F4" w:rsidRDefault="00C1625B" w:rsidP="007371BF">
    <w:pPr>
      <w:rPr>
        <w:szCs w:val="16"/>
      </w:rPr>
    </w:pPr>
    <w:r>
      <w:rPr>
        <w:noProof/>
        <w:sz w:val="16"/>
        <w:szCs w:val="16"/>
      </w:rPr>
      <mc:AlternateContent>
        <mc:Choice Requires="wps">
          <w:drawing>
            <wp:anchor distT="0" distB="0" distL="114300" distR="114300" simplePos="0" relativeHeight="251719422" behindDoc="0" locked="0" layoutInCell="0" allowOverlap="1" wp14:anchorId="2507637B" wp14:editId="49EC1108">
              <wp:simplePos x="0" y="0"/>
              <wp:positionH relativeFrom="page">
                <wp:posOffset>0</wp:posOffset>
              </wp:positionH>
              <wp:positionV relativeFrom="page">
                <wp:posOffset>9594850</wp:posOffset>
              </wp:positionV>
              <wp:extent cx="7772400" cy="273050"/>
              <wp:effectExtent l="0" t="0" r="0" b="12700"/>
              <wp:wrapNone/>
              <wp:docPr id="4" name="MSIPCM6bae4e14b5961a1276718813" descr="{&quot;HashCode&quot;:1316537984,&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B83BB1" w14:textId="2373124F" w:rsidR="00C1625B" w:rsidRPr="002C047F" w:rsidRDefault="002C047F" w:rsidP="002C047F">
                          <w:pPr>
                            <w:jc w:val="center"/>
                            <w:rPr>
                              <w:rFonts w:ascii="Calibri" w:hAnsi="Calibri" w:cs="Calibri"/>
                              <w:color w:val="000000"/>
                            </w:rPr>
                          </w:pPr>
                          <w:r w:rsidRPr="002C047F">
                            <w:rPr>
                              <w:rFonts w:ascii="Calibri" w:hAnsi="Calibri" w:cs="Calibri"/>
                              <w:color w:val="00000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07637B" id="_x0000_t202" coordsize="21600,21600" o:spt="202" path="m,l,21600r21600,l21600,xe">
              <v:stroke joinstyle="miter"/>
              <v:path gradientshapeok="t" o:connecttype="rect"/>
            </v:shapetype>
            <v:shape id="MSIPCM6bae4e14b5961a1276718813" o:spid="_x0000_s1029" type="#_x0000_t202" alt="{&quot;HashCode&quot;:1316537984,&quot;Height&quot;:792.0,&quot;Width&quot;:612.0,&quot;Placement&quot;:&quot;Footer&quot;,&quot;Index&quot;:&quot;FirstPage&quot;,&quot;Section&quot;:2,&quot;Top&quot;:0.0,&quot;Left&quot;:0.0}" style="position:absolute;margin-left:0;margin-top:755.5pt;width:612pt;height:21.5pt;z-index:25171942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" o:allowincell="f" filled="f" stroked="f" strokeweight=".5pt">
              <v:textbox inset=",0,,0">
                <w:txbxContent>
                  <w:p w14:paraId="42B83BB1" w14:textId="2373124F" w:rsidR="00C1625B" w:rsidRPr="002C047F" w:rsidRDefault="002C047F" w:rsidP="002C047F">
                    <w:pPr>
                      <w:jc w:val="center"/>
                      <w:rPr>
                        <w:rFonts w:ascii="Calibri" w:hAnsi="Calibri" w:cs="Calibri"/>
                        <w:color w:val="000000"/>
                      </w:rPr>
                    </w:pPr>
                    <w:r w:rsidRPr="002C047F">
                      <w:rPr>
                        <w:rFonts w:ascii="Calibri" w:hAnsi="Calibri" w:cs="Calibri"/>
                        <w:color w:val="00000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9D73" w14:textId="77777777" w:rsidR="00C1625B" w:rsidRDefault="00C1625B">
      <w:r>
        <w:separator/>
      </w:r>
    </w:p>
  </w:footnote>
  <w:footnote w:type="continuationSeparator" w:id="0">
    <w:p w14:paraId="47B1FF82" w14:textId="77777777" w:rsidR="00C1625B" w:rsidRDefault="00C1625B">
      <w:r>
        <w:continuationSeparator/>
      </w:r>
    </w:p>
  </w:footnote>
  <w:footnote w:type="continuationNotice" w:id="1">
    <w:p w14:paraId="7E22F6E9" w14:textId="77777777" w:rsidR="00C1625B" w:rsidRDefault="00C162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D2B1" w14:textId="6B4097B5" w:rsidR="00C1625B" w:rsidRDefault="002C047F">
    <w:pPr>
      <w:pStyle w:val="Header"/>
    </w:pPr>
    <w:r>
      <w:rPr>
        <w:noProof/>
      </w:rPr>
      <w:pict w14:anchorId="4D69B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907532" o:spid="_x0000_s2050" type="#_x0000_t136" style="position:absolute;margin-left:0;margin-top:0;width:562.85pt;height:125.05pt;rotation:315;z-index:-251596033;mso-position-horizontal:center;mso-position-horizontal-relative:margin;mso-position-vertical:center;mso-position-vertical-relative:margin" o:allowincell="f" fillcolor="silver" stroked="f">
          <v:fill opacity=".5"/>
          <v:textpath style="font-family:&quot;Times New Roman&quot;;font-size:1pt" string="BROUIL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19EB" w14:textId="3F2105C8" w:rsidR="00C1625B" w:rsidRDefault="002C047F">
    <w:pPr>
      <w:pStyle w:val="Header"/>
    </w:pPr>
    <w:r>
      <w:rPr>
        <w:noProof/>
      </w:rPr>
      <w:pict w14:anchorId="3793E0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907533" o:spid="_x0000_s2051" type="#_x0000_t136" style="position:absolute;margin-left:0;margin-top:0;width:562.85pt;height:125.05pt;rotation:315;z-index:-251593985;mso-position-horizontal:center;mso-position-horizontal-relative:margin;mso-position-vertical:center;mso-position-vertical-relative:margin" o:allowincell="f" fillcolor="silver" stroked="f">
          <v:fill opacity=".5"/>
          <v:textpath style="font-family:&quot;Times New Roman&quot;;font-size:1pt" string="BROUILL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46EF" w14:textId="13C56752" w:rsidR="00C1625B" w:rsidRPr="00C522E0" w:rsidRDefault="002C047F" w:rsidP="00A73C65">
    <w:pPr>
      <w:spacing w:line="200" w:lineRule="exact"/>
      <w:jc w:val="right"/>
      <w:rPr>
        <w:b/>
        <w:lang w:val="fr-CA"/>
      </w:rPr>
    </w:pPr>
    <w:r>
      <w:rPr>
        <w:noProof/>
      </w:rPr>
      <w:pict w14:anchorId="6754FA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907531" o:spid="_x0000_s2049" type="#_x0000_t136" style="position:absolute;left:0;text-align:left;margin-left:0;margin-top:0;width:562.85pt;height:125.05pt;rotation:315;z-index:-251598081;mso-position-horizontal:center;mso-position-horizontal-relative:margin;mso-position-vertical:center;mso-position-vertical-relative:margin" o:allowincell="f" fillcolor="silver" stroked="f">
          <v:fill opacity=".5"/>
          <v:textpath style="font-family:&quot;Times New Roman&quot;;font-size:1pt" string="BROUILLON"/>
          <w10:wrap anchorx="margin" anchory="margin"/>
        </v:shape>
      </w:pict>
    </w:r>
    <w:r w:rsidR="00C1625B" w:rsidRPr="00C522E0">
      <w:rPr>
        <w:b/>
        <w:lang w:val="fr-CA"/>
      </w:rPr>
      <w:t xml:space="preserve">Version du </w:t>
    </w:r>
    <w:r w:rsidR="00C1625B">
      <w:rPr>
        <w:b/>
        <w:lang w:val="fr-CA"/>
      </w:rPr>
      <w:t>1</w:t>
    </w:r>
    <w:r w:rsidR="00C1625B" w:rsidRPr="00974DA6">
      <w:rPr>
        <w:b/>
        <w:vertAlign w:val="superscript"/>
        <w:lang w:val="fr-CA"/>
      </w:rPr>
      <w:t>er</w:t>
    </w:r>
    <w:r w:rsidR="00C1625B">
      <w:rPr>
        <w:b/>
        <w:lang w:val="fr-CA"/>
      </w:rPr>
      <w:t xml:space="preserve"> juillet 2023</w:t>
    </w:r>
  </w:p>
  <w:p w14:paraId="7D7713AB" w14:textId="1A55E332" w:rsidR="00C1625B" w:rsidRPr="00C522E0" w:rsidRDefault="00C1625B" w:rsidP="00A73C65">
    <w:pPr>
      <w:spacing w:line="200" w:lineRule="exact"/>
      <w:jc w:val="right"/>
      <w:rPr>
        <w:b/>
        <w:lang w:val="fr-CA"/>
      </w:rPr>
    </w:pPr>
    <w:r w:rsidRPr="00C522E0">
      <w:rPr>
        <w:b/>
        <w:lang w:val="fr-CA"/>
      </w:rPr>
      <w:t>MODÈLE DE LETTRE RELATIVE AUX FACILITÉS À DEMANDE (NON À TERME)</w:t>
    </w:r>
  </w:p>
  <w:p w14:paraId="5C3A92C0" w14:textId="483162CD" w:rsidR="00C1625B" w:rsidRPr="00C522E0" w:rsidRDefault="00C1625B" w:rsidP="00A73C65">
    <w:pPr>
      <w:spacing w:line="200" w:lineRule="exact"/>
      <w:jc w:val="right"/>
      <w:rPr>
        <w:b/>
        <w:lang w:val="fr-CA"/>
      </w:rPr>
    </w:pPr>
    <w:r w:rsidRPr="00C522E0">
      <w:rPr>
        <w:b/>
        <w:lang w:val="fr-CA"/>
      </w:rPr>
      <w:t>Y compris</w:t>
    </w:r>
    <w:r>
      <w:rPr>
        <w:b/>
        <w:lang w:val="fr-CA"/>
      </w:rPr>
      <w:t xml:space="preserve"> </w:t>
    </w:r>
    <w:r w:rsidRPr="00C522E0">
      <w:rPr>
        <w:b/>
        <w:lang w:val="fr-CA"/>
      </w:rPr>
      <w:t>les Prêts au taux SOFR (à terme et à un jour), les Prêts au taux SONIA, les Prêts à taux fixe, les Acceptations bancaires et les Swaps</w:t>
    </w:r>
  </w:p>
  <w:p w14:paraId="6A478617" w14:textId="35D9B263" w:rsidR="00C1625B" w:rsidRPr="00C522E0" w:rsidRDefault="00C1625B" w:rsidP="00A73C65">
    <w:pPr>
      <w:spacing w:line="200" w:lineRule="exact"/>
      <w:jc w:val="right"/>
      <w:rPr>
        <w:b/>
        <w:sz w:val="16"/>
        <w:szCs w:val="16"/>
        <w:lang w:val="fr-CA"/>
      </w:rPr>
    </w:pPr>
    <w:r w:rsidRPr="00C522E0">
      <w:rPr>
        <w:b/>
        <w:sz w:val="16"/>
        <w:szCs w:val="16"/>
        <w:lang w:val="fr-CA"/>
      </w:rPr>
      <w:t>DOCUMENT RÉDIGÉ SELON LE DROIT CANADIEN, EN TENANT COMPTE DES EXIGENCES, DE L’OFFRE DE PRODUITS ET DES CAPACITÉS DES SYSTÈMES DU SECTEUR DES SE AU CANADA</w:t>
    </w:r>
  </w:p>
  <w:p w14:paraId="757B5ED1" w14:textId="77777777" w:rsidR="00C1625B" w:rsidRPr="00C522E0" w:rsidRDefault="00C1625B" w:rsidP="00A73C65">
    <w:pPr>
      <w:spacing w:line="200" w:lineRule="exact"/>
      <w:jc w:val="right"/>
      <w:rPr>
        <w:b/>
        <w:sz w:val="16"/>
        <w:szCs w:val="16"/>
        <w:lang w:val="fr-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45EB" w14:textId="604EBBB8" w:rsidR="00C1625B" w:rsidRDefault="002C047F">
    <w:pPr>
      <w:pStyle w:val="Header"/>
    </w:pPr>
    <w:r>
      <w:rPr>
        <w:noProof/>
      </w:rPr>
      <w:pict w14:anchorId="14998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907535" o:spid="_x0000_s2053" type="#_x0000_t136" style="position:absolute;margin-left:0;margin-top:0;width:562.85pt;height:125.05pt;rotation:315;z-index:-251589889;mso-position-horizontal:center;mso-position-horizontal-relative:margin;mso-position-vertical:center;mso-position-vertical-relative:margin" o:allowincell="f" fillcolor="silver" stroked="f">
          <v:fill opacity=".5"/>
          <v:textpath style="font-family:&quot;Times New Roman&quot;;font-size:1pt" string="BROUILL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8757" w14:textId="4FB27687" w:rsidR="00C1625B" w:rsidRDefault="002C047F">
    <w:pPr>
      <w:pStyle w:val="Header"/>
    </w:pPr>
    <w:r>
      <w:rPr>
        <w:noProof/>
      </w:rPr>
      <w:pict w14:anchorId="6E8DC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907536" o:spid="_x0000_s2054" type="#_x0000_t136" style="position:absolute;margin-left:0;margin-top:0;width:562.85pt;height:125.05pt;rotation:315;z-index:-251587841;mso-position-horizontal:center;mso-position-horizontal-relative:margin;mso-position-vertical:center;mso-position-vertical-relative:margin" o:allowincell="f" fillcolor="silver" stroked="f">
          <v:fill opacity=".5"/>
          <v:textpath style="font-family:&quot;Times New Roman&quot;;font-size:1pt" string="BROUILL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EE6B" w14:textId="1C923F30" w:rsidR="00C1625B" w:rsidRDefault="002C047F">
    <w:pPr>
      <w:pStyle w:val="Header"/>
    </w:pPr>
    <w:r>
      <w:rPr>
        <w:noProof/>
      </w:rPr>
      <w:pict w14:anchorId="54996A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907534" o:spid="_x0000_s2052" type="#_x0000_t136" style="position:absolute;margin-left:0;margin-top:0;width:562.85pt;height:125.05pt;rotation:315;z-index:-251591937;mso-position-horizontal:center;mso-position-horizontal-relative:margin;mso-position-vertical:center;mso-position-vertical-relative:margin" o:allowincell="f" fillcolor="silver" stroked="f">
          <v:fill opacity=".5"/>
          <v:textpath style="font-family:&quot;Times New Roman&quot;;font-size:1pt" string="BROUIL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55CB45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7A98AAC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9B8E0C7A"/>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EC2E679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652D8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E3277B2"/>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C1E738A"/>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E272D1C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04C6F1F"/>
    <w:multiLevelType w:val="multilevel"/>
    <w:tmpl w:val="1242BE4E"/>
    <w:name w:val="Standard 2"/>
    <w:lvl w:ilvl="0">
      <w:start w:val="1"/>
      <w:numFmt w:val="decimal"/>
      <w:lvlText w:val="%1."/>
      <w:lvlJc w:val="left"/>
      <w:pPr>
        <w:tabs>
          <w:tab w:val="num" w:pos="720"/>
        </w:tabs>
        <w:ind w:left="720" w:hanging="720"/>
      </w:pPr>
      <w:rPr>
        <w:caps w:val="0"/>
        <w:color w:val="010000"/>
        <w:u w:val="none"/>
      </w:rPr>
    </w:lvl>
    <w:lvl w:ilvl="1">
      <w:start w:val="1"/>
      <w:numFmt w:val="lowerLetter"/>
      <w:lvlText w:val="(%2)"/>
      <w:lvlJc w:val="left"/>
      <w:pPr>
        <w:tabs>
          <w:tab w:val="num" w:pos="1440"/>
        </w:tabs>
        <w:ind w:left="1440" w:hanging="720"/>
      </w:pPr>
      <w:rPr>
        <w:caps w:val="0"/>
        <w:color w:val="010000"/>
        <w:u w:val="none"/>
      </w:rPr>
    </w:lvl>
    <w:lvl w:ilvl="2">
      <w:start w:val="1"/>
      <w:numFmt w:val="lowerRoman"/>
      <w:lvlText w:val="(%3)"/>
      <w:lvlJc w:val="left"/>
      <w:pPr>
        <w:tabs>
          <w:tab w:val="num" w:pos="2160"/>
        </w:tabs>
        <w:ind w:left="2160" w:hanging="720"/>
      </w:pPr>
      <w:rPr>
        <w:caps w:val="0"/>
        <w:color w:val="010000"/>
        <w:u w:val="none"/>
      </w:rPr>
    </w:lvl>
    <w:lvl w:ilvl="3">
      <w:start w:val="1"/>
      <w:numFmt w:val="upperLetter"/>
      <w:lvlText w:val="%4."/>
      <w:lvlJc w:val="left"/>
      <w:pPr>
        <w:tabs>
          <w:tab w:val="num" w:pos="2880"/>
        </w:tabs>
        <w:ind w:left="2880" w:hanging="720"/>
      </w:pPr>
      <w:rPr>
        <w:caps w:val="0"/>
        <w:color w:val="010000"/>
        <w:u w:val="none"/>
      </w:rPr>
    </w:lvl>
    <w:lvl w:ilvl="4">
      <w:start w:val="1"/>
      <w:numFmt w:val="upperRoman"/>
      <w:lvlText w:val="%5."/>
      <w:lvlJc w:val="left"/>
      <w:pPr>
        <w:tabs>
          <w:tab w:val="num" w:pos="3600"/>
        </w:tabs>
        <w:ind w:left="3600" w:hanging="720"/>
      </w:pPr>
      <w:rPr>
        <w:caps w:val="0"/>
        <w:color w:val="010000"/>
        <w:u w:val="none"/>
      </w:rPr>
    </w:lvl>
    <w:lvl w:ilvl="5">
      <w:start w:val="1"/>
      <w:numFmt w:val="decimal"/>
      <w:lvlText w:val="(%6)"/>
      <w:lvlJc w:val="left"/>
      <w:pPr>
        <w:tabs>
          <w:tab w:val="num" w:pos="4320"/>
        </w:tabs>
        <w:ind w:left="4320" w:hanging="720"/>
      </w:pPr>
      <w:rPr>
        <w:caps w:val="0"/>
        <w:color w:val="010000"/>
        <w:u w:val="none"/>
      </w:rPr>
    </w:lvl>
    <w:lvl w:ilvl="6">
      <w:start w:val="1"/>
      <w:numFmt w:val="lowerLetter"/>
      <w:lvlText w:val="%7."/>
      <w:lvlJc w:val="left"/>
      <w:pPr>
        <w:tabs>
          <w:tab w:val="num" w:pos="5040"/>
        </w:tabs>
        <w:ind w:left="5040" w:hanging="720"/>
      </w:pPr>
      <w:rPr>
        <w:caps w:val="0"/>
        <w:color w:val="010000"/>
        <w:u w:val="none"/>
      </w:rPr>
    </w:lvl>
    <w:lvl w:ilvl="7">
      <w:start w:val="1"/>
      <w:numFmt w:val="decimal"/>
      <w:lvlText w:val="%8."/>
      <w:lvlJc w:val="left"/>
      <w:pPr>
        <w:tabs>
          <w:tab w:val="num" w:pos="5760"/>
        </w:tabs>
        <w:ind w:left="5760" w:hanging="720"/>
      </w:pPr>
      <w:rPr>
        <w:caps w:val="0"/>
        <w:color w:val="010000"/>
        <w:u w:val="none"/>
      </w:rPr>
    </w:lvl>
    <w:lvl w:ilvl="8">
      <w:start w:val="1"/>
      <w:numFmt w:val="upperLetter"/>
      <w:lvlText w:val="%9."/>
      <w:lvlJc w:val="left"/>
      <w:pPr>
        <w:tabs>
          <w:tab w:val="num" w:pos="6480"/>
        </w:tabs>
        <w:ind w:left="6480" w:hanging="720"/>
      </w:pPr>
      <w:rPr>
        <w:caps w:val="0"/>
        <w:color w:val="010000"/>
        <w:u w:val="none"/>
      </w:rPr>
    </w:lvl>
  </w:abstractNum>
  <w:abstractNum w:abstractNumId="9" w15:restartNumberingAfterBreak="0">
    <w:nsid w:val="12EB78F0"/>
    <w:multiLevelType w:val="hybridMultilevel"/>
    <w:tmpl w:val="E8267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884736"/>
    <w:multiLevelType w:val="multilevel"/>
    <w:tmpl w:val="53E841E8"/>
    <w:lvl w:ilvl="0">
      <w:start w:val="1"/>
      <w:numFmt w:val="decimal"/>
      <w:pStyle w:val="04LOLglNew1"/>
      <w:lvlText w:val="%1."/>
      <w:lvlJc w:val="left"/>
      <w:pPr>
        <w:ind w:left="720" w:hanging="720"/>
      </w:pPr>
      <w:rPr>
        <w:rFonts w:ascii="Arial Bold" w:hAnsi="Arial Bold" w:cs="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4LOLglNew2"/>
      <w:lvlText w:val="%1.%2"/>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04LOLglNew3"/>
      <w:lvlText w:val="(%3)"/>
      <w:lvlJc w:val="left"/>
      <w:pPr>
        <w:ind w:left="709" w:hanging="709"/>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04LOLglNew4"/>
      <w:lvlText w:val="(%4)"/>
      <w:lvlJc w:val="left"/>
      <w:pPr>
        <w:ind w:left="1418" w:hanging="709"/>
      </w:pPr>
      <w:rPr>
        <w:rFonts w:ascii="Arial" w:hAnsi="Arial" w:cs="Times New Roman"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04LOLglNew5"/>
      <w:lvlText w:val="(%5)"/>
      <w:lvlJc w:val="left"/>
      <w:pPr>
        <w:ind w:left="2126"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04LOLglNew6"/>
      <w:lvlText w:val="(%6)"/>
      <w:lvlJc w:val="left"/>
      <w:pPr>
        <w:ind w:left="3544" w:hanging="709"/>
      </w:pPr>
      <w:rPr>
        <w:rFonts w:ascii="Times New Roman" w:hAnsi="Times New Roman" w:cs="Times New Roman" w:hint="default"/>
        <w:b/>
        <w:i w:val="0"/>
        <w:caps w:val="0"/>
        <w:strike w:val="0"/>
        <w:dstrike w:val="0"/>
        <w:vanish w:val="0"/>
        <w:color w:val="00000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04LOLglNew7"/>
      <w:lvlText w:val="(%7)"/>
      <w:lvlJc w:val="left"/>
      <w:pPr>
        <w:ind w:left="4253" w:hanging="709"/>
      </w:pPr>
      <w:rPr>
        <w:rFonts w:ascii="Times New Roman" w:hAnsi="Times New Roman" w:cs="Times New Roman" w:hint="default"/>
        <w:b/>
        <w:i w:val="0"/>
        <w:caps w:val="0"/>
        <w:strike w:val="0"/>
        <w:dstrike w:val="0"/>
        <w:vanish w:val="0"/>
        <w:color w:val="00000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04LOLglNew8"/>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04LOLglNew9"/>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1D9344D"/>
    <w:multiLevelType w:val="hybridMultilevel"/>
    <w:tmpl w:val="735629C8"/>
    <w:name w:val="(Unnamed Numbering Scheme)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90021DF"/>
    <w:multiLevelType w:val="multilevel"/>
    <w:tmpl w:val="4C76C8B2"/>
    <w:lvl w:ilvl="0">
      <w:start w:val="1"/>
      <w:numFmt w:val="decimal"/>
      <w:lvlText w:val="%1."/>
      <w:lvlJc w:val="left"/>
      <w:pPr>
        <w:tabs>
          <w:tab w:val="num" w:pos="720"/>
        </w:tabs>
        <w:ind w:left="720" w:hanging="720"/>
      </w:pPr>
      <w:rPr>
        <w:rFonts w:ascii="Arial" w:hAnsi="Arial" w:cs="Arial" w:hint="default"/>
        <w:b w:val="0"/>
        <w:i w:val="0"/>
        <w:caps/>
        <w:smallCaps w:val="0"/>
        <w:color w:val="010000"/>
        <w:sz w:val="24"/>
        <w:szCs w:val="24"/>
        <w:u w:val="none"/>
      </w:rPr>
    </w:lvl>
    <w:lvl w:ilvl="1">
      <w:start w:val="1"/>
      <w:numFmt w:val="decimal"/>
      <w:isLgl/>
      <w:lvlText w:val="%1.%2"/>
      <w:lvlJc w:val="left"/>
      <w:pPr>
        <w:tabs>
          <w:tab w:val="num" w:pos="1713"/>
        </w:tabs>
        <w:ind w:left="993" w:firstLine="0"/>
      </w:pPr>
      <w:rPr>
        <w:rFonts w:ascii="Arial" w:hAnsi="Arial" w:cs="Arial" w:hint="default"/>
        <w:b w:val="0"/>
        <w:i w:val="0"/>
        <w:caps w:val="0"/>
        <w:color w:val="010000"/>
        <w:sz w:val="20"/>
        <w:szCs w:val="20"/>
        <w:u w:val="none"/>
      </w:rPr>
    </w:lvl>
    <w:lvl w:ilvl="2">
      <w:start w:val="1"/>
      <w:numFmt w:val="decimal"/>
      <w:lvlText w:val="2.%2.%3"/>
      <w:lvlJc w:val="left"/>
      <w:pPr>
        <w:tabs>
          <w:tab w:val="num" w:pos="1440"/>
        </w:tabs>
        <w:ind w:left="0" w:firstLine="720"/>
      </w:pPr>
      <w:rPr>
        <w:rFonts w:ascii="Arial" w:hAnsi="Arial" w:cs="Arial" w:hint="default"/>
        <w:b w:val="0"/>
        <w:i w:val="0"/>
        <w:caps w:val="0"/>
        <w:color w:val="010000"/>
        <w:sz w:val="20"/>
        <w:szCs w:val="20"/>
        <w:u w:val="none"/>
      </w:rPr>
    </w:lvl>
    <w:lvl w:ilvl="3">
      <w:start w:val="1"/>
      <w:numFmt w:val="lowerLetter"/>
      <w:lvlText w:val="%4)"/>
      <w:lvlJc w:val="left"/>
      <w:pPr>
        <w:tabs>
          <w:tab w:val="num" w:pos="792"/>
        </w:tabs>
        <w:ind w:left="720" w:hanging="720"/>
      </w:pPr>
      <w:rPr>
        <w:rFonts w:ascii="Arial" w:hAnsi="Arial" w:cs="Arial" w:hint="default"/>
        <w:b w:val="0"/>
        <w:i w:val="0"/>
        <w:caps w:val="0"/>
        <w:color w:val="010000"/>
        <w:sz w:val="20"/>
        <w:szCs w:val="20"/>
        <w:u w:val="none"/>
      </w:rPr>
    </w:lvl>
    <w:lvl w:ilvl="4">
      <w:start w:val="1"/>
      <w:numFmt w:val="lowerRoman"/>
      <w:lvlText w:val="%5)"/>
      <w:lvlJc w:val="left"/>
      <w:pPr>
        <w:tabs>
          <w:tab w:val="num" w:pos="0"/>
        </w:tabs>
        <w:ind w:left="0" w:firstLine="1440"/>
      </w:pPr>
      <w:rPr>
        <w:rFonts w:ascii="Arial" w:eastAsia="Arial" w:hAnsi="Arial" w:cs="Arial" w:hint="default"/>
        <w:b w:val="0"/>
        <w:bCs w:val="0"/>
        <w:i w:val="0"/>
        <w:iCs w:val="0"/>
        <w:caps w:val="0"/>
        <w:smallCaps w:val="0"/>
        <w:strike w:val="0"/>
        <w:dstrike w:val="0"/>
        <w:noProof w:val="0"/>
        <w:vanish w:val="0"/>
        <w:color w:val="231F20"/>
        <w:spacing w:val="-2"/>
        <w:w w:val="10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tabs>
          <w:tab w:val="num" w:pos="2880"/>
        </w:tabs>
        <w:ind w:left="0" w:firstLine="2160"/>
      </w:pPr>
      <w:rPr>
        <w:rFonts w:hint="default"/>
        <w:caps w:val="0"/>
        <w:color w:val="010000"/>
        <w:u w:val="none"/>
      </w:rPr>
    </w:lvl>
    <w:lvl w:ilvl="6">
      <w:start w:val="1"/>
      <w:numFmt w:val="decimal"/>
      <w:lvlText w:val="(%7)"/>
      <w:lvlJc w:val="left"/>
      <w:pPr>
        <w:tabs>
          <w:tab w:val="num" w:pos="3600"/>
        </w:tabs>
        <w:ind w:left="0" w:firstLine="2880"/>
      </w:pPr>
      <w:rPr>
        <w:rFonts w:hint="default"/>
        <w:caps w:val="0"/>
        <w:color w:val="010000"/>
        <w:u w:val="none"/>
      </w:rPr>
    </w:lvl>
    <w:lvl w:ilvl="7">
      <w:start w:val="1"/>
      <w:numFmt w:val="lowerLetter"/>
      <w:lvlText w:val="%8)"/>
      <w:lvlJc w:val="left"/>
      <w:pPr>
        <w:tabs>
          <w:tab w:val="num" w:pos="4320"/>
        </w:tabs>
        <w:ind w:left="0" w:firstLine="3600"/>
      </w:pPr>
      <w:rPr>
        <w:rFonts w:hint="default"/>
        <w:caps w:val="0"/>
        <w:color w:val="010000"/>
        <w:u w:val="none"/>
      </w:rPr>
    </w:lvl>
    <w:lvl w:ilvl="8">
      <w:start w:val="1"/>
      <w:numFmt w:val="lowerRoman"/>
      <w:lvlText w:val="%9)"/>
      <w:lvlJc w:val="left"/>
      <w:pPr>
        <w:tabs>
          <w:tab w:val="num" w:pos="5040"/>
        </w:tabs>
        <w:ind w:left="0" w:firstLine="4320"/>
      </w:pPr>
      <w:rPr>
        <w:rFonts w:ascii="Arial" w:hAnsi="Arial" w:cs="Arial" w:hint="default"/>
        <w:caps w:val="0"/>
        <w:color w:val="010000"/>
        <w:u w:val="none"/>
      </w:rPr>
    </w:lvl>
  </w:abstractNum>
  <w:abstractNum w:abstractNumId="13" w15:restartNumberingAfterBreak="0">
    <w:nsid w:val="29880F06"/>
    <w:multiLevelType w:val="multilevel"/>
    <w:tmpl w:val="363E398E"/>
    <w:lvl w:ilvl="0">
      <w:start w:val="1"/>
      <w:numFmt w:val="decimal"/>
      <w:pStyle w:val="Level1"/>
      <w:lvlText w:val="%1."/>
      <w:lvlJc w:val="left"/>
      <w:pPr>
        <w:tabs>
          <w:tab w:val="num" w:pos="624"/>
        </w:tabs>
        <w:ind w:left="624" w:hanging="624"/>
      </w:pPr>
      <w:rPr>
        <w:rFonts w:ascii="Arial" w:hAnsi="Arial" w:hint="default"/>
        <w:b w:val="0"/>
        <w:i w:val="0"/>
        <w:sz w:val="20"/>
      </w:rPr>
    </w:lvl>
    <w:lvl w:ilvl="1">
      <w:start w:val="1"/>
      <w:numFmt w:val="decimal"/>
      <w:pStyle w:val="Level2"/>
      <w:lvlText w:val="35.%2"/>
      <w:lvlJc w:val="left"/>
      <w:pPr>
        <w:tabs>
          <w:tab w:val="num" w:pos="624"/>
        </w:tabs>
        <w:ind w:left="624" w:hanging="624"/>
      </w:pPr>
      <w:rPr>
        <w:rFonts w:ascii="Arial" w:hAnsi="Arial" w:hint="default"/>
        <w:b w:val="0"/>
        <w:i w:val="0"/>
        <w:sz w:val="20"/>
      </w:rPr>
    </w:lvl>
    <w:lvl w:ilvl="2">
      <w:start w:val="3"/>
      <w:numFmt w:val="lowerLetter"/>
      <w:pStyle w:val="Level3"/>
      <w:lvlText w:val="(%3)"/>
      <w:lvlJc w:val="left"/>
      <w:pPr>
        <w:tabs>
          <w:tab w:val="num" w:pos="624"/>
        </w:tabs>
        <w:ind w:left="624" w:hanging="624"/>
      </w:pPr>
      <w:rPr>
        <w:rFonts w:ascii="Arial" w:hAnsi="Arial" w:hint="default"/>
        <w:b w:val="0"/>
        <w:i w:val="0"/>
        <w:color w:val="auto"/>
        <w:sz w:val="20"/>
      </w:rPr>
    </w:lvl>
    <w:lvl w:ilvl="3">
      <w:start w:val="1"/>
      <w:numFmt w:val="lowerRoman"/>
      <w:pStyle w:val="Level4"/>
      <w:lvlText w:val="(%4)"/>
      <w:lvlJc w:val="left"/>
      <w:pPr>
        <w:tabs>
          <w:tab w:val="num" w:pos="1361"/>
        </w:tabs>
        <w:ind w:left="1361" w:hanging="737"/>
      </w:pPr>
      <w:rPr>
        <w:rFonts w:ascii="Arial" w:hAnsi="Arial" w:hint="default"/>
        <w:b w:val="0"/>
        <w:i w:val="0"/>
        <w:sz w:val="20"/>
      </w:rPr>
    </w:lvl>
    <w:lvl w:ilvl="4">
      <w:start w:val="1"/>
      <w:numFmt w:val="lowerLetter"/>
      <w:pStyle w:val="Level5"/>
      <w:lvlText w:val="(%5)"/>
      <w:lvlJc w:val="left"/>
      <w:pPr>
        <w:tabs>
          <w:tab w:val="num" w:pos="1361"/>
        </w:tabs>
        <w:ind w:left="1361" w:hanging="737"/>
      </w:pPr>
      <w:rPr>
        <w:rFonts w:ascii="Arial" w:hAnsi="Arial" w:hint="default"/>
        <w:b w:val="0"/>
        <w:i w:val="0"/>
        <w:sz w:val="20"/>
        <w:u w:val="none"/>
      </w:rPr>
    </w:lvl>
    <w:lvl w:ilvl="5">
      <w:start w:val="1"/>
      <w:numFmt w:val="lowerRoman"/>
      <w:pStyle w:val="Level6"/>
      <w:lvlText w:val="(%6)"/>
      <w:lvlJc w:val="left"/>
      <w:pPr>
        <w:tabs>
          <w:tab w:val="num" w:pos="2041"/>
        </w:tabs>
        <w:ind w:left="2041" w:hanging="680"/>
      </w:pPr>
      <w:rPr>
        <w:rFonts w:ascii="Arial" w:hAnsi="Arial" w:hint="default"/>
        <w:b w:val="0"/>
        <w:i w:val="0"/>
        <w:color w:val="auto"/>
        <w:sz w:val="20"/>
      </w:rPr>
    </w:lvl>
    <w:lvl w:ilvl="6">
      <w:start w:val="1"/>
      <w:numFmt w:val="upperLetter"/>
      <w:pStyle w:val="Level7"/>
      <w:lvlText w:val="(%7)"/>
      <w:lvlJc w:val="left"/>
      <w:pPr>
        <w:tabs>
          <w:tab w:val="num" w:pos="2041"/>
        </w:tabs>
        <w:ind w:left="2041" w:hanging="680"/>
      </w:pPr>
      <w:rPr>
        <w:rFonts w:ascii="Arial" w:hAnsi="Arial" w:hint="default"/>
        <w:b w:val="0"/>
        <w:i w:val="0"/>
        <w:sz w:val="20"/>
      </w:rPr>
    </w:lvl>
    <w:lvl w:ilvl="7">
      <w:start w:val="1"/>
      <w:numFmt w:val="upperLetter"/>
      <w:pStyle w:val="Level8"/>
      <w:lvlText w:val="(%8)"/>
      <w:lvlJc w:val="left"/>
      <w:pPr>
        <w:tabs>
          <w:tab w:val="num" w:pos="2722"/>
        </w:tabs>
        <w:ind w:left="2722" w:hanging="681"/>
      </w:pPr>
      <w:rPr>
        <w:rFonts w:ascii="Arial" w:hAnsi="Arial" w:hint="default"/>
        <w:b w:val="0"/>
        <w:i w:val="0"/>
        <w:sz w:val="20"/>
      </w:rPr>
    </w:lvl>
    <w:lvl w:ilvl="8">
      <w:start w:val="1"/>
      <w:numFmt w:val="none"/>
      <w:lvlText w:val=""/>
      <w:lvlJc w:val="left"/>
      <w:pPr>
        <w:tabs>
          <w:tab w:val="num" w:pos="4320"/>
        </w:tabs>
        <w:ind w:left="4320" w:hanging="1440"/>
      </w:pPr>
      <w:rPr>
        <w:rFonts w:hint="default"/>
      </w:rPr>
    </w:lvl>
  </w:abstractNum>
  <w:abstractNum w:abstractNumId="14" w15:restartNumberingAfterBreak="0">
    <w:nsid w:val="2AA960C8"/>
    <w:multiLevelType w:val="multilevel"/>
    <w:tmpl w:val="0922A65E"/>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lowerLetter"/>
      <w:lvlText w:val="(%2)"/>
      <w:lvlJc w:val="left"/>
      <w:pPr>
        <w:tabs>
          <w:tab w:val="num" w:pos="1440"/>
        </w:tabs>
        <w:ind w:left="1440" w:hanging="720"/>
      </w:pPr>
      <w:rPr>
        <w:rFonts w:hint="default"/>
        <w:caps w:val="0"/>
        <w:effect w:val="none"/>
      </w:rPr>
    </w:lvl>
    <w:lvl w:ilvl="2">
      <w:start w:val="1"/>
      <w:numFmt w:val="lowerRoman"/>
      <w:pStyle w:val="ScheduleL3"/>
      <w:lvlText w:val="(%3)"/>
      <w:lvlJc w:val="left"/>
      <w:pPr>
        <w:tabs>
          <w:tab w:val="num" w:pos="2160"/>
        </w:tabs>
        <w:ind w:left="2160" w:hanging="720"/>
      </w:pPr>
      <w:rPr>
        <w:rFonts w:hint="default"/>
        <w:caps w:val="0"/>
        <w:effect w:val="none"/>
      </w:rPr>
    </w:lvl>
    <w:lvl w:ilvl="3">
      <w:start w:val="1"/>
      <w:numFmt w:val="upperLetter"/>
      <w:pStyle w:val="ScheduleL4"/>
      <w:lvlText w:val="(%4)"/>
      <w:lvlJc w:val="left"/>
      <w:pPr>
        <w:tabs>
          <w:tab w:val="num" w:pos="2880"/>
        </w:tabs>
        <w:ind w:left="2880" w:hanging="720"/>
      </w:pPr>
      <w:rPr>
        <w:rFonts w:hint="default"/>
        <w:caps w:val="0"/>
        <w:effect w:val="none"/>
      </w:rPr>
    </w:lvl>
    <w:lvl w:ilvl="4">
      <w:start w:val="1"/>
      <w:numFmt w:val="decimal"/>
      <w:pStyle w:val="ScheduleL5"/>
      <w:lvlText w:val="(%5)"/>
      <w:lvlJc w:val="left"/>
      <w:pPr>
        <w:tabs>
          <w:tab w:val="num" w:pos="3600"/>
        </w:tabs>
        <w:ind w:left="3600" w:hanging="720"/>
      </w:pPr>
      <w:rPr>
        <w:rFonts w:hint="default"/>
        <w:caps w:val="0"/>
        <w:effect w:val="none"/>
      </w:rPr>
    </w:lvl>
    <w:lvl w:ilvl="5">
      <w:start w:val="1"/>
      <w:numFmt w:val="lowerLetter"/>
      <w:pStyle w:val="ScheduleL6"/>
      <w:lvlText w:val="(%6)"/>
      <w:lvlJc w:val="left"/>
      <w:pPr>
        <w:tabs>
          <w:tab w:val="num" w:pos="4320"/>
        </w:tabs>
        <w:ind w:left="4320" w:hanging="720"/>
      </w:pPr>
      <w:rPr>
        <w:rFonts w:hint="default"/>
        <w:caps w:val="0"/>
        <w:effect w:val="none"/>
      </w:rPr>
    </w:lvl>
    <w:lvl w:ilvl="6">
      <w:start w:val="1"/>
      <w:numFmt w:val="lowerRoman"/>
      <w:pStyle w:val="ScheduleL7"/>
      <w:lvlText w:val="(%7)"/>
      <w:lvlJc w:val="left"/>
      <w:pPr>
        <w:tabs>
          <w:tab w:val="num" w:pos="5040"/>
        </w:tabs>
        <w:ind w:left="5040" w:hanging="720"/>
      </w:pPr>
      <w:rPr>
        <w:rFonts w:hint="default"/>
        <w:caps w:val="0"/>
        <w:effect w:val="none"/>
      </w:rPr>
    </w:lvl>
    <w:lvl w:ilvl="7">
      <w:start w:val="1"/>
      <w:numFmt w:val="upperLetter"/>
      <w:pStyle w:val="ScheduleL8"/>
      <w:lvlText w:val="(%8)"/>
      <w:lvlJc w:val="left"/>
      <w:pPr>
        <w:tabs>
          <w:tab w:val="num" w:pos="5760"/>
        </w:tabs>
        <w:ind w:left="5760" w:hanging="720"/>
      </w:pPr>
      <w:rPr>
        <w:rFonts w:hint="default"/>
        <w:caps w:val="0"/>
        <w:effect w:val="none"/>
      </w:rPr>
    </w:lvl>
    <w:lvl w:ilvl="8">
      <w:start w:val="1"/>
      <w:numFmt w:val="upperRoman"/>
      <w:pStyle w:val="ScheduleL9"/>
      <w:lvlText w:val="(%9)"/>
      <w:lvlJc w:val="left"/>
      <w:pPr>
        <w:tabs>
          <w:tab w:val="num" w:pos="6480"/>
        </w:tabs>
        <w:ind w:left="6480" w:hanging="720"/>
      </w:pPr>
      <w:rPr>
        <w:rFonts w:hint="default"/>
        <w:caps w:val="0"/>
        <w:effect w:val="none"/>
      </w:rPr>
    </w:lvl>
  </w:abstractNum>
  <w:abstractNum w:abstractNumId="15" w15:restartNumberingAfterBreak="0">
    <w:nsid w:val="384C735A"/>
    <w:multiLevelType w:val="multilevel"/>
    <w:tmpl w:val="01B4BB84"/>
    <w:name w:val="Schedule 3"/>
    <w:lvl w:ilvl="0">
      <w:start w:val="1"/>
      <w:numFmt w:val="decimal"/>
      <w:pStyle w:val="Schedule3L1"/>
      <w:suff w:val="nothing"/>
      <w:lvlText w:val="Schedule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Roman"/>
      <w:pStyle w:val="Schedule3L2"/>
      <w:suff w:val="nothing"/>
      <w:lvlText w:val="Part %2"/>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Schedule3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Schedule3L6"/>
      <w:lvlText w:val="(%6)"/>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6" w15:restartNumberingAfterBreak="0">
    <w:nsid w:val="40096210"/>
    <w:multiLevelType w:val="hybridMultilevel"/>
    <w:tmpl w:val="AEC676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775E7D"/>
    <w:multiLevelType w:val="multilevel"/>
    <w:tmpl w:val="996AFB84"/>
    <w:name w:val="(Unnamed Numbering Scheme)3"/>
    <w:lvl w:ilvl="0">
      <w:start w:val="3"/>
      <w:numFmt w:val="decimal"/>
      <w:lvlText w:val="%1."/>
      <w:lvlJc w:val="left"/>
      <w:pPr>
        <w:tabs>
          <w:tab w:val="num" w:pos="720"/>
        </w:tabs>
        <w:ind w:left="720" w:hanging="720"/>
      </w:pPr>
      <w:rPr>
        <w:rFonts w:ascii="Arial" w:hAnsi="Arial" w:cs="Arial" w:hint="default"/>
        <w:b w:val="0"/>
        <w:i w:val="0"/>
        <w:caps/>
        <w:smallCaps w:val="0"/>
        <w:color w:val="010000"/>
        <w:sz w:val="24"/>
        <w:szCs w:val="24"/>
        <w:u w:val="none"/>
      </w:rPr>
    </w:lvl>
    <w:lvl w:ilvl="1">
      <w:start w:val="6"/>
      <w:numFmt w:val="decimal"/>
      <w:isLgl/>
      <w:lvlText w:val="%1.%2"/>
      <w:lvlJc w:val="left"/>
      <w:pPr>
        <w:tabs>
          <w:tab w:val="num" w:pos="720"/>
        </w:tabs>
        <w:ind w:left="0" w:firstLine="0"/>
      </w:pPr>
      <w:rPr>
        <w:rFonts w:ascii="Arial" w:hAnsi="Arial" w:cs="Arial" w:hint="default"/>
        <w:b w:val="0"/>
        <w:i w:val="0"/>
        <w:caps w:val="0"/>
        <w:color w:val="010000"/>
        <w:sz w:val="20"/>
        <w:szCs w:val="20"/>
        <w:u w:val="none"/>
      </w:rPr>
    </w:lvl>
    <w:lvl w:ilvl="2">
      <w:start w:val="1"/>
      <w:numFmt w:val="decimal"/>
      <w:lvlText w:val="%1.%2.%3"/>
      <w:lvlJc w:val="left"/>
      <w:pPr>
        <w:tabs>
          <w:tab w:val="num" w:pos="1440"/>
        </w:tabs>
        <w:ind w:left="0" w:firstLine="720"/>
      </w:pPr>
      <w:rPr>
        <w:rFonts w:ascii="Arial" w:hAnsi="Arial" w:cs="Arial" w:hint="default"/>
        <w:b w:val="0"/>
        <w:i w:val="0"/>
        <w:caps w:val="0"/>
        <w:color w:val="010000"/>
        <w:sz w:val="20"/>
        <w:szCs w:val="20"/>
        <w:u w:val="none"/>
      </w:rPr>
    </w:lvl>
    <w:lvl w:ilvl="3">
      <w:start w:val="1"/>
      <w:numFmt w:val="lowerLetter"/>
      <w:lvlText w:val="%4)"/>
      <w:lvlJc w:val="left"/>
      <w:pPr>
        <w:tabs>
          <w:tab w:val="num" w:pos="792"/>
        </w:tabs>
        <w:ind w:left="720" w:hanging="720"/>
      </w:pPr>
      <w:rPr>
        <w:rFonts w:ascii="Arial" w:hAnsi="Arial" w:cs="Arial" w:hint="default"/>
        <w:b w:val="0"/>
        <w:i w:val="0"/>
        <w:caps w:val="0"/>
        <w:color w:val="010000"/>
        <w:sz w:val="20"/>
        <w:szCs w:val="20"/>
        <w:u w:val="none"/>
      </w:rPr>
    </w:lvl>
    <w:lvl w:ilvl="4">
      <w:start w:val="1"/>
      <w:numFmt w:val="lowerRoman"/>
      <w:lvlText w:val="(%5)"/>
      <w:lvlJc w:val="left"/>
      <w:pPr>
        <w:tabs>
          <w:tab w:val="num" w:pos="0"/>
        </w:tabs>
        <w:ind w:left="0" w:firstLine="1440"/>
      </w:pPr>
      <w:rPr>
        <w:rFonts w:asciiTheme="minorBidi" w:eastAsia="Times New Roman" w:hAnsiTheme="minorBidi" w:cstheme="minorBidi"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upperLetter"/>
      <w:lvlText w:val="(%6)"/>
      <w:lvlJc w:val="left"/>
      <w:pPr>
        <w:tabs>
          <w:tab w:val="num" w:pos="2880"/>
        </w:tabs>
        <w:ind w:left="0" w:firstLine="2160"/>
      </w:pPr>
      <w:rPr>
        <w:rFonts w:hint="default"/>
        <w:caps w:val="0"/>
        <w:color w:val="010000"/>
        <w:u w:val="none"/>
      </w:rPr>
    </w:lvl>
    <w:lvl w:ilvl="6">
      <w:start w:val="1"/>
      <w:numFmt w:val="decimal"/>
      <w:lvlText w:val="(%7)"/>
      <w:lvlJc w:val="left"/>
      <w:pPr>
        <w:tabs>
          <w:tab w:val="num" w:pos="3600"/>
        </w:tabs>
        <w:ind w:left="0" w:firstLine="2880"/>
      </w:pPr>
      <w:rPr>
        <w:rFonts w:hint="default"/>
        <w:caps w:val="0"/>
        <w:color w:val="010000"/>
        <w:u w:val="none"/>
      </w:rPr>
    </w:lvl>
    <w:lvl w:ilvl="7">
      <w:start w:val="1"/>
      <w:numFmt w:val="lowerLetter"/>
      <w:lvlText w:val="%8)"/>
      <w:lvlJc w:val="left"/>
      <w:pPr>
        <w:tabs>
          <w:tab w:val="num" w:pos="4320"/>
        </w:tabs>
        <w:ind w:left="0" w:firstLine="3600"/>
      </w:pPr>
      <w:rPr>
        <w:rFonts w:hint="default"/>
        <w:caps w:val="0"/>
        <w:color w:val="010000"/>
        <w:u w:val="none"/>
      </w:rPr>
    </w:lvl>
    <w:lvl w:ilvl="8">
      <w:start w:val="1"/>
      <w:numFmt w:val="lowerRoman"/>
      <w:lvlText w:val="%9)"/>
      <w:lvlJc w:val="left"/>
      <w:pPr>
        <w:tabs>
          <w:tab w:val="num" w:pos="5040"/>
        </w:tabs>
        <w:ind w:left="0" w:firstLine="4320"/>
      </w:pPr>
      <w:rPr>
        <w:rFonts w:hint="default"/>
        <w:caps w:val="0"/>
        <w:color w:val="010000"/>
        <w:u w:val="none"/>
      </w:rPr>
    </w:lvl>
  </w:abstractNum>
  <w:abstractNum w:abstractNumId="18" w15:restartNumberingAfterBreak="0">
    <w:nsid w:val="5EB05872"/>
    <w:multiLevelType w:val="multilevel"/>
    <w:tmpl w:val="F65E2A08"/>
    <w:name w:val="(Unnamed Numbering Scheme)4"/>
    <w:lvl w:ilvl="0">
      <w:start w:val="9"/>
      <w:numFmt w:val="decimal"/>
      <w:lvlText w:val="%1."/>
      <w:lvlJc w:val="left"/>
      <w:pPr>
        <w:tabs>
          <w:tab w:val="num" w:pos="720"/>
        </w:tabs>
        <w:ind w:left="720" w:hanging="720"/>
      </w:pPr>
      <w:rPr>
        <w:rFonts w:ascii="Arial" w:hAnsi="Arial" w:cs="Arial" w:hint="default"/>
        <w:b w:val="0"/>
        <w:i w:val="0"/>
        <w:caps/>
        <w:smallCaps w:val="0"/>
        <w:color w:val="010000"/>
        <w:sz w:val="24"/>
        <w:szCs w:val="24"/>
        <w:u w:val="none"/>
      </w:rPr>
    </w:lvl>
    <w:lvl w:ilvl="1">
      <w:start w:val="1"/>
      <w:numFmt w:val="decimal"/>
      <w:isLgl/>
      <w:lvlText w:val="%1.%2"/>
      <w:lvlJc w:val="left"/>
      <w:pPr>
        <w:tabs>
          <w:tab w:val="num" w:pos="720"/>
        </w:tabs>
        <w:ind w:left="0" w:firstLine="0"/>
      </w:pPr>
      <w:rPr>
        <w:rFonts w:ascii="Arial" w:hAnsi="Arial" w:cs="Arial" w:hint="default"/>
        <w:b w:val="0"/>
        <w:i w:val="0"/>
        <w:caps w:val="0"/>
        <w:color w:val="010000"/>
        <w:sz w:val="20"/>
        <w:szCs w:val="20"/>
        <w:u w:val="none"/>
      </w:rPr>
    </w:lvl>
    <w:lvl w:ilvl="2">
      <w:start w:val="1"/>
      <w:numFmt w:val="decimal"/>
      <w:lvlText w:val="%1.%2.%3"/>
      <w:lvlJc w:val="left"/>
      <w:pPr>
        <w:tabs>
          <w:tab w:val="num" w:pos="1440"/>
        </w:tabs>
        <w:ind w:left="0" w:firstLine="720"/>
      </w:pPr>
      <w:rPr>
        <w:rFonts w:ascii="Arial" w:hAnsi="Arial" w:cs="Arial" w:hint="default"/>
        <w:b w:val="0"/>
        <w:i w:val="0"/>
        <w:caps w:val="0"/>
        <w:color w:val="010000"/>
        <w:sz w:val="20"/>
        <w:szCs w:val="20"/>
        <w:u w:val="none"/>
      </w:rPr>
    </w:lvl>
    <w:lvl w:ilvl="3">
      <w:start w:val="1"/>
      <w:numFmt w:val="lowerLetter"/>
      <w:lvlText w:val="%4)"/>
      <w:lvlJc w:val="left"/>
      <w:pPr>
        <w:tabs>
          <w:tab w:val="num" w:pos="792"/>
        </w:tabs>
        <w:ind w:left="720" w:hanging="720"/>
      </w:pPr>
      <w:rPr>
        <w:rFonts w:ascii="Arial" w:hAnsi="Arial" w:cs="Arial" w:hint="default"/>
        <w:b w:val="0"/>
        <w:i w:val="0"/>
        <w:caps w:val="0"/>
        <w:color w:val="010000"/>
        <w:sz w:val="20"/>
        <w:szCs w:val="20"/>
        <w:u w:val="none"/>
      </w:rPr>
    </w:lvl>
    <w:lvl w:ilvl="4">
      <w:start w:val="1"/>
      <w:numFmt w:val="lowerRoman"/>
      <w:lvlText w:val="(%5)"/>
      <w:lvlJc w:val="left"/>
      <w:pPr>
        <w:tabs>
          <w:tab w:val="num" w:pos="0"/>
        </w:tabs>
        <w:ind w:left="0" w:firstLine="1440"/>
      </w:pPr>
      <w:rPr>
        <w:rFonts w:asciiTheme="minorBidi" w:eastAsia="Times New Roman" w:hAnsiTheme="minorBidi" w:cstheme="minorBidi"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upperLetter"/>
      <w:lvlText w:val="(%6)"/>
      <w:lvlJc w:val="left"/>
      <w:pPr>
        <w:tabs>
          <w:tab w:val="num" w:pos="2880"/>
        </w:tabs>
        <w:ind w:left="0" w:firstLine="2160"/>
      </w:pPr>
      <w:rPr>
        <w:rFonts w:hint="default"/>
        <w:caps w:val="0"/>
        <w:color w:val="010000"/>
        <w:u w:val="none"/>
      </w:rPr>
    </w:lvl>
    <w:lvl w:ilvl="6">
      <w:start w:val="1"/>
      <w:numFmt w:val="decimal"/>
      <w:lvlText w:val="(%7)"/>
      <w:lvlJc w:val="left"/>
      <w:pPr>
        <w:tabs>
          <w:tab w:val="num" w:pos="3600"/>
        </w:tabs>
        <w:ind w:left="0" w:firstLine="2880"/>
      </w:pPr>
      <w:rPr>
        <w:rFonts w:hint="default"/>
        <w:caps w:val="0"/>
        <w:color w:val="010000"/>
        <w:u w:val="none"/>
      </w:rPr>
    </w:lvl>
    <w:lvl w:ilvl="7">
      <w:start w:val="1"/>
      <w:numFmt w:val="lowerLetter"/>
      <w:lvlText w:val="%8)"/>
      <w:lvlJc w:val="left"/>
      <w:pPr>
        <w:tabs>
          <w:tab w:val="num" w:pos="4320"/>
        </w:tabs>
        <w:ind w:left="0" w:firstLine="3600"/>
      </w:pPr>
      <w:rPr>
        <w:rFonts w:hint="default"/>
        <w:caps w:val="0"/>
        <w:color w:val="010000"/>
        <w:u w:val="none"/>
      </w:rPr>
    </w:lvl>
    <w:lvl w:ilvl="8">
      <w:start w:val="1"/>
      <w:numFmt w:val="lowerRoman"/>
      <w:lvlText w:val="%9)"/>
      <w:lvlJc w:val="left"/>
      <w:pPr>
        <w:tabs>
          <w:tab w:val="num" w:pos="5040"/>
        </w:tabs>
        <w:ind w:left="0" w:firstLine="4320"/>
      </w:pPr>
      <w:rPr>
        <w:rFonts w:hint="default"/>
        <w:caps w:val="0"/>
        <w:color w:val="010000"/>
        <w:u w:val="none"/>
      </w:rPr>
    </w:lvl>
  </w:abstractNum>
  <w:abstractNum w:abstractNumId="19" w15:restartNumberingAfterBreak="0">
    <w:nsid w:val="5F6A3DC1"/>
    <w:multiLevelType w:val="hybridMultilevel"/>
    <w:tmpl w:val="ABB25D00"/>
    <w:lvl w:ilvl="0" w:tplc="3B021F3C">
      <w:start w:val="1"/>
      <w:numFmt w:val="upperRoman"/>
      <w:pStyle w:val="ListNumber"/>
      <w:lvlText w:val="%1."/>
      <w:lvlJc w:val="left"/>
      <w:pPr>
        <w:ind w:left="143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21" w15:restartNumberingAfterBreak="0">
    <w:nsid w:val="66B9104F"/>
    <w:multiLevelType w:val="multilevel"/>
    <w:tmpl w:val="672A4C76"/>
    <w:lvl w:ilvl="0">
      <w:start w:val="1"/>
      <w:numFmt w:val="decimal"/>
      <w:lvlText w:val="%1."/>
      <w:lvlJc w:val="left"/>
      <w:pPr>
        <w:tabs>
          <w:tab w:val="num" w:pos="720"/>
        </w:tabs>
        <w:ind w:left="720" w:hanging="720"/>
      </w:pPr>
      <w:rPr>
        <w:rFonts w:ascii="Arial" w:hAnsi="Arial" w:cs="Arial" w:hint="default"/>
        <w:b w:val="0"/>
        <w:i w:val="0"/>
        <w:caps/>
        <w:smallCaps w:val="0"/>
        <w:color w:val="010000"/>
        <w:sz w:val="24"/>
        <w:szCs w:val="24"/>
        <w:u w:val="none"/>
      </w:rPr>
    </w:lvl>
    <w:lvl w:ilvl="1">
      <w:start w:val="1"/>
      <w:numFmt w:val="decimal"/>
      <w:isLgl/>
      <w:lvlText w:val="%1.%2"/>
      <w:lvlJc w:val="left"/>
      <w:pPr>
        <w:tabs>
          <w:tab w:val="num" w:pos="720"/>
        </w:tabs>
        <w:ind w:left="0" w:firstLine="0"/>
      </w:pPr>
      <w:rPr>
        <w:rFonts w:ascii="Arial" w:hAnsi="Arial" w:cs="Arial" w:hint="default"/>
        <w:b w:val="0"/>
        <w:i w:val="0"/>
        <w:caps w:val="0"/>
        <w:color w:val="010000"/>
        <w:sz w:val="20"/>
        <w:szCs w:val="20"/>
        <w:u w:val="none"/>
      </w:rPr>
    </w:lvl>
    <w:lvl w:ilvl="2">
      <w:start w:val="1"/>
      <w:numFmt w:val="decimal"/>
      <w:lvlText w:val="%1.%2.%3"/>
      <w:lvlJc w:val="left"/>
      <w:pPr>
        <w:tabs>
          <w:tab w:val="num" w:pos="1440"/>
        </w:tabs>
        <w:ind w:left="0" w:firstLine="720"/>
      </w:pPr>
      <w:rPr>
        <w:rFonts w:ascii="Arial" w:hAnsi="Arial" w:cs="Arial" w:hint="default"/>
        <w:b w:val="0"/>
        <w:i w:val="0"/>
        <w:caps w:val="0"/>
        <w:color w:val="010000"/>
        <w:sz w:val="20"/>
        <w:szCs w:val="20"/>
        <w:u w:val="none"/>
      </w:rPr>
    </w:lvl>
    <w:lvl w:ilvl="3">
      <w:start w:val="1"/>
      <w:numFmt w:val="lowerLetter"/>
      <w:lvlText w:val="%4)"/>
      <w:lvlJc w:val="left"/>
      <w:pPr>
        <w:tabs>
          <w:tab w:val="num" w:pos="792"/>
        </w:tabs>
        <w:ind w:left="720" w:hanging="720"/>
      </w:pPr>
      <w:rPr>
        <w:rFonts w:ascii="Arial" w:hAnsi="Arial" w:cs="Arial" w:hint="default"/>
        <w:b w:val="0"/>
        <w:i w:val="0"/>
        <w:caps w:val="0"/>
        <w:color w:val="010000"/>
        <w:sz w:val="20"/>
        <w:szCs w:val="20"/>
        <w:u w:val="none"/>
      </w:rPr>
    </w:lvl>
    <w:lvl w:ilvl="4">
      <w:start w:val="1"/>
      <w:numFmt w:val="lowerRoman"/>
      <w:lvlText w:val="(%5)"/>
      <w:lvlJc w:val="left"/>
      <w:pPr>
        <w:tabs>
          <w:tab w:val="num" w:pos="0"/>
        </w:tabs>
        <w:ind w:left="0" w:firstLine="1440"/>
      </w:pPr>
      <w:rPr>
        <w:rFonts w:asciiTheme="minorBidi" w:eastAsia="Times New Roman" w:hAnsiTheme="minorBidi" w:cstheme="minorBid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tabs>
          <w:tab w:val="num" w:pos="2880"/>
        </w:tabs>
        <w:ind w:left="0" w:firstLine="2160"/>
      </w:pPr>
      <w:rPr>
        <w:rFonts w:hint="default"/>
        <w:caps w:val="0"/>
        <w:color w:val="010000"/>
        <w:u w:val="none"/>
      </w:rPr>
    </w:lvl>
    <w:lvl w:ilvl="6">
      <w:start w:val="1"/>
      <w:numFmt w:val="decimal"/>
      <w:lvlText w:val="(%7)"/>
      <w:lvlJc w:val="left"/>
      <w:pPr>
        <w:tabs>
          <w:tab w:val="num" w:pos="3600"/>
        </w:tabs>
        <w:ind w:left="0" w:firstLine="2880"/>
      </w:pPr>
      <w:rPr>
        <w:rFonts w:hint="default"/>
        <w:caps w:val="0"/>
        <w:color w:val="010000"/>
        <w:u w:val="none"/>
      </w:rPr>
    </w:lvl>
    <w:lvl w:ilvl="7">
      <w:start w:val="1"/>
      <w:numFmt w:val="lowerLetter"/>
      <w:lvlText w:val="%8)"/>
      <w:lvlJc w:val="left"/>
      <w:pPr>
        <w:tabs>
          <w:tab w:val="num" w:pos="4320"/>
        </w:tabs>
        <w:ind w:left="0" w:firstLine="3600"/>
      </w:pPr>
      <w:rPr>
        <w:rFonts w:hint="default"/>
        <w:caps w:val="0"/>
        <w:color w:val="010000"/>
        <w:u w:val="none"/>
      </w:rPr>
    </w:lvl>
    <w:lvl w:ilvl="8">
      <w:start w:val="1"/>
      <w:numFmt w:val="lowerRoman"/>
      <w:lvlText w:val="%9)"/>
      <w:lvlJc w:val="left"/>
      <w:pPr>
        <w:tabs>
          <w:tab w:val="num" w:pos="5040"/>
        </w:tabs>
        <w:ind w:left="0" w:firstLine="4320"/>
      </w:pPr>
      <w:rPr>
        <w:rFonts w:hint="default"/>
        <w:caps w:val="0"/>
        <w:color w:val="010000"/>
        <w:u w:val="none"/>
      </w:rPr>
    </w:lvl>
  </w:abstractNum>
  <w:abstractNum w:abstractNumId="22" w15:restartNumberingAfterBreak="0">
    <w:nsid w:val="6F4C73CB"/>
    <w:multiLevelType w:val="multilevel"/>
    <w:tmpl w:val="7592BBEE"/>
    <w:name w:val="Simple List"/>
    <w:lvl w:ilvl="0">
      <w:start w:val="1"/>
      <w:numFmt w:val="decimal"/>
      <w:pStyle w:val="Simple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Text w:val="%5)"/>
      <w:lvlJc w:val="left"/>
      <w:pPr>
        <w:tabs>
          <w:tab w:val="num" w:pos="720"/>
        </w:tabs>
        <w:ind w:left="720" w:hanging="720"/>
      </w:pPr>
      <w:rPr>
        <w:rFonts w:hint="default"/>
        <w:b w:val="0"/>
        <w:i w:val="0"/>
        <w:caps w:val="0"/>
        <w:strike w:val="0"/>
        <w:dstrike w:val="0"/>
        <w:vanish w:val="0"/>
        <w:color w:val="auto"/>
        <w:sz w:val="20"/>
        <w:szCs w:val="20"/>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3" w15:restartNumberingAfterBreak="0">
    <w:nsid w:val="75714DD1"/>
    <w:multiLevelType w:val="multilevel"/>
    <w:tmpl w:val="FB4EABE4"/>
    <w:name w:val="(Unnamed Numbering Scheme)5"/>
    <w:lvl w:ilvl="0">
      <w:start w:val="17"/>
      <w:numFmt w:val="decimal"/>
      <w:lvlText w:val="%1."/>
      <w:lvlJc w:val="left"/>
      <w:pPr>
        <w:tabs>
          <w:tab w:val="num" w:pos="720"/>
        </w:tabs>
        <w:ind w:left="720" w:hanging="720"/>
      </w:pPr>
      <w:rPr>
        <w:rFonts w:ascii="Arial" w:hAnsi="Arial" w:cs="Arial" w:hint="default"/>
        <w:b w:val="0"/>
        <w:i w:val="0"/>
        <w:caps/>
        <w:smallCaps w:val="0"/>
        <w:color w:val="010000"/>
        <w:sz w:val="24"/>
        <w:szCs w:val="24"/>
        <w:u w:val="none"/>
      </w:rPr>
    </w:lvl>
    <w:lvl w:ilvl="1">
      <w:start w:val="1"/>
      <w:numFmt w:val="decimal"/>
      <w:isLgl/>
      <w:lvlText w:val="%1.%2"/>
      <w:lvlJc w:val="left"/>
      <w:pPr>
        <w:tabs>
          <w:tab w:val="num" w:pos="720"/>
        </w:tabs>
        <w:ind w:left="0" w:firstLine="0"/>
      </w:pPr>
      <w:rPr>
        <w:rFonts w:ascii="Arial" w:hAnsi="Arial" w:cs="Arial" w:hint="default"/>
        <w:b w:val="0"/>
        <w:i w:val="0"/>
        <w:caps w:val="0"/>
        <w:color w:val="010000"/>
        <w:sz w:val="20"/>
        <w:szCs w:val="20"/>
        <w:u w:val="none"/>
      </w:rPr>
    </w:lvl>
    <w:lvl w:ilvl="2">
      <w:start w:val="1"/>
      <w:numFmt w:val="decimal"/>
      <w:lvlText w:val="%1.%2.%3"/>
      <w:lvlJc w:val="left"/>
      <w:pPr>
        <w:tabs>
          <w:tab w:val="num" w:pos="1440"/>
        </w:tabs>
        <w:ind w:left="0" w:firstLine="720"/>
      </w:pPr>
      <w:rPr>
        <w:rFonts w:ascii="Arial" w:hAnsi="Arial" w:cs="Arial" w:hint="default"/>
        <w:b w:val="0"/>
        <w:i w:val="0"/>
        <w:caps w:val="0"/>
        <w:color w:val="010000"/>
        <w:sz w:val="20"/>
        <w:szCs w:val="20"/>
        <w:u w:val="none"/>
      </w:rPr>
    </w:lvl>
    <w:lvl w:ilvl="3">
      <w:start w:val="1"/>
      <w:numFmt w:val="lowerLetter"/>
      <w:lvlText w:val="%4)"/>
      <w:lvlJc w:val="left"/>
      <w:pPr>
        <w:tabs>
          <w:tab w:val="num" w:pos="792"/>
        </w:tabs>
        <w:ind w:left="720" w:hanging="720"/>
      </w:pPr>
      <w:rPr>
        <w:rFonts w:ascii="Arial" w:hAnsi="Arial" w:cs="Arial" w:hint="default"/>
        <w:b w:val="0"/>
        <w:i w:val="0"/>
        <w:caps w:val="0"/>
        <w:color w:val="010000"/>
        <w:sz w:val="20"/>
        <w:szCs w:val="20"/>
        <w:u w:val="none"/>
      </w:rPr>
    </w:lvl>
    <w:lvl w:ilvl="4">
      <w:start w:val="1"/>
      <w:numFmt w:val="lowerRoman"/>
      <w:lvlText w:val="(%5)"/>
      <w:lvlJc w:val="left"/>
      <w:pPr>
        <w:tabs>
          <w:tab w:val="num" w:pos="0"/>
        </w:tabs>
        <w:ind w:left="0" w:firstLine="1440"/>
      </w:pPr>
      <w:rPr>
        <w:rFonts w:asciiTheme="minorBidi" w:eastAsia="Times New Roman" w:hAnsiTheme="minorBidi" w:cstheme="minorBidi"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upperLetter"/>
      <w:lvlText w:val="(%6)"/>
      <w:lvlJc w:val="left"/>
      <w:pPr>
        <w:tabs>
          <w:tab w:val="num" w:pos="2880"/>
        </w:tabs>
        <w:ind w:left="0" w:firstLine="2160"/>
      </w:pPr>
      <w:rPr>
        <w:rFonts w:hint="default"/>
        <w:caps w:val="0"/>
        <w:color w:val="010000"/>
        <w:u w:val="none"/>
      </w:rPr>
    </w:lvl>
    <w:lvl w:ilvl="6">
      <w:start w:val="1"/>
      <w:numFmt w:val="decimal"/>
      <w:lvlText w:val="(%7)"/>
      <w:lvlJc w:val="left"/>
      <w:pPr>
        <w:tabs>
          <w:tab w:val="num" w:pos="3600"/>
        </w:tabs>
        <w:ind w:left="0" w:firstLine="2880"/>
      </w:pPr>
      <w:rPr>
        <w:rFonts w:hint="default"/>
        <w:caps w:val="0"/>
        <w:color w:val="010000"/>
        <w:u w:val="none"/>
      </w:rPr>
    </w:lvl>
    <w:lvl w:ilvl="7">
      <w:start w:val="1"/>
      <w:numFmt w:val="lowerLetter"/>
      <w:lvlText w:val="%8)"/>
      <w:lvlJc w:val="left"/>
      <w:pPr>
        <w:tabs>
          <w:tab w:val="num" w:pos="4320"/>
        </w:tabs>
        <w:ind w:left="0" w:firstLine="3600"/>
      </w:pPr>
      <w:rPr>
        <w:rFonts w:hint="default"/>
        <w:caps w:val="0"/>
        <w:color w:val="010000"/>
        <w:u w:val="none"/>
      </w:rPr>
    </w:lvl>
    <w:lvl w:ilvl="8">
      <w:start w:val="1"/>
      <w:numFmt w:val="lowerRoman"/>
      <w:lvlText w:val="%9)"/>
      <w:lvlJc w:val="left"/>
      <w:pPr>
        <w:tabs>
          <w:tab w:val="num" w:pos="5040"/>
        </w:tabs>
        <w:ind w:left="0" w:firstLine="4320"/>
      </w:pPr>
      <w:rPr>
        <w:rFonts w:hint="default"/>
        <w:caps w:val="0"/>
        <w:color w:val="010000"/>
        <w:u w:val="none"/>
      </w:rPr>
    </w:lvl>
  </w:abstractNum>
  <w:abstractNum w:abstractNumId="24" w15:restartNumberingAfterBreak="0">
    <w:nsid w:val="77C46956"/>
    <w:multiLevelType w:val="multilevel"/>
    <w:tmpl w:val="7932D0DA"/>
    <w:lvl w:ilvl="0">
      <w:start w:val="1"/>
      <w:numFmt w:val="decimal"/>
      <w:lvlText w:val="%1."/>
      <w:lvlJc w:val="left"/>
      <w:pPr>
        <w:tabs>
          <w:tab w:val="num" w:pos="1713"/>
        </w:tabs>
        <w:ind w:left="1713" w:hanging="720"/>
      </w:pPr>
      <w:rPr>
        <w:rFonts w:ascii="Arial" w:hAnsi="Arial" w:cs="Arial" w:hint="default"/>
        <w:b w:val="0"/>
        <w:i w:val="0"/>
        <w:caps/>
        <w:smallCaps w:val="0"/>
        <w:color w:val="010000"/>
        <w:sz w:val="24"/>
        <w:szCs w:val="24"/>
        <w:u w:val="none"/>
      </w:rPr>
    </w:lvl>
    <w:lvl w:ilvl="1">
      <w:start w:val="1"/>
      <w:numFmt w:val="decimal"/>
      <w:pStyle w:val="FOLLevel2"/>
      <w:isLgl/>
      <w:lvlText w:val="%1.%2"/>
      <w:lvlJc w:val="left"/>
      <w:pPr>
        <w:tabs>
          <w:tab w:val="num" w:pos="1713"/>
        </w:tabs>
        <w:ind w:left="993" w:firstLine="0"/>
      </w:pPr>
      <w:rPr>
        <w:rFonts w:ascii="Arial" w:hAnsi="Arial" w:cs="Arial" w:hint="default"/>
        <w:b w:val="0"/>
        <w:i w:val="0"/>
        <w:caps w:val="0"/>
        <w:color w:val="010000"/>
        <w:sz w:val="20"/>
        <w:szCs w:val="20"/>
        <w:u w:val="none"/>
      </w:rPr>
    </w:lvl>
    <w:lvl w:ilvl="2">
      <w:start w:val="1"/>
      <w:numFmt w:val="decimal"/>
      <w:pStyle w:val="FOLLevel2a"/>
      <w:lvlText w:val="%1.%2.%3"/>
      <w:lvlJc w:val="left"/>
      <w:pPr>
        <w:tabs>
          <w:tab w:val="num" w:pos="2433"/>
        </w:tabs>
        <w:ind w:left="993" w:firstLine="720"/>
      </w:pPr>
      <w:rPr>
        <w:rFonts w:ascii="Arial" w:hAnsi="Arial" w:cs="Arial" w:hint="default"/>
        <w:b w:val="0"/>
        <w:i w:val="0"/>
        <w:caps w:val="0"/>
        <w:color w:val="010000"/>
        <w:sz w:val="20"/>
        <w:szCs w:val="20"/>
        <w:u w:val="none"/>
      </w:rPr>
    </w:lvl>
    <w:lvl w:ilvl="3">
      <w:start w:val="1"/>
      <w:numFmt w:val="lowerLetter"/>
      <w:lvlText w:val="%4)"/>
      <w:lvlJc w:val="left"/>
      <w:pPr>
        <w:tabs>
          <w:tab w:val="num" w:pos="1785"/>
        </w:tabs>
        <w:ind w:left="1713" w:hanging="720"/>
      </w:pPr>
      <w:rPr>
        <w:rFonts w:ascii="Arial" w:hAnsi="Arial" w:cs="Arial" w:hint="default"/>
        <w:b w:val="0"/>
        <w:i w:val="0"/>
        <w:caps w:val="0"/>
        <w:color w:val="010000"/>
        <w:sz w:val="20"/>
        <w:szCs w:val="20"/>
        <w:u w:val="none"/>
      </w:rPr>
    </w:lvl>
    <w:lvl w:ilvl="4">
      <w:start w:val="1"/>
      <w:numFmt w:val="lowerRoman"/>
      <w:lvlText w:val="(%5)"/>
      <w:lvlJc w:val="left"/>
      <w:pPr>
        <w:tabs>
          <w:tab w:val="num" w:pos="993"/>
        </w:tabs>
        <w:ind w:left="993" w:firstLine="144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upperLetter"/>
      <w:lvlText w:val="(%6)"/>
      <w:lvlJc w:val="left"/>
      <w:pPr>
        <w:tabs>
          <w:tab w:val="num" w:pos="3873"/>
        </w:tabs>
        <w:ind w:left="993" w:firstLine="2160"/>
      </w:pPr>
      <w:rPr>
        <w:rFonts w:hint="default"/>
        <w:caps w:val="0"/>
        <w:color w:val="010000"/>
        <w:u w:val="none"/>
      </w:rPr>
    </w:lvl>
    <w:lvl w:ilvl="6">
      <w:start w:val="1"/>
      <w:numFmt w:val="decimal"/>
      <w:lvlText w:val="(%7)"/>
      <w:lvlJc w:val="left"/>
      <w:pPr>
        <w:tabs>
          <w:tab w:val="num" w:pos="4593"/>
        </w:tabs>
        <w:ind w:left="993" w:firstLine="2880"/>
      </w:pPr>
      <w:rPr>
        <w:rFonts w:hint="default"/>
        <w:caps w:val="0"/>
        <w:color w:val="010000"/>
        <w:u w:val="none"/>
      </w:rPr>
    </w:lvl>
    <w:lvl w:ilvl="7">
      <w:start w:val="1"/>
      <w:numFmt w:val="lowerLetter"/>
      <w:lvlText w:val="%8)"/>
      <w:lvlJc w:val="left"/>
      <w:pPr>
        <w:tabs>
          <w:tab w:val="num" w:pos="5313"/>
        </w:tabs>
        <w:ind w:left="993" w:firstLine="3600"/>
      </w:pPr>
      <w:rPr>
        <w:rFonts w:hint="default"/>
        <w:caps w:val="0"/>
        <w:color w:val="010000"/>
        <w:u w:val="none"/>
      </w:rPr>
    </w:lvl>
    <w:lvl w:ilvl="8">
      <w:start w:val="1"/>
      <w:numFmt w:val="lowerRoman"/>
      <w:lvlText w:val="%9)"/>
      <w:lvlJc w:val="left"/>
      <w:pPr>
        <w:tabs>
          <w:tab w:val="num" w:pos="6033"/>
        </w:tabs>
        <w:ind w:left="993" w:firstLine="4320"/>
      </w:pPr>
      <w:rPr>
        <w:rFonts w:hint="default"/>
        <w:caps w:val="0"/>
        <w:color w:val="010000"/>
        <w:u w:val="none"/>
      </w:rPr>
    </w:lvl>
  </w:abstractNum>
  <w:num w:numId="1" w16cid:durableId="520051874">
    <w:abstractNumId w:val="12"/>
  </w:num>
  <w:num w:numId="2" w16cid:durableId="149637653">
    <w:abstractNumId w:val="7"/>
  </w:num>
  <w:num w:numId="3" w16cid:durableId="2054496817">
    <w:abstractNumId w:val="6"/>
  </w:num>
  <w:num w:numId="4" w16cid:durableId="1841968988">
    <w:abstractNumId w:val="5"/>
  </w:num>
  <w:num w:numId="5" w16cid:durableId="1812940201">
    <w:abstractNumId w:val="4"/>
  </w:num>
  <w:num w:numId="6" w16cid:durableId="532570384">
    <w:abstractNumId w:val="3"/>
  </w:num>
  <w:num w:numId="7" w16cid:durableId="1287811788">
    <w:abstractNumId w:val="2"/>
  </w:num>
  <w:num w:numId="8" w16cid:durableId="2059697300">
    <w:abstractNumId w:val="1"/>
  </w:num>
  <w:num w:numId="9" w16cid:durableId="1801680085">
    <w:abstractNumId w:val="0"/>
  </w:num>
  <w:num w:numId="10" w16cid:durableId="541867593">
    <w:abstractNumId w:val="19"/>
  </w:num>
  <w:num w:numId="11" w16cid:durableId="872690353">
    <w:abstractNumId w:val="9"/>
  </w:num>
  <w:num w:numId="12" w16cid:durableId="220412230">
    <w:abstractNumId w:val="16"/>
  </w:num>
  <w:num w:numId="13" w16cid:durableId="779223154">
    <w:abstractNumId w:val="24"/>
  </w:num>
  <w:num w:numId="14" w16cid:durableId="1774738706">
    <w:abstractNumId w:val="22"/>
  </w:num>
  <w:num w:numId="15" w16cid:durableId="730468136">
    <w:abstractNumId w:val="20"/>
  </w:num>
  <w:num w:numId="16" w16cid:durableId="2018001252">
    <w:abstractNumId w:val="14"/>
  </w:num>
  <w:num w:numId="17" w16cid:durableId="2049715548">
    <w:abstractNumId w:val="10"/>
  </w:num>
  <w:num w:numId="18" w16cid:durableId="1527208590">
    <w:abstractNumId w:val="15"/>
  </w:num>
  <w:num w:numId="19" w16cid:durableId="1692687462">
    <w:abstractNumId w:val="13"/>
  </w:num>
  <w:num w:numId="20" w16cid:durableId="1599216395">
    <w:abstractNumId w:val="21"/>
  </w:num>
  <w:num w:numId="21" w16cid:durableId="105780831">
    <w:abstractNumId w:val="12"/>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267585">
    <w:abstractNumId w:val="10"/>
  </w:num>
  <w:num w:numId="23" w16cid:durableId="8474029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53513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0514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35391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6806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98923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82331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3954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17910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87269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47015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616322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15994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51883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030205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79518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123622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93450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2752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019775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241661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847938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267242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303618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647728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475189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099104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67425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013841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687640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003777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669817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970242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566048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318179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918162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853012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67398201">
    <w:abstractNumId w:val="10"/>
  </w:num>
  <w:num w:numId="61" w16cid:durableId="1637562091">
    <w:abstractNumId w:val="10"/>
  </w:num>
  <w:num w:numId="62" w16cid:durableId="1703706108">
    <w:abstractNumId w:val="10"/>
  </w:num>
  <w:num w:numId="63" w16cid:durableId="1472212157">
    <w:abstractNumId w:val="10"/>
  </w:num>
  <w:num w:numId="64" w16cid:durableId="959334280">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CA"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fr-CA" w:vendorID="64" w:dllVersion="6" w:nlCheck="1" w:checkStyle="0"/>
  <w:activeWritingStyle w:appName="MSWord" w:lang="fr-CA" w:vendorID="64" w:dllVersion="0" w:nlCheck="1" w:checkStyle="0"/>
  <w:activeWritingStyle w:appName="MSWord" w:lang="en-CA" w:vendorID="64" w:dllVersion="0" w:nlCheck="1" w:checkStyle="0"/>
  <w:activeWritingStyle w:appName="MSWord" w:lang="en-US" w:vendorID="64" w:dllVersion="0" w:nlCheck="1" w:checkStyle="0"/>
  <w:activeWritingStyle w:appName="MSWord" w:lang="fr-CA"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fr-FR" w:vendorID="64" w:dllVersion="4096"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mailMerge>
    <w:mainDocumentType w:val="formLetters"/>
    <w:dataType w:val="textFile"/>
    <w:activeRecord w:val="-1"/>
    <w:odso/>
  </w:mailMerge>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True"/>
    <w:docVar w:name="DraftRemoved" w:val="True"/>
    <w:docVar w:name="EMail" w:val="mmk@kkbl.com"/>
    <w:docVar w:name="LastSchemeChoice" w:val="Articles"/>
    <w:docVar w:name="LastSchemeUniqueID" w:val="145"/>
    <w:docVar w:name="Lawyer" w:val="Michael M. Kalef"/>
    <w:docVar w:name="LegacyDocIDRemoved" w:val="True"/>
    <w:docVar w:name="Option0True" w:val="False"/>
    <w:docVar w:name="Option1True" w:val="False"/>
    <w:docVar w:name="Option2True" w:val="False"/>
    <w:docVar w:name="Option3True" w:val="False"/>
    <w:docVar w:name="Option4True" w:val="False"/>
    <w:docVar w:name="Option5True" w:val="False"/>
    <w:docVar w:name="Option6True" w:val="False"/>
    <w:docVar w:name="Option7True" w:val="False"/>
    <w:docVar w:name="Phone" w:val="891-3700"/>
    <w:docVar w:name="TimeRemoved" w:val="True"/>
  </w:docVars>
  <w:rsids>
    <w:rsidRoot w:val="009926E7"/>
    <w:rsid w:val="0000155D"/>
    <w:rsid w:val="000019FC"/>
    <w:rsid w:val="000024DE"/>
    <w:rsid w:val="00002CD7"/>
    <w:rsid w:val="00003038"/>
    <w:rsid w:val="00003551"/>
    <w:rsid w:val="00003BDE"/>
    <w:rsid w:val="00004603"/>
    <w:rsid w:val="00004B6A"/>
    <w:rsid w:val="00005D1F"/>
    <w:rsid w:val="00006288"/>
    <w:rsid w:val="000068B4"/>
    <w:rsid w:val="0000696D"/>
    <w:rsid w:val="00006EAA"/>
    <w:rsid w:val="00007226"/>
    <w:rsid w:val="000107A5"/>
    <w:rsid w:val="00011082"/>
    <w:rsid w:val="00011111"/>
    <w:rsid w:val="000118E5"/>
    <w:rsid w:val="00012689"/>
    <w:rsid w:val="000128C0"/>
    <w:rsid w:val="000144B5"/>
    <w:rsid w:val="0001529E"/>
    <w:rsid w:val="000152EA"/>
    <w:rsid w:val="00015AB1"/>
    <w:rsid w:val="00015C78"/>
    <w:rsid w:val="00015F1D"/>
    <w:rsid w:val="00016025"/>
    <w:rsid w:val="00016DCF"/>
    <w:rsid w:val="00016F01"/>
    <w:rsid w:val="00017BE5"/>
    <w:rsid w:val="00017C96"/>
    <w:rsid w:val="00020098"/>
    <w:rsid w:val="000205EA"/>
    <w:rsid w:val="000206D7"/>
    <w:rsid w:val="000219C1"/>
    <w:rsid w:val="0002203D"/>
    <w:rsid w:val="000220E0"/>
    <w:rsid w:val="0002286E"/>
    <w:rsid w:val="000232E6"/>
    <w:rsid w:val="0002423C"/>
    <w:rsid w:val="000244A5"/>
    <w:rsid w:val="000259C8"/>
    <w:rsid w:val="00025BD7"/>
    <w:rsid w:val="00025C43"/>
    <w:rsid w:val="00025FBC"/>
    <w:rsid w:val="000277EB"/>
    <w:rsid w:val="00027BC7"/>
    <w:rsid w:val="00027F45"/>
    <w:rsid w:val="000305B2"/>
    <w:rsid w:val="000314C6"/>
    <w:rsid w:val="00032A85"/>
    <w:rsid w:val="0003442E"/>
    <w:rsid w:val="000349C8"/>
    <w:rsid w:val="000350F6"/>
    <w:rsid w:val="00035240"/>
    <w:rsid w:val="0003570E"/>
    <w:rsid w:val="0003636F"/>
    <w:rsid w:val="00036DF6"/>
    <w:rsid w:val="00036FF8"/>
    <w:rsid w:val="0003764F"/>
    <w:rsid w:val="000379FA"/>
    <w:rsid w:val="0004019E"/>
    <w:rsid w:val="000405BE"/>
    <w:rsid w:val="00041948"/>
    <w:rsid w:val="00042619"/>
    <w:rsid w:val="00043876"/>
    <w:rsid w:val="00043CF3"/>
    <w:rsid w:val="00045504"/>
    <w:rsid w:val="00045760"/>
    <w:rsid w:val="000466A2"/>
    <w:rsid w:val="00047159"/>
    <w:rsid w:val="000475B1"/>
    <w:rsid w:val="0005045D"/>
    <w:rsid w:val="000513C3"/>
    <w:rsid w:val="0005291B"/>
    <w:rsid w:val="00052CB0"/>
    <w:rsid w:val="00052DE1"/>
    <w:rsid w:val="00052EFD"/>
    <w:rsid w:val="00053904"/>
    <w:rsid w:val="00053AAA"/>
    <w:rsid w:val="00054111"/>
    <w:rsid w:val="00054264"/>
    <w:rsid w:val="000545F6"/>
    <w:rsid w:val="00055437"/>
    <w:rsid w:val="000554F2"/>
    <w:rsid w:val="00055BA4"/>
    <w:rsid w:val="00056B4A"/>
    <w:rsid w:val="000577E0"/>
    <w:rsid w:val="00060626"/>
    <w:rsid w:val="000617B1"/>
    <w:rsid w:val="00061872"/>
    <w:rsid w:val="0006189C"/>
    <w:rsid w:val="00063183"/>
    <w:rsid w:val="000638E9"/>
    <w:rsid w:val="00063ADA"/>
    <w:rsid w:val="00065C32"/>
    <w:rsid w:val="00066272"/>
    <w:rsid w:val="0006753A"/>
    <w:rsid w:val="00067B9D"/>
    <w:rsid w:val="00067C93"/>
    <w:rsid w:val="00067E69"/>
    <w:rsid w:val="000707A5"/>
    <w:rsid w:val="000709D0"/>
    <w:rsid w:val="00070E5A"/>
    <w:rsid w:val="000716E2"/>
    <w:rsid w:val="00071B76"/>
    <w:rsid w:val="00072777"/>
    <w:rsid w:val="000727D0"/>
    <w:rsid w:val="0007331B"/>
    <w:rsid w:val="0007346C"/>
    <w:rsid w:val="00073890"/>
    <w:rsid w:val="00074777"/>
    <w:rsid w:val="00075E85"/>
    <w:rsid w:val="00077415"/>
    <w:rsid w:val="0007764F"/>
    <w:rsid w:val="000779B9"/>
    <w:rsid w:val="000805AE"/>
    <w:rsid w:val="000805E6"/>
    <w:rsid w:val="000808A2"/>
    <w:rsid w:val="00081707"/>
    <w:rsid w:val="0008174F"/>
    <w:rsid w:val="00081BF6"/>
    <w:rsid w:val="00082EC2"/>
    <w:rsid w:val="000835CC"/>
    <w:rsid w:val="000865AB"/>
    <w:rsid w:val="00086EF7"/>
    <w:rsid w:val="000875E9"/>
    <w:rsid w:val="00087827"/>
    <w:rsid w:val="00090527"/>
    <w:rsid w:val="00090C9C"/>
    <w:rsid w:val="000918CC"/>
    <w:rsid w:val="000919CC"/>
    <w:rsid w:val="00091A81"/>
    <w:rsid w:val="00093067"/>
    <w:rsid w:val="00094082"/>
    <w:rsid w:val="00096B2C"/>
    <w:rsid w:val="00096C93"/>
    <w:rsid w:val="00097683"/>
    <w:rsid w:val="00097724"/>
    <w:rsid w:val="000A0446"/>
    <w:rsid w:val="000A0490"/>
    <w:rsid w:val="000A10E5"/>
    <w:rsid w:val="000A248E"/>
    <w:rsid w:val="000A261D"/>
    <w:rsid w:val="000A31A7"/>
    <w:rsid w:val="000A3471"/>
    <w:rsid w:val="000A389E"/>
    <w:rsid w:val="000A4804"/>
    <w:rsid w:val="000A48CA"/>
    <w:rsid w:val="000A7C61"/>
    <w:rsid w:val="000B010D"/>
    <w:rsid w:val="000B063D"/>
    <w:rsid w:val="000B0D43"/>
    <w:rsid w:val="000B18FE"/>
    <w:rsid w:val="000B2A23"/>
    <w:rsid w:val="000B463E"/>
    <w:rsid w:val="000B5F72"/>
    <w:rsid w:val="000B652B"/>
    <w:rsid w:val="000B6595"/>
    <w:rsid w:val="000B7256"/>
    <w:rsid w:val="000B7739"/>
    <w:rsid w:val="000C027D"/>
    <w:rsid w:val="000C2575"/>
    <w:rsid w:val="000C2AD7"/>
    <w:rsid w:val="000C3667"/>
    <w:rsid w:val="000C3CB4"/>
    <w:rsid w:val="000C3EC3"/>
    <w:rsid w:val="000C4154"/>
    <w:rsid w:val="000C4CA1"/>
    <w:rsid w:val="000C51E7"/>
    <w:rsid w:val="000C6063"/>
    <w:rsid w:val="000C6E63"/>
    <w:rsid w:val="000C7E82"/>
    <w:rsid w:val="000D0E47"/>
    <w:rsid w:val="000D146B"/>
    <w:rsid w:val="000D1E44"/>
    <w:rsid w:val="000D216B"/>
    <w:rsid w:val="000D2192"/>
    <w:rsid w:val="000D2934"/>
    <w:rsid w:val="000D2FAA"/>
    <w:rsid w:val="000D367D"/>
    <w:rsid w:val="000D3BD0"/>
    <w:rsid w:val="000D5979"/>
    <w:rsid w:val="000D6CC4"/>
    <w:rsid w:val="000D6FDF"/>
    <w:rsid w:val="000D7C7F"/>
    <w:rsid w:val="000E0271"/>
    <w:rsid w:val="000E03DE"/>
    <w:rsid w:val="000E11D8"/>
    <w:rsid w:val="000E1AA0"/>
    <w:rsid w:val="000E2478"/>
    <w:rsid w:val="000E282B"/>
    <w:rsid w:val="000E2CEA"/>
    <w:rsid w:val="000E4D1D"/>
    <w:rsid w:val="000E5479"/>
    <w:rsid w:val="000E5BC5"/>
    <w:rsid w:val="000E6988"/>
    <w:rsid w:val="000E6B1E"/>
    <w:rsid w:val="000E719E"/>
    <w:rsid w:val="000E7CBA"/>
    <w:rsid w:val="000F0383"/>
    <w:rsid w:val="000F0D78"/>
    <w:rsid w:val="000F0FF2"/>
    <w:rsid w:val="000F11F9"/>
    <w:rsid w:val="000F1B51"/>
    <w:rsid w:val="000F2030"/>
    <w:rsid w:val="000F2779"/>
    <w:rsid w:val="000F2802"/>
    <w:rsid w:val="000F2F99"/>
    <w:rsid w:val="000F3013"/>
    <w:rsid w:val="000F3022"/>
    <w:rsid w:val="000F6608"/>
    <w:rsid w:val="000F7D76"/>
    <w:rsid w:val="00100428"/>
    <w:rsid w:val="00100CFA"/>
    <w:rsid w:val="00101EBF"/>
    <w:rsid w:val="00102F5D"/>
    <w:rsid w:val="00103C1B"/>
    <w:rsid w:val="001043E7"/>
    <w:rsid w:val="001060A0"/>
    <w:rsid w:val="001076E4"/>
    <w:rsid w:val="00111368"/>
    <w:rsid w:val="00111EDE"/>
    <w:rsid w:val="00111F67"/>
    <w:rsid w:val="001120E3"/>
    <w:rsid w:val="001121F0"/>
    <w:rsid w:val="00113DAE"/>
    <w:rsid w:val="00113E16"/>
    <w:rsid w:val="0011404F"/>
    <w:rsid w:val="00114DBB"/>
    <w:rsid w:val="00114FB1"/>
    <w:rsid w:val="00115E5E"/>
    <w:rsid w:val="00117566"/>
    <w:rsid w:val="001205EF"/>
    <w:rsid w:val="00120B29"/>
    <w:rsid w:val="00121047"/>
    <w:rsid w:val="00121BB1"/>
    <w:rsid w:val="001221F9"/>
    <w:rsid w:val="00122508"/>
    <w:rsid w:val="00122C6F"/>
    <w:rsid w:val="00123B9C"/>
    <w:rsid w:val="00124130"/>
    <w:rsid w:val="00124217"/>
    <w:rsid w:val="00124A0A"/>
    <w:rsid w:val="00126272"/>
    <w:rsid w:val="00126E71"/>
    <w:rsid w:val="00127C71"/>
    <w:rsid w:val="00130895"/>
    <w:rsid w:val="001309E9"/>
    <w:rsid w:val="00130D87"/>
    <w:rsid w:val="00130FD8"/>
    <w:rsid w:val="001327D3"/>
    <w:rsid w:val="001328C6"/>
    <w:rsid w:val="001337D0"/>
    <w:rsid w:val="00133EF7"/>
    <w:rsid w:val="00133F3F"/>
    <w:rsid w:val="0013516A"/>
    <w:rsid w:val="0013553F"/>
    <w:rsid w:val="001355C4"/>
    <w:rsid w:val="00135683"/>
    <w:rsid w:val="001365F4"/>
    <w:rsid w:val="00136975"/>
    <w:rsid w:val="00137BB9"/>
    <w:rsid w:val="00137C93"/>
    <w:rsid w:val="00140336"/>
    <w:rsid w:val="001406C2"/>
    <w:rsid w:val="0014073D"/>
    <w:rsid w:val="00140942"/>
    <w:rsid w:val="00140BFA"/>
    <w:rsid w:val="0014137B"/>
    <w:rsid w:val="00142354"/>
    <w:rsid w:val="0014283B"/>
    <w:rsid w:val="00142D9B"/>
    <w:rsid w:val="00143E2B"/>
    <w:rsid w:val="0014464F"/>
    <w:rsid w:val="001449C7"/>
    <w:rsid w:val="00144C20"/>
    <w:rsid w:val="00146BDF"/>
    <w:rsid w:val="0014797F"/>
    <w:rsid w:val="001500FE"/>
    <w:rsid w:val="00150FBD"/>
    <w:rsid w:val="001513A9"/>
    <w:rsid w:val="001517D7"/>
    <w:rsid w:val="001523A5"/>
    <w:rsid w:val="001527B2"/>
    <w:rsid w:val="001543CA"/>
    <w:rsid w:val="0015526C"/>
    <w:rsid w:val="0015565A"/>
    <w:rsid w:val="00155704"/>
    <w:rsid w:val="00160B92"/>
    <w:rsid w:val="00160BD2"/>
    <w:rsid w:val="0016102F"/>
    <w:rsid w:val="0016178B"/>
    <w:rsid w:val="00161AB6"/>
    <w:rsid w:val="0016220C"/>
    <w:rsid w:val="001622AC"/>
    <w:rsid w:val="00162622"/>
    <w:rsid w:val="00162B37"/>
    <w:rsid w:val="0016367E"/>
    <w:rsid w:val="00163975"/>
    <w:rsid w:val="0016439B"/>
    <w:rsid w:val="00164BF3"/>
    <w:rsid w:val="00164D3A"/>
    <w:rsid w:val="0016520B"/>
    <w:rsid w:val="001662B9"/>
    <w:rsid w:val="00166FF1"/>
    <w:rsid w:val="001706F2"/>
    <w:rsid w:val="0017140E"/>
    <w:rsid w:val="00172947"/>
    <w:rsid w:val="00173E54"/>
    <w:rsid w:val="001741D0"/>
    <w:rsid w:val="0017435C"/>
    <w:rsid w:val="00174F23"/>
    <w:rsid w:val="00175389"/>
    <w:rsid w:val="001760DC"/>
    <w:rsid w:val="00176175"/>
    <w:rsid w:val="00176204"/>
    <w:rsid w:val="001762A3"/>
    <w:rsid w:val="00177D13"/>
    <w:rsid w:val="0018070A"/>
    <w:rsid w:val="00180F5D"/>
    <w:rsid w:val="00182268"/>
    <w:rsid w:val="001828FF"/>
    <w:rsid w:val="00182B46"/>
    <w:rsid w:val="00183F8B"/>
    <w:rsid w:val="00184D33"/>
    <w:rsid w:val="0018669A"/>
    <w:rsid w:val="00190624"/>
    <w:rsid w:val="0019070A"/>
    <w:rsid w:val="00191263"/>
    <w:rsid w:val="001915D9"/>
    <w:rsid w:val="00192B72"/>
    <w:rsid w:val="00193322"/>
    <w:rsid w:val="001934B0"/>
    <w:rsid w:val="00193736"/>
    <w:rsid w:val="00193D3E"/>
    <w:rsid w:val="001941B7"/>
    <w:rsid w:val="00194AF1"/>
    <w:rsid w:val="00194BE0"/>
    <w:rsid w:val="0019503E"/>
    <w:rsid w:val="001958B5"/>
    <w:rsid w:val="00195CA8"/>
    <w:rsid w:val="00196B34"/>
    <w:rsid w:val="00196C51"/>
    <w:rsid w:val="00196EF9"/>
    <w:rsid w:val="00197BC2"/>
    <w:rsid w:val="001A0BF0"/>
    <w:rsid w:val="001A0C29"/>
    <w:rsid w:val="001A22D5"/>
    <w:rsid w:val="001A2C08"/>
    <w:rsid w:val="001A2D99"/>
    <w:rsid w:val="001A452E"/>
    <w:rsid w:val="001A4D9A"/>
    <w:rsid w:val="001B1920"/>
    <w:rsid w:val="001B1A70"/>
    <w:rsid w:val="001B1F1E"/>
    <w:rsid w:val="001B252B"/>
    <w:rsid w:val="001B2885"/>
    <w:rsid w:val="001B3334"/>
    <w:rsid w:val="001B3D2B"/>
    <w:rsid w:val="001B42BA"/>
    <w:rsid w:val="001B48FF"/>
    <w:rsid w:val="001B4F50"/>
    <w:rsid w:val="001B5B65"/>
    <w:rsid w:val="001B5B82"/>
    <w:rsid w:val="001B5C5E"/>
    <w:rsid w:val="001B64C4"/>
    <w:rsid w:val="001B6CEA"/>
    <w:rsid w:val="001B72EC"/>
    <w:rsid w:val="001B753F"/>
    <w:rsid w:val="001C10CE"/>
    <w:rsid w:val="001C1863"/>
    <w:rsid w:val="001C2780"/>
    <w:rsid w:val="001C2C12"/>
    <w:rsid w:val="001C392C"/>
    <w:rsid w:val="001C3F50"/>
    <w:rsid w:val="001C4C16"/>
    <w:rsid w:val="001C4C43"/>
    <w:rsid w:val="001C6871"/>
    <w:rsid w:val="001C6B9D"/>
    <w:rsid w:val="001D13E4"/>
    <w:rsid w:val="001D1C0A"/>
    <w:rsid w:val="001D2B33"/>
    <w:rsid w:val="001D3596"/>
    <w:rsid w:val="001D3668"/>
    <w:rsid w:val="001D3F04"/>
    <w:rsid w:val="001D4939"/>
    <w:rsid w:val="001D63F8"/>
    <w:rsid w:val="001D7756"/>
    <w:rsid w:val="001D7D98"/>
    <w:rsid w:val="001D7ED6"/>
    <w:rsid w:val="001E05E6"/>
    <w:rsid w:val="001E1971"/>
    <w:rsid w:val="001E21A5"/>
    <w:rsid w:val="001E2AF7"/>
    <w:rsid w:val="001E2F03"/>
    <w:rsid w:val="001E383F"/>
    <w:rsid w:val="001E389B"/>
    <w:rsid w:val="001E3C56"/>
    <w:rsid w:val="001E4619"/>
    <w:rsid w:val="001E6C6F"/>
    <w:rsid w:val="001E750F"/>
    <w:rsid w:val="001F15D6"/>
    <w:rsid w:val="001F3A75"/>
    <w:rsid w:val="001F4976"/>
    <w:rsid w:val="001F6021"/>
    <w:rsid w:val="001F7623"/>
    <w:rsid w:val="001F7D5E"/>
    <w:rsid w:val="00201657"/>
    <w:rsid w:val="002018F1"/>
    <w:rsid w:val="00202247"/>
    <w:rsid w:val="002029AB"/>
    <w:rsid w:val="002033B1"/>
    <w:rsid w:val="0020360D"/>
    <w:rsid w:val="002037D6"/>
    <w:rsid w:val="00203836"/>
    <w:rsid w:val="00203D9B"/>
    <w:rsid w:val="00203EF9"/>
    <w:rsid w:val="00203FA5"/>
    <w:rsid w:val="0020455A"/>
    <w:rsid w:val="00204B96"/>
    <w:rsid w:val="00205531"/>
    <w:rsid w:val="00205A49"/>
    <w:rsid w:val="00206160"/>
    <w:rsid w:val="00206EE1"/>
    <w:rsid w:val="00206FAD"/>
    <w:rsid w:val="002070B6"/>
    <w:rsid w:val="00210060"/>
    <w:rsid w:val="002110B5"/>
    <w:rsid w:val="002112CF"/>
    <w:rsid w:val="00211591"/>
    <w:rsid w:val="00211D41"/>
    <w:rsid w:val="00211E64"/>
    <w:rsid w:val="002129AB"/>
    <w:rsid w:val="0021339B"/>
    <w:rsid w:val="00213D26"/>
    <w:rsid w:val="00215B1E"/>
    <w:rsid w:val="00215FBC"/>
    <w:rsid w:val="002168F4"/>
    <w:rsid w:val="00217EEB"/>
    <w:rsid w:val="00217F8B"/>
    <w:rsid w:val="0022235A"/>
    <w:rsid w:val="00222484"/>
    <w:rsid w:val="00223538"/>
    <w:rsid w:val="00223726"/>
    <w:rsid w:val="00223A5F"/>
    <w:rsid w:val="00224037"/>
    <w:rsid w:val="00224276"/>
    <w:rsid w:val="00224C91"/>
    <w:rsid w:val="00225A8A"/>
    <w:rsid w:val="00226416"/>
    <w:rsid w:val="002267FE"/>
    <w:rsid w:val="00226B93"/>
    <w:rsid w:val="00227176"/>
    <w:rsid w:val="00227582"/>
    <w:rsid w:val="0022792B"/>
    <w:rsid w:val="00227DB9"/>
    <w:rsid w:val="00230BC2"/>
    <w:rsid w:val="00230F33"/>
    <w:rsid w:val="00231D31"/>
    <w:rsid w:val="00232572"/>
    <w:rsid w:val="00233088"/>
    <w:rsid w:val="00233FFC"/>
    <w:rsid w:val="00234156"/>
    <w:rsid w:val="00235016"/>
    <w:rsid w:val="00235BCF"/>
    <w:rsid w:val="002371B4"/>
    <w:rsid w:val="00237477"/>
    <w:rsid w:val="00240538"/>
    <w:rsid w:val="002405EC"/>
    <w:rsid w:val="00240FE9"/>
    <w:rsid w:val="00241944"/>
    <w:rsid w:val="00241F4A"/>
    <w:rsid w:val="0024304A"/>
    <w:rsid w:val="00244264"/>
    <w:rsid w:val="0024491B"/>
    <w:rsid w:val="00244FF9"/>
    <w:rsid w:val="002459F9"/>
    <w:rsid w:val="00245B49"/>
    <w:rsid w:val="00246F15"/>
    <w:rsid w:val="00247274"/>
    <w:rsid w:val="0024770E"/>
    <w:rsid w:val="0025043D"/>
    <w:rsid w:val="00250578"/>
    <w:rsid w:val="00250A11"/>
    <w:rsid w:val="002511E2"/>
    <w:rsid w:val="00251775"/>
    <w:rsid w:val="0025366F"/>
    <w:rsid w:val="00253B12"/>
    <w:rsid w:val="0025430C"/>
    <w:rsid w:val="00254B73"/>
    <w:rsid w:val="00254F8E"/>
    <w:rsid w:val="00254FFA"/>
    <w:rsid w:val="002564C1"/>
    <w:rsid w:val="00257912"/>
    <w:rsid w:val="00257BDD"/>
    <w:rsid w:val="002600A8"/>
    <w:rsid w:val="002603D0"/>
    <w:rsid w:val="00260965"/>
    <w:rsid w:val="00260A32"/>
    <w:rsid w:val="00261CBA"/>
    <w:rsid w:val="00261E44"/>
    <w:rsid w:val="0026213D"/>
    <w:rsid w:val="002621BB"/>
    <w:rsid w:val="00262532"/>
    <w:rsid w:val="00262730"/>
    <w:rsid w:val="00263998"/>
    <w:rsid w:val="00263A6F"/>
    <w:rsid w:val="00265D92"/>
    <w:rsid w:val="00266936"/>
    <w:rsid w:val="00267CC9"/>
    <w:rsid w:val="002703A7"/>
    <w:rsid w:val="00270AB2"/>
    <w:rsid w:val="00271E53"/>
    <w:rsid w:val="00271FBF"/>
    <w:rsid w:val="00272B37"/>
    <w:rsid w:val="00273F3B"/>
    <w:rsid w:val="002741E3"/>
    <w:rsid w:val="00274DA0"/>
    <w:rsid w:val="00275099"/>
    <w:rsid w:val="00275541"/>
    <w:rsid w:val="00275943"/>
    <w:rsid w:val="00275C02"/>
    <w:rsid w:val="00276B07"/>
    <w:rsid w:val="00276E5A"/>
    <w:rsid w:val="00276E96"/>
    <w:rsid w:val="00276F49"/>
    <w:rsid w:val="00277161"/>
    <w:rsid w:val="00277D90"/>
    <w:rsid w:val="002806CD"/>
    <w:rsid w:val="002809A6"/>
    <w:rsid w:val="00280BDC"/>
    <w:rsid w:val="00280D8E"/>
    <w:rsid w:val="00281C51"/>
    <w:rsid w:val="002825FC"/>
    <w:rsid w:val="00282D48"/>
    <w:rsid w:val="00283167"/>
    <w:rsid w:val="002842AF"/>
    <w:rsid w:val="002850F1"/>
    <w:rsid w:val="002852D2"/>
    <w:rsid w:val="00285444"/>
    <w:rsid w:val="002864A2"/>
    <w:rsid w:val="002872C5"/>
    <w:rsid w:val="002874C5"/>
    <w:rsid w:val="0029019F"/>
    <w:rsid w:val="00290514"/>
    <w:rsid w:val="00290A17"/>
    <w:rsid w:val="00291008"/>
    <w:rsid w:val="00291015"/>
    <w:rsid w:val="00291112"/>
    <w:rsid w:val="00292CC1"/>
    <w:rsid w:val="00292DB4"/>
    <w:rsid w:val="0029311B"/>
    <w:rsid w:val="002936F8"/>
    <w:rsid w:val="002949E6"/>
    <w:rsid w:val="00295462"/>
    <w:rsid w:val="00295850"/>
    <w:rsid w:val="00295A36"/>
    <w:rsid w:val="002964DF"/>
    <w:rsid w:val="0029679F"/>
    <w:rsid w:val="00296A63"/>
    <w:rsid w:val="0029721C"/>
    <w:rsid w:val="002A0AB5"/>
    <w:rsid w:val="002A1390"/>
    <w:rsid w:val="002A263D"/>
    <w:rsid w:val="002A267C"/>
    <w:rsid w:val="002A2957"/>
    <w:rsid w:val="002A2FF0"/>
    <w:rsid w:val="002A4052"/>
    <w:rsid w:val="002A566D"/>
    <w:rsid w:val="002A5DA6"/>
    <w:rsid w:val="002A6E3D"/>
    <w:rsid w:val="002A75EB"/>
    <w:rsid w:val="002A75EF"/>
    <w:rsid w:val="002B0EFE"/>
    <w:rsid w:val="002B1029"/>
    <w:rsid w:val="002B41B8"/>
    <w:rsid w:val="002B4351"/>
    <w:rsid w:val="002B472A"/>
    <w:rsid w:val="002B5033"/>
    <w:rsid w:val="002B591C"/>
    <w:rsid w:val="002B5C12"/>
    <w:rsid w:val="002B6180"/>
    <w:rsid w:val="002B61C6"/>
    <w:rsid w:val="002B6DBC"/>
    <w:rsid w:val="002B7150"/>
    <w:rsid w:val="002C019E"/>
    <w:rsid w:val="002C0260"/>
    <w:rsid w:val="002C047F"/>
    <w:rsid w:val="002C07A6"/>
    <w:rsid w:val="002C11C3"/>
    <w:rsid w:val="002C1533"/>
    <w:rsid w:val="002C15BC"/>
    <w:rsid w:val="002C1935"/>
    <w:rsid w:val="002C29C9"/>
    <w:rsid w:val="002C3BC6"/>
    <w:rsid w:val="002C42C9"/>
    <w:rsid w:val="002C4396"/>
    <w:rsid w:val="002C43FC"/>
    <w:rsid w:val="002C6AD3"/>
    <w:rsid w:val="002C6F56"/>
    <w:rsid w:val="002D1376"/>
    <w:rsid w:val="002D2031"/>
    <w:rsid w:val="002D2130"/>
    <w:rsid w:val="002D266E"/>
    <w:rsid w:val="002D41D9"/>
    <w:rsid w:val="002D4F2E"/>
    <w:rsid w:val="002D62F0"/>
    <w:rsid w:val="002D7C84"/>
    <w:rsid w:val="002E0591"/>
    <w:rsid w:val="002E08FF"/>
    <w:rsid w:val="002E0EBF"/>
    <w:rsid w:val="002E1D11"/>
    <w:rsid w:val="002E294C"/>
    <w:rsid w:val="002E3F2B"/>
    <w:rsid w:val="002E4060"/>
    <w:rsid w:val="002E4180"/>
    <w:rsid w:val="002E447E"/>
    <w:rsid w:val="002E5413"/>
    <w:rsid w:val="002E592D"/>
    <w:rsid w:val="002E5C0B"/>
    <w:rsid w:val="002E5CA2"/>
    <w:rsid w:val="002E5D2D"/>
    <w:rsid w:val="002E5D6F"/>
    <w:rsid w:val="002E642F"/>
    <w:rsid w:val="002E72F1"/>
    <w:rsid w:val="002E7D0E"/>
    <w:rsid w:val="002F0066"/>
    <w:rsid w:val="002F0472"/>
    <w:rsid w:val="002F0640"/>
    <w:rsid w:val="002F145B"/>
    <w:rsid w:val="002F16DE"/>
    <w:rsid w:val="002F1A2F"/>
    <w:rsid w:val="002F2B87"/>
    <w:rsid w:val="002F2C19"/>
    <w:rsid w:val="002F33D6"/>
    <w:rsid w:val="002F396A"/>
    <w:rsid w:val="002F4603"/>
    <w:rsid w:val="002F52CF"/>
    <w:rsid w:val="002F5E17"/>
    <w:rsid w:val="002F5F78"/>
    <w:rsid w:val="002F63BA"/>
    <w:rsid w:val="002F6465"/>
    <w:rsid w:val="002F781B"/>
    <w:rsid w:val="002F7C5F"/>
    <w:rsid w:val="003003D3"/>
    <w:rsid w:val="003007D6"/>
    <w:rsid w:val="0030095B"/>
    <w:rsid w:val="003010E9"/>
    <w:rsid w:val="00301666"/>
    <w:rsid w:val="00302015"/>
    <w:rsid w:val="003028CA"/>
    <w:rsid w:val="00302F81"/>
    <w:rsid w:val="003052BE"/>
    <w:rsid w:val="00306D10"/>
    <w:rsid w:val="00307AD5"/>
    <w:rsid w:val="003107B6"/>
    <w:rsid w:val="003108FA"/>
    <w:rsid w:val="00310B5A"/>
    <w:rsid w:val="00310F02"/>
    <w:rsid w:val="00311608"/>
    <w:rsid w:val="00311860"/>
    <w:rsid w:val="00312498"/>
    <w:rsid w:val="003141F5"/>
    <w:rsid w:val="003144BA"/>
    <w:rsid w:val="00314B68"/>
    <w:rsid w:val="00314D78"/>
    <w:rsid w:val="00315097"/>
    <w:rsid w:val="00315695"/>
    <w:rsid w:val="003160F9"/>
    <w:rsid w:val="00317087"/>
    <w:rsid w:val="00320FF7"/>
    <w:rsid w:val="00321A03"/>
    <w:rsid w:val="003228DB"/>
    <w:rsid w:val="003249EA"/>
    <w:rsid w:val="00324F53"/>
    <w:rsid w:val="00326109"/>
    <w:rsid w:val="00327291"/>
    <w:rsid w:val="0032768B"/>
    <w:rsid w:val="00327702"/>
    <w:rsid w:val="003306D9"/>
    <w:rsid w:val="003309C8"/>
    <w:rsid w:val="00331170"/>
    <w:rsid w:val="00331F24"/>
    <w:rsid w:val="00333860"/>
    <w:rsid w:val="00333B34"/>
    <w:rsid w:val="00333D58"/>
    <w:rsid w:val="00333D95"/>
    <w:rsid w:val="003344C8"/>
    <w:rsid w:val="0033461F"/>
    <w:rsid w:val="00335897"/>
    <w:rsid w:val="00335E01"/>
    <w:rsid w:val="00336032"/>
    <w:rsid w:val="003377BD"/>
    <w:rsid w:val="00340570"/>
    <w:rsid w:val="00340B61"/>
    <w:rsid w:val="0034189B"/>
    <w:rsid w:val="003418AE"/>
    <w:rsid w:val="00341C91"/>
    <w:rsid w:val="003427EF"/>
    <w:rsid w:val="00342BB3"/>
    <w:rsid w:val="00342FF4"/>
    <w:rsid w:val="003433E9"/>
    <w:rsid w:val="00343C4D"/>
    <w:rsid w:val="00347405"/>
    <w:rsid w:val="00347522"/>
    <w:rsid w:val="0034793D"/>
    <w:rsid w:val="00347C80"/>
    <w:rsid w:val="0035061C"/>
    <w:rsid w:val="00350DBB"/>
    <w:rsid w:val="00351291"/>
    <w:rsid w:val="00351793"/>
    <w:rsid w:val="003518A0"/>
    <w:rsid w:val="003523C7"/>
    <w:rsid w:val="003532CA"/>
    <w:rsid w:val="0035354F"/>
    <w:rsid w:val="003536F2"/>
    <w:rsid w:val="00354EDD"/>
    <w:rsid w:val="003550A7"/>
    <w:rsid w:val="003550D2"/>
    <w:rsid w:val="0035559A"/>
    <w:rsid w:val="003557C0"/>
    <w:rsid w:val="003565E5"/>
    <w:rsid w:val="0036015A"/>
    <w:rsid w:val="00360319"/>
    <w:rsid w:val="00360541"/>
    <w:rsid w:val="003608BD"/>
    <w:rsid w:val="00360ABF"/>
    <w:rsid w:val="00362A49"/>
    <w:rsid w:val="00363C32"/>
    <w:rsid w:val="00363F9D"/>
    <w:rsid w:val="00364553"/>
    <w:rsid w:val="00364BD2"/>
    <w:rsid w:val="00364EB5"/>
    <w:rsid w:val="00365161"/>
    <w:rsid w:val="00365D81"/>
    <w:rsid w:val="003663AA"/>
    <w:rsid w:val="00366418"/>
    <w:rsid w:val="00366792"/>
    <w:rsid w:val="00366950"/>
    <w:rsid w:val="00367079"/>
    <w:rsid w:val="00367FE3"/>
    <w:rsid w:val="00370AFF"/>
    <w:rsid w:val="00371222"/>
    <w:rsid w:val="0037171C"/>
    <w:rsid w:val="00371B6E"/>
    <w:rsid w:val="00372044"/>
    <w:rsid w:val="00373287"/>
    <w:rsid w:val="003733F8"/>
    <w:rsid w:val="00373496"/>
    <w:rsid w:val="0037395A"/>
    <w:rsid w:val="00375163"/>
    <w:rsid w:val="00375C62"/>
    <w:rsid w:val="0037638C"/>
    <w:rsid w:val="00376CAB"/>
    <w:rsid w:val="00377256"/>
    <w:rsid w:val="003772AB"/>
    <w:rsid w:val="00377397"/>
    <w:rsid w:val="003774E0"/>
    <w:rsid w:val="0038158F"/>
    <w:rsid w:val="00381764"/>
    <w:rsid w:val="00381FE2"/>
    <w:rsid w:val="00383310"/>
    <w:rsid w:val="00383D33"/>
    <w:rsid w:val="00384366"/>
    <w:rsid w:val="003858C5"/>
    <w:rsid w:val="00386170"/>
    <w:rsid w:val="0038628F"/>
    <w:rsid w:val="00386939"/>
    <w:rsid w:val="00390BCF"/>
    <w:rsid w:val="003913EA"/>
    <w:rsid w:val="003914BB"/>
    <w:rsid w:val="00391D04"/>
    <w:rsid w:val="0039249E"/>
    <w:rsid w:val="00392EA2"/>
    <w:rsid w:val="003932EE"/>
    <w:rsid w:val="003944E8"/>
    <w:rsid w:val="00394B89"/>
    <w:rsid w:val="0039566D"/>
    <w:rsid w:val="00395896"/>
    <w:rsid w:val="00395C82"/>
    <w:rsid w:val="00395D08"/>
    <w:rsid w:val="0039695D"/>
    <w:rsid w:val="00396C15"/>
    <w:rsid w:val="00396F51"/>
    <w:rsid w:val="00397316"/>
    <w:rsid w:val="003A0432"/>
    <w:rsid w:val="003A07BB"/>
    <w:rsid w:val="003A0A50"/>
    <w:rsid w:val="003A1AA1"/>
    <w:rsid w:val="003A1DE4"/>
    <w:rsid w:val="003A2095"/>
    <w:rsid w:val="003A2AE2"/>
    <w:rsid w:val="003A589D"/>
    <w:rsid w:val="003A5A1C"/>
    <w:rsid w:val="003A5B33"/>
    <w:rsid w:val="003A6921"/>
    <w:rsid w:val="003A70B8"/>
    <w:rsid w:val="003A7B43"/>
    <w:rsid w:val="003A7B85"/>
    <w:rsid w:val="003A7E5F"/>
    <w:rsid w:val="003B18AC"/>
    <w:rsid w:val="003B23BE"/>
    <w:rsid w:val="003B29BD"/>
    <w:rsid w:val="003B2A8A"/>
    <w:rsid w:val="003B34B3"/>
    <w:rsid w:val="003B36AB"/>
    <w:rsid w:val="003B39EE"/>
    <w:rsid w:val="003B4674"/>
    <w:rsid w:val="003B4731"/>
    <w:rsid w:val="003B4D3E"/>
    <w:rsid w:val="003B4EF3"/>
    <w:rsid w:val="003B5277"/>
    <w:rsid w:val="003B5D0C"/>
    <w:rsid w:val="003B681D"/>
    <w:rsid w:val="003B6F6E"/>
    <w:rsid w:val="003B74D1"/>
    <w:rsid w:val="003B7A05"/>
    <w:rsid w:val="003C01E7"/>
    <w:rsid w:val="003C0B86"/>
    <w:rsid w:val="003C0ECF"/>
    <w:rsid w:val="003C11AB"/>
    <w:rsid w:val="003C13B4"/>
    <w:rsid w:val="003C19DC"/>
    <w:rsid w:val="003C3B8B"/>
    <w:rsid w:val="003C3E5C"/>
    <w:rsid w:val="003C5549"/>
    <w:rsid w:val="003C6109"/>
    <w:rsid w:val="003C6DA2"/>
    <w:rsid w:val="003C72EE"/>
    <w:rsid w:val="003C7425"/>
    <w:rsid w:val="003C7E43"/>
    <w:rsid w:val="003C7F9E"/>
    <w:rsid w:val="003D13C4"/>
    <w:rsid w:val="003D15B5"/>
    <w:rsid w:val="003D3446"/>
    <w:rsid w:val="003D4211"/>
    <w:rsid w:val="003D5289"/>
    <w:rsid w:val="003D5A2E"/>
    <w:rsid w:val="003D6C2F"/>
    <w:rsid w:val="003D6E89"/>
    <w:rsid w:val="003E02C0"/>
    <w:rsid w:val="003E0C82"/>
    <w:rsid w:val="003E1060"/>
    <w:rsid w:val="003E12FC"/>
    <w:rsid w:val="003E16D5"/>
    <w:rsid w:val="003E171B"/>
    <w:rsid w:val="003E1B22"/>
    <w:rsid w:val="003E257C"/>
    <w:rsid w:val="003E27BD"/>
    <w:rsid w:val="003E2FF7"/>
    <w:rsid w:val="003E38E2"/>
    <w:rsid w:val="003E4227"/>
    <w:rsid w:val="003E4E8C"/>
    <w:rsid w:val="003E5367"/>
    <w:rsid w:val="003E5AE6"/>
    <w:rsid w:val="003E624D"/>
    <w:rsid w:val="003E786D"/>
    <w:rsid w:val="003E7F7A"/>
    <w:rsid w:val="003F0212"/>
    <w:rsid w:val="003F1C0C"/>
    <w:rsid w:val="003F219F"/>
    <w:rsid w:val="003F24F0"/>
    <w:rsid w:val="003F260D"/>
    <w:rsid w:val="003F3577"/>
    <w:rsid w:val="003F46AA"/>
    <w:rsid w:val="003F506E"/>
    <w:rsid w:val="003F51F1"/>
    <w:rsid w:val="003F5716"/>
    <w:rsid w:val="003F57FA"/>
    <w:rsid w:val="003F60C5"/>
    <w:rsid w:val="003F6821"/>
    <w:rsid w:val="003F6BC8"/>
    <w:rsid w:val="003F731B"/>
    <w:rsid w:val="00400C48"/>
    <w:rsid w:val="00401041"/>
    <w:rsid w:val="00401592"/>
    <w:rsid w:val="00401883"/>
    <w:rsid w:val="00401925"/>
    <w:rsid w:val="004022AA"/>
    <w:rsid w:val="00402704"/>
    <w:rsid w:val="00403593"/>
    <w:rsid w:val="00403A9F"/>
    <w:rsid w:val="004043C0"/>
    <w:rsid w:val="00404D49"/>
    <w:rsid w:val="00404E07"/>
    <w:rsid w:val="00404F56"/>
    <w:rsid w:val="00404FD1"/>
    <w:rsid w:val="004059EA"/>
    <w:rsid w:val="00405F8C"/>
    <w:rsid w:val="00406867"/>
    <w:rsid w:val="00406CC6"/>
    <w:rsid w:val="00410656"/>
    <w:rsid w:val="00410AD0"/>
    <w:rsid w:val="00410B16"/>
    <w:rsid w:val="00410BCB"/>
    <w:rsid w:val="004116AB"/>
    <w:rsid w:val="004123A0"/>
    <w:rsid w:val="00412F01"/>
    <w:rsid w:val="00413939"/>
    <w:rsid w:val="00413A5B"/>
    <w:rsid w:val="00413D81"/>
    <w:rsid w:val="00414880"/>
    <w:rsid w:val="00414A9C"/>
    <w:rsid w:val="00414C16"/>
    <w:rsid w:val="004152B4"/>
    <w:rsid w:val="0041662D"/>
    <w:rsid w:val="00416D48"/>
    <w:rsid w:val="004176A7"/>
    <w:rsid w:val="00421742"/>
    <w:rsid w:val="00422265"/>
    <w:rsid w:val="00424433"/>
    <w:rsid w:val="00424576"/>
    <w:rsid w:val="004246DC"/>
    <w:rsid w:val="00425350"/>
    <w:rsid w:val="00426369"/>
    <w:rsid w:val="0042672E"/>
    <w:rsid w:val="00426B2C"/>
    <w:rsid w:val="00426B58"/>
    <w:rsid w:val="00427517"/>
    <w:rsid w:val="00427B45"/>
    <w:rsid w:val="004300A3"/>
    <w:rsid w:val="00430AE7"/>
    <w:rsid w:val="00430E4E"/>
    <w:rsid w:val="004336FB"/>
    <w:rsid w:val="004340B9"/>
    <w:rsid w:val="00435471"/>
    <w:rsid w:val="00435984"/>
    <w:rsid w:val="00435A38"/>
    <w:rsid w:val="00436FAE"/>
    <w:rsid w:val="00436FF2"/>
    <w:rsid w:val="00437314"/>
    <w:rsid w:val="004405D4"/>
    <w:rsid w:val="00440A7E"/>
    <w:rsid w:val="004411A8"/>
    <w:rsid w:val="0044134C"/>
    <w:rsid w:val="0044157F"/>
    <w:rsid w:val="0044177D"/>
    <w:rsid w:val="00441812"/>
    <w:rsid w:val="00441B9C"/>
    <w:rsid w:val="004421F2"/>
    <w:rsid w:val="0044281A"/>
    <w:rsid w:val="00442B4C"/>
    <w:rsid w:val="00442C0E"/>
    <w:rsid w:val="00444401"/>
    <w:rsid w:val="004444FA"/>
    <w:rsid w:val="00444A4E"/>
    <w:rsid w:val="004454CE"/>
    <w:rsid w:val="00446A61"/>
    <w:rsid w:val="00447057"/>
    <w:rsid w:val="004472C8"/>
    <w:rsid w:val="0044756B"/>
    <w:rsid w:val="00450A73"/>
    <w:rsid w:val="00450B76"/>
    <w:rsid w:val="00450CD9"/>
    <w:rsid w:val="0045112E"/>
    <w:rsid w:val="004517AB"/>
    <w:rsid w:val="004518A6"/>
    <w:rsid w:val="00451E84"/>
    <w:rsid w:val="00452114"/>
    <w:rsid w:val="00453387"/>
    <w:rsid w:val="00453B70"/>
    <w:rsid w:val="0045414B"/>
    <w:rsid w:val="00454786"/>
    <w:rsid w:val="004549C5"/>
    <w:rsid w:val="00454CDC"/>
    <w:rsid w:val="004554C6"/>
    <w:rsid w:val="004554F2"/>
    <w:rsid w:val="00455A1F"/>
    <w:rsid w:val="00456FE1"/>
    <w:rsid w:val="004573F3"/>
    <w:rsid w:val="0046138F"/>
    <w:rsid w:val="004619C6"/>
    <w:rsid w:val="00462BAF"/>
    <w:rsid w:val="00462FF8"/>
    <w:rsid w:val="004630F1"/>
    <w:rsid w:val="0046352F"/>
    <w:rsid w:val="0046367E"/>
    <w:rsid w:val="004644C3"/>
    <w:rsid w:val="00464E96"/>
    <w:rsid w:val="004660E4"/>
    <w:rsid w:val="004665AD"/>
    <w:rsid w:val="00467178"/>
    <w:rsid w:val="0046718B"/>
    <w:rsid w:val="00467693"/>
    <w:rsid w:val="004677BC"/>
    <w:rsid w:val="004701D2"/>
    <w:rsid w:val="004704C2"/>
    <w:rsid w:val="00470CFE"/>
    <w:rsid w:val="00471630"/>
    <w:rsid w:val="00471C39"/>
    <w:rsid w:val="00472190"/>
    <w:rsid w:val="004723B7"/>
    <w:rsid w:val="0047344A"/>
    <w:rsid w:val="0047385E"/>
    <w:rsid w:val="004746B3"/>
    <w:rsid w:val="00474B2D"/>
    <w:rsid w:val="004752E5"/>
    <w:rsid w:val="004757E8"/>
    <w:rsid w:val="0047763F"/>
    <w:rsid w:val="00477677"/>
    <w:rsid w:val="00477EC2"/>
    <w:rsid w:val="00480103"/>
    <w:rsid w:val="0048040D"/>
    <w:rsid w:val="004804DA"/>
    <w:rsid w:val="00480510"/>
    <w:rsid w:val="004806CA"/>
    <w:rsid w:val="0048139D"/>
    <w:rsid w:val="0048144D"/>
    <w:rsid w:val="0048157C"/>
    <w:rsid w:val="00481D85"/>
    <w:rsid w:val="00481E08"/>
    <w:rsid w:val="00482275"/>
    <w:rsid w:val="0048364A"/>
    <w:rsid w:val="004836C9"/>
    <w:rsid w:val="00484DE9"/>
    <w:rsid w:val="00486C4E"/>
    <w:rsid w:val="0048792D"/>
    <w:rsid w:val="0049129A"/>
    <w:rsid w:val="004915E8"/>
    <w:rsid w:val="00491776"/>
    <w:rsid w:val="00491D82"/>
    <w:rsid w:val="00492209"/>
    <w:rsid w:val="004924D8"/>
    <w:rsid w:val="004928B6"/>
    <w:rsid w:val="00492960"/>
    <w:rsid w:val="00492B9D"/>
    <w:rsid w:val="00493587"/>
    <w:rsid w:val="0049363A"/>
    <w:rsid w:val="00493DD0"/>
    <w:rsid w:val="0049452A"/>
    <w:rsid w:val="0049459B"/>
    <w:rsid w:val="004945B5"/>
    <w:rsid w:val="00494A98"/>
    <w:rsid w:val="00495C49"/>
    <w:rsid w:val="004965C3"/>
    <w:rsid w:val="00496758"/>
    <w:rsid w:val="00497547"/>
    <w:rsid w:val="00497D09"/>
    <w:rsid w:val="00497F68"/>
    <w:rsid w:val="004A5170"/>
    <w:rsid w:val="004A52B9"/>
    <w:rsid w:val="004A5E03"/>
    <w:rsid w:val="004A62C0"/>
    <w:rsid w:val="004A6B65"/>
    <w:rsid w:val="004A719E"/>
    <w:rsid w:val="004A729B"/>
    <w:rsid w:val="004A7ADD"/>
    <w:rsid w:val="004A7C8C"/>
    <w:rsid w:val="004B0022"/>
    <w:rsid w:val="004B049C"/>
    <w:rsid w:val="004B0C5C"/>
    <w:rsid w:val="004B25DA"/>
    <w:rsid w:val="004B3461"/>
    <w:rsid w:val="004B411D"/>
    <w:rsid w:val="004B4392"/>
    <w:rsid w:val="004B451F"/>
    <w:rsid w:val="004B6A1F"/>
    <w:rsid w:val="004B6BDE"/>
    <w:rsid w:val="004C059B"/>
    <w:rsid w:val="004C0C2F"/>
    <w:rsid w:val="004C1A96"/>
    <w:rsid w:val="004C2E64"/>
    <w:rsid w:val="004C30DC"/>
    <w:rsid w:val="004C33DD"/>
    <w:rsid w:val="004C3780"/>
    <w:rsid w:val="004C4158"/>
    <w:rsid w:val="004C566D"/>
    <w:rsid w:val="004C6B2F"/>
    <w:rsid w:val="004C6D6D"/>
    <w:rsid w:val="004C70A7"/>
    <w:rsid w:val="004C72BF"/>
    <w:rsid w:val="004C7394"/>
    <w:rsid w:val="004D086A"/>
    <w:rsid w:val="004D0D3E"/>
    <w:rsid w:val="004D2590"/>
    <w:rsid w:val="004D263C"/>
    <w:rsid w:val="004D2D68"/>
    <w:rsid w:val="004D3EDE"/>
    <w:rsid w:val="004D5926"/>
    <w:rsid w:val="004D593D"/>
    <w:rsid w:val="004D64AF"/>
    <w:rsid w:val="004D677C"/>
    <w:rsid w:val="004D698D"/>
    <w:rsid w:val="004D78AB"/>
    <w:rsid w:val="004E037C"/>
    <w:rsid w:val="004E0480"/>
    <w:rsid w:val="004E0B50"/>
    <w:rsid w:val="004E0F68"/>
    <w:rsid w:val="004E10F8"/>
    <w:rsid w:val="004E20E9"/>
    <w:rsid w:val="004E2441"/>
    <w:rsid w:val="004E285A"/>
    <w:rsid w:val="004E2AC3"/>
    <w:rsid w:val="004E3623"/>
    <w:rsid w:val="004E3FF8"/>
    <w:rsid w:val="004E42F0"/>
    <w:rsid w:val="004E443E"/>
    <w:rsid w:val="004E463A"/>
    <w:rsid w:val="004E4DF9"/>
    <w:rsid w:val="004E5804"/>
    <w:rsid w:val="004E5950"/>
    <w:rsid w:val="004E5CEE"/>
    <w:rsid w:val="004E67ED"/>
    <w:rsid w:val="004E73E5"/>
    <w:rsid w:val="004E7CEC"/>
    <w:rsid w:val="004F00E9"/>
    <w:rsid w:val="004F0C3A"/>
    <w:rsid w:val="004F10D5"/>
    <w:rsid w:val="004F1211"/>
    <w:rsid w:val="004F1438"/>
    <w:rsid w:val="004F1E53"/>
    <w:rsid w:val="004F1FE1"/>
    <w:rsid w:val="004F2260"/>
    <w:rsid w:val="004F3809"/>
    <w:rsid w:val="004F4194"/>
    <w:rsid w:val="004F509F"/>
    <w:rsid w:val="004F68B6"/>
    <w:rsid w:val="004F7319"/>
    <w:rsid w:val="004F749F"/>
    <w:rsid w:val="0050005E"/>
    <w:rsid w:val="00500A9D"/>
    <w:rsid w:val="0050199E"/>
    <w:rsid w:val="0050266C"/>
    <w:rsid w:val="00502A24"/>
    <w:rsid w:val="0050380D"/>
    <w:rsid w:val="005046FD"/>
    <w:rsid w:val="00504A27"/>
    <w:rsid w:val="005056B1"/>
    <w:rsid w:val="00506C04"/>
    <w:rsid w:val="0050714C"/>
    <w:rsid w:val="00510918"/>
    <w:rsid w:val="00510AC9"/>
    <w:rsid w:val="00511093"/>
    <w:rsid w:val="0051185E"/>
    <w:rsid w:val="00511C1F"/>
    <w:rsid w:val="0051300B"/>
    <w:rsid w:val="00513036"/>
    <w:rsid w:val="005135B4"/>
    <w:rsid w:val="00513A98"/>
    <w:rsid w:val="0051405E"/>
    <w:rsid w:val="0051486C"/>
    <w:rsid w:val="00514CC5"/>
    <w:rsid w:val="00515578"/>
    <w:rsid w:val="00515D4C"/>
    <w:rsid w:val="00515DD4"/>
    <w:rsid w:val="00516B9C"/>
    <w:rsid w:val="00517C4A"/>
    <w:rsid w:val="00517FE4"/>
    <w:rsid w:val="0052174B"/>
    <w:rsid w:val="005217B6"/>
    <w:rsid w:val="00521AAA"/>
    <w:rsid w:val="005220C8"/>
    <w:rsid w:val="005232C1"/>
    <w:rsid w:val="00523484"/>
    <w:rsid w:val="00523A99"/>
    <w:rsid w:val="005253A4"/>
    <w:rsid w:val="0052551E"/>
    <w:rsid w:val="00525F97"/>
    <w:rsid w:val="005261D7"/>
    <w:rsid w:val="005267DB"/>
    <w:rsid w:val="00526C02"/>
    <w:rsid w:val="0053028A"/>
    <w:rsid w:val="0053279C"/>
    <w:rsid w:val="0053409E"/>
    <w:rsid w:val="005344FF"/>
    <w:rsid w:val="00535051"/>
    <w:rsid w:val="0053525E"/>
    <w:rsid w:val="00535DE5"/>
    <w:rsid w:val="00535F58"/>
    <w:rsid w:val="00536F85"/>
    <w:rsid w:val="00537776"/>
    <w:rsid w:val="00537B84"/>
    <w:rsid w:val="0054075B"/>
    <w:rsid w:val="0054087F"/>
    <w:rsid w:val="0054114E"/>
    <w:rsid w:val="005413E3"/>
    <w:rsid w:val="00541516"/>
    <w:rsid w:val="00542B81"/>
    <w:rsid w:val="00542F5B"/>
    <w:rsid w:val="00543001"/>
    <w:rsid w:val="005440C7"/>
    <w:rsid w:val="005442E0"/>
    <w:rsid w:val="005446DE"/>
    <w:rsid w:val="005449D8"/>
    <w:rsid w:val="00544A7C"/>
    <w:rsid w:val="00545203"/>
    <w:rsid w:val="005463FA"/>
    <w:rsid w:val="0054647B"/>
    <w:rsid w:val="00546613"/>
    <w:rsid w:val="0055007D"/>
    <w:rsid w:val="0055163F"/>
    <w:rsid w:val="0055221A"/>
    <w:rsid w:val="005528C0"/>
    <w:rsid w:val="00554551"/>
    <w:rsid w:val="00554C65"/>
    <w:rsid w:val="005551FB"/>
    <w:rsid w:val="005556FC"/>
    <w:rsid w:val="00555786"/>
    <w:rsid w:val="00555873"/>
    <w:rsid w:val="005559E1"/>
    <w:rsid w:val="00555A0E"/>
    <w:rsid w:val="00555A44"/>
    <w:rsid w:val="0055614F"/>
    <w:rsid w:val="005572EB"/>
    <w:rsid w:val="005607F4"/>
    <w:rsid w:val="00560BD2"/>
    <w:rsid w:val="00560E08"/>
    <w:rsid w:val="00561311"/>
    <w:rsid w:val="00562B99"/>
    <w:rsid w:val="00563579"/>
    <w:rsid w:val="00564465"/>
    <w:rsid w:val="005646D6"/>
    <w:rsid w:val="00564B0C"/>
    <w:rsid w:val="00565029"/>
    <w:rsid w:val="00565472"/>
    <w:rsid w:val="00565DD8"/>
    <w:rsid w:val="00566592"/>
    <w:rsid w:val="0056666A"/>
    <w:rsid w:val="005700ED"/>
    <w:rsid w:val="005706EA"/>
    <w:rsid w:val="00570C1B"/>
    <w:rsid w:val="00571244"/>
    <w:rsid w:val="00571A42"/>
    <w:rsid w:val="00571F86"/>
    <w:rsid w:val="00573005"/>
    <w:rsid w:val="00574ACC"/>
    <w:rsid w:val="00574CF2"/>
    <w:rsid w:val="00575395"/>
    <w:rsid w:val="005753D2"/>
    <w:rsid w:val="005756E9"/>
    <w:rsid w:val="00575E06"/>
    <w:rsid w:val="00576844"/>
    <w:rsid w:val="0057788A"/>
    <w:rsid w:val="00577A69"/>
    <w:rsid w:val="0058002D"/>
    <w:rsid w:val="00580902"/>
    <w:rsid w:val="00580BA8"/>
    <w:rsid w:val="005812EB"/>
    <w:rsid w:val="00581479"/>
    <w:rsid w:val="00581BCD"/>
    <w:rsid w:val="00582077"/>
    <w:rsid w:val="0058279A"/>
    <w:rsid w:val="00582EA1"/>
    <w:rsid w:val="0058310B"/>
    <w:rsid w:val="0058374B"/>
    <w:rsid w:val="0058427C"/>
    <w:rsid w:val="00584F10"/>
    <w:rsid w:val="00584F68"/>
    <w:rsid w:val="005857B9"/>
    <w:rsid w:val="00585A5F"/>
    <w:rsid w:val="00585F4D"/>
    <w:rsid w:val="005866FA"/>
    <w:rsid w:val="00586C47"/>
    <w:rsid w:val="00587513"/>
    <w:rsid w:val="00587902"/>
    <w:rsid w:val="00587AD3"/>
    <w:rsid w:val="00590109"/>
    <w:rsid w:val="005926C0"/>
    <w:rsid w:val="00592C11"/>
    <w:rsid w:val="00593360"/>
    <w:rsid w:val="00593C77"/>
    <w:rsid w:val="00593EED"/>
    <w:rsid w:val="0059477C"/>
    <w:rsid w:val="005977A7"/>
    <w:rsid w:val="005A1BD5"/>
    <w:rsid w:val="005A1E22"/>
    <w:rsid w:val="005A3E62"/>
    <w:rsid w:val="005A40D7"/>
    <w:rsid w:val="005A4D76"/>
    <w:rsid w:val="005A64BE"/>
    <w:rsid w:val="005A674D"/>
    <w:rsid w:val="005A6B52"/>
    <w:rsid w:val="005A7852"/>
    <w:rsid w:val="005A7B0B"/>
    <w:rsid w:val="005B05FB"/>
    <w:rsid w:val="005B2DF9"/>
    <w:rsid w:val="005B4564"/>
    <w:rsid w:val="005B47D8"/>
    <w:rsid w:val="005C0624"/>
    <w:rsid w:val="005C1138"/>
    <w:rsid w:val="005C19E1"/>
    <w:rsid w:val="005C1A40"/>
    <w:rsid w:val="005C25E8"/>
    <w:rsid w:val="005C26F0"/>
    <w:rsid w:val="005C3065"/>
    <w:rsid w:val="005C3460"/>
    <w:rsid w:val="005C4707"/>
    <w:rsid w:val="005C4E98"/>
    <w:rsid w:val="005C5C6C"/>
    <w:rsid w:val="005C64D4"/>
    <w:rsid w:val="005C6F93"/>
    <w:rsid w:val="005C778E"/>
    <w:rsid w:val="005D007E"/>
    <w:rsid w:val="005D0484"/>
    <w:rsid w:val="005D05B8"/>
    <w:rsid w:val="005D05FB"/>
    <w:rsid w:val="005D22AE"/>
    <w:rsid w:val="005D2BBA"/>
    <w:rsid w:val="005D40CD"/>
    <w:rsid w:val="005D4477"/>
    <w:rsid w:val="005D44A7"/>
    <w:rsid w:val="005D45DB"/>
    <w:rsid w:val="005D48C0"/>
    <w:rsid w:val="005D552B"/>
    <w:rsid w:val="005D7796"/>
    <w:rsid w:val="005E0CA9"/>
    <w:rsid w:val="005E1D64"/>
    <w:rsid w:val="005E376E"/>
    <w:rsid w:val="005E55F3"/>
    <w:rsid w:val="005E67A8"/>
    <w:rsid w:val="005E7847"/>
    <w:rsid w:val="005E7C74"/>
    <w:rsid w:val="005E7F98"/>
    <w:rsid w:val="005F0491"/>
    <w:rsid w:val="005F1D54"/>
    <w:rsid w:val="005F283D"/>
    <w:rsid w:val="005F2B09"/>
    <w:rsid w:val="005F2CF8"/>
    <w:rsid w:val="005F2D90"/>
    <w:rsid w:val="005F2DEE"/>
    <w:rsid w:val="005F3D21"/>
    <w:rsid w:val="005F4D71"/>
    <w:rsid w:val="005F534A"/>
    <w:rsid w:val="005F6954"/>
    <w:rsid w:val="005F70C3"/>
    <w:rsid w:val="005F747D"/>
    <w:rsid w:val="006004DA"/>
    <w:rsid w:val="00601255"/>
    <w:rsid w:val="00601947"/>
    <w:rsid w:val="00602F7E"/>
    <w:rsid w:val="00604136"/>
    <w:rsid w:val="00604609"/>
    <w:rsid w:val="00604BFA"/>
    <w:rsid w:val="0060513D"/>
    <w:rsid w:val="00606145"/>
    <w:rsid w:val="0060618F"/>
    <w:rsid w:val="0060620C"/>
    <w:rsid w:val="006062A6"/>
    <w:rsid w:val="00606882"/>
    <w:rsid w:val="00607C4B"/>
    <w:rsid w:val="0061096F"/>
    <w:rsid w:val="0061192C"/>
    <w:rsid w:val="00611B64"/>
    <w:rsid w:val="00611DC7"/>
    <w:rsid w:val="00611F25"/>
    <w:rsid w:val="0061211B"/>
    <w:rsid w:val="00612B12"/>
    <w:rsid w:val="00612E76"/>
    <w:rsid w:val="00613188"/>
    <w:rsid w:val="006142A3"/>
    <w:rsid w:val="00614404"/>
    <w:rsid w:val="00614E6D"/>
    <w:rsid w:val="00615750"/>
    <w:rsid w:val="00615953"/>
    <w:rsid w:val="00615FEA"/>
    <w:rsid w:val="00616254"/>
    <w:rsid w:val="006167D9"/>
    <w:rsid w:val="00616BC2"/>
    <w:rsid w:val="006170D9"/>
    <w:rsid w:val="00617DF9"/>
    <w:rsid w:val="006203E1"/>
    <w:rsid w:val="00621ED3"/>
    <w:rsid w:val="00622F9D"/>
    <w:rsid w:val="006238AC"/>
    <w:rsid w:val="006246C3"/>
    <w:rsid w:val="006247C1"/>
    <w:rsid w:val="006254D6"/>
    <w:rsid w:val="00625A9B"/>
    <w:rsid w:val="00626227"/>
    <w:rsid w:val="00626571"/>
    <w:rsid w:val="0062780C"/>
    <w:rsid w:val="006327FF"/>
    <w:rsid w:val="00632863"/>
    <w:rsid w:val="00632CF5"/>
    <w:rsid w:val="00633594"/>
    <w:rsid w:val="00633A8E"/>
    <w:rsid w:val="00634A7B"/>
    <w:rsid w:val="00634B14"/>
    <w:rsid w:val="00634CD4"/>
    <w:rsid w:val="00635958"/>
    <w:rsid w:val="00636C8B"/>
    <w:rsid w:val="00636E5F"/>
    <w:rsid w:val="0064009F"/>
    <w:rsid w:val="00640133"/>
    <w:rsid w:val="00640544"/>
    <w:rsid w:val="006415A9"/>
    <w:rsid w:val="00641907"/>
    <w:rsid w:val="0064257C"/>
    <w:rsid w:val="0064295D"/>
    <w:rsid w:val="00643B37"/>
    <w:rsid w:val="006441CA"/>
    <w:rsid w:val="006452B5"/>
    <w:rsid w:val="00645B0A"/>
    <w:rsid w:val="00645C6C"/>
    <w:rsid w:val="0064648E"/>
    <w:rsid w:val="00647F1C"/>
    <w:rsid w:val="0065030C"/>
    <w:rsid w:val="00650DDC"/>
    <w:rsid w:val="00651B14"/>
    <w:rsid w:val="0065249C"/>
    <w:rsid w:val="0065350D"/>
    <w:rsid w:val="00653710"/>
    <w:rsid w:val="006537E1"/>
    <w:rsid w:val="0065656E"/>
    <w:rsid w:val="00656C45"/>
    <w:rsid w:val="00657590"/>
    <w:rsid w:val="006579B1"/>
    <w:rsid w:val="00657A32"/>
    <w:rsid w:val="006600FF"/>
    <w:rsid w:val="0066117A"/>
    <w:rsid w:val="00662752"/>
    <w:rsid w:val="0066290F"/>
    <w:rsid w:val="00663B8D"/>
    <w:rsid w:val="00663F4A"/>
    <w:rsid w:val="00664578"/>
    <w:rsid w:val="00665798"/>
    <w:rsid w:val="00666238"/>
    <w:rsid w:val="006678BE"/>
    <w:rsid w:val="00670111"/>
    <w:rsid w:val="00671E81"/>
    <w:rsid w:val="00672F62"/>
    <w:rsid w:val="0067312F"/>
    <w:rsid w:val="00673621"/>
    <w:rsid w:val="0067463F"/>
    <w:rsid w:val="00674EE4"/>
    <w:rsid w:val="006757C6"/>
    <w:rsid w:val="0067616E"/>
    <w:rsid w:val="00676409"/>
    <w:rsid w:val="0067766B"/>
    <w:rsid w:val="006776C5"/>
    <w:rsid w:val="006777DF"/>
    <w:rsid w:val="0067788C"/>
    <w:rsid w:val="006808D7"/>
    <w:rsid w:val="00682477"/>
    <w:rsid w:val="00682537"/>
    <w:rsid w:val="00682987"/>
    <w:rsid w:val="00682E71"/>
    <w:rsid w:val="00683066"/>
    <w:rsid w:val="00683389"/>
    <w:rsid w:val="0068415A"/>
    <w:rsid w:val="00684720"/>
    <w:rsid w:val="00685412"/>
    <w:rsid w:val="00686D8B"/>
    <w:rsid w:val="0068731D"/>
    <w:rsid w:val="00687A35"/>
    <w:rsid w:val="00687A9D"/>
    <w:rsid w:val="006919BA"/>
    <w:rsid w:val="00691C8C"/>
    <w:rsid w:val="0069228D"/>
    <w:rsid w:val="00692334"/>
    <w:rsid w:val="0069301F"/>
    <w:rsid w:val="006934DA"/>
    <w:rsid w:val="00693A81"/>
    <w:rsid w:val="00695BF8"/>
    <w:rsid w:val="00695D35"/>
    <w:rsid w:val="00696D9A"/>
    <w:rsid w:val="006970EC"/>
    <w:rsid w:val="006970F3"/>
    <w:rsid w:val="0069777C"/>
    <w:rsid w:val="00697BCA"/>
    <w:rsid w:val="00697E75"/>
    <w:rsid w:val="006A0FED"/>
    <w:rsid w:val="006A1009"/>
    <w:rsid w:val="006A1568"/>
    <w:rsid w:val="006A1D67"/>
    <w:rsid w:val="006A321B"/>
    <w:rsid w:val="006A54FC"/>
    <w:rsid w:val="006A7354"/>
    <w:rsid w:val="006A7638"/>
    <w:rsid w:val="006A7D58"/>
    <w:rsid w:val="006B23E9"/>
    <w:rsid w:val="006B2A87"/>
    <w:rsid w:val="006B2B86"/>
    <w:rsid w:val="006B2BF2"/>
    <w:rsid w:val="006B2C69"/>
    <w:rsid w:val="006B3C6D"/>
    <w:rsid w:val="006B3F82"/>
    <w:rsid w:val="006B4EAD"/>
    <w:rsid w:val="006B5136"/>
    <w:rsid w:val="006B53A4"/>
    <w:rsid w:val="006B6062"/>
    <w:rsid w:val="006B6ADE"/>
    <w:rsid w:val="006B6BC0"/>
    <w:rsid w:val="006B7656"/>
    <w:rsid w:val="006C05E4"/>
    <w:rsid w:val="006C16C9"/>
    <w:rsid w:val="006C28F9"/>
    <w:rsid w:val="006C31DD"/>
    <w:rsid w:val="006C36C7"/>
    <w:rsid w:val="006C3980"/>
    <w:rsid w:val="006C3AFB"/>
    <w:rsid w:val="006C3D18"/>
    <w:rsid w:val="006C522D"/>
    <w:rsid w:val="006C56F8"/>
    <w:rsid w:val="006C59F2"/>
    <w:rsid w:val="006C7067"/>
    <w:rsid w:val="006C78A2"/>
    <w:rsid w:val="006D0048"/>
    <w:rsid w:val="006D02F5"/>
    <w:rsid w:val="006D12A1"/>
    <w:rsid w:val="006D1E7A"/>
    <w:rsid w:val="006D2889"/>
    <w:rsid w:val="006D2E6C"/>
    <w:rsid w:val="006D305C"/>
    <w:rsid w:val="006D453B"/>
    <w:rsid w:val="006D48B5"/>
    <w:rsid w:val="006D49E2"/>
    <w:rsid w:val="006D4E23"/>
    <w:rsid w:val="006D555A"/>
    <w:rsid w:val="006D6F25"/>
    <w:rsid w:val="006D77CF"/>
    <w:rsid w:val="006E0FD5"/>
    <w:rsid w:val="006E1342"/>
    <w:rsid w:val="006E163B"/>
    <w:rsid w:val="006E27E9"/>
    <w:rsid w:val="006E34D2"/>
    <w:rsid w:val="006E48B1"/>
    <w:rsid w:val="006E4D55"/>
    <w:rsid w:val="006E69EC"/>
    <w:rsid w:val="006E7175"/>
    <w:rsid w:val="006E78A7"/>
    <w:rsid w:val="006F0090"/>
    <w:rsid w:val="006F0D95"/>
    <w:rsid w:val="006F25B4"/>
    <w:rsid w:val="006F3471"/>
    <w:rsid w:val="006F37C9"/>
    <w:rsid w:val="006F45B8"/>
    <w:rsid w:val="006F4D0B"/>
    <w:rsid w:val="006F4DFD"/>
    <w:rsid w:val="006F4FE0"/>
    <w:rsid w:val="006F591B"/>
    <w:rsid w:val="006F5D10"/>
    <w:rsid w:val="006F6565"/>
    <w:rsid w:val="006F74AD"/>
    <w:rsid w:val="00701E5B"/>
    <w:rsid w:val="00701E6B"/>
    <w:rsid w:val="00702632"/>
    <w:rsid w:val="007027C5"/>
    <w:rsid w:val="0070370A"/>
    <w:rsid w:val="0070391D"/>
    <w:rsid w:val="00703A54"/>
    <w:rsid w:val="00703E8F"/>
    <w:rsid w:val="00703EE4"/>
    <w:rsid w:val="00704208"/>
    <w:rsid w:val="007048FD"/>
    <w:rsid w:val="00704952"/>
    <w:rsid w:val="0070537E"/>
    <w:rsid w:val="00706F46"/>
    <w:rsid w:val="0071002D"/>
    <w:rsid w:val="0071153F"/>
    <w:rsid w:val="007116A8"/>
    <w:rsid w:val="00711AF5"/>
    <w:rsid w:val="00713D45"/>
    <w:rsid w:val="00713FB0"/>
    <w:rsid w:val="00714703"/>
    <w:rsid w:val="0071568A"/>
    <w:rsid w:val="0071652C"/>
    <w:rsid w:val="00717526"/>
    <w:rsid w:val="0071772F"/>
    <w:rsid w:val="0071790C"/>
    <w:rsid w:val="00717B26"/>
    <w:rsid w:val="00717EC2"/>
    <w:rsid w:val="00717FB3"/>
    <w:rsid w:val="00720CBC"/>
    <w:rsid w:val="007221CA"/>
    <w:rsid w:val="007224E6"/>
    <w:rsid w:val="00722DA9"/>
    <w:rsid w:val="007237BF"/>
    <w:rsid w:val="00723F9C"/>
    <w:rsid w:val="00724745"/>
    <w:rsid w:val="007253EE"/>
    <w:rsid w:val="00727D56"/>
    <w:rsid w:val="00730190"/>
    <w:rsid w:val="007301A3"/>
    <w:rsid w:val="00730206"/>
    <w:rsid w:val="00730654"/>
    <w:rsid w:val="00730E9E"/>
    <w:rsid w:val="00730F7B"/>
    <w:rsid w:val="00731A3C"/>
    <w:rsid w:val="007323E8"/>
    <w:rsid w:val="007330C7"/>
    <w:rsid w:val="0073364E"/>
    <w:rsid w:val="0073405B"/>
    <w:rsid w:val="0073405F"/>
    <w:rsid w:val="0073420F"/>
    <w:rsid w:val="00734786"/>
    <w:rsid w:val="00735A19"/>
    <w:rsid w:val="0073686C"/>
    <w:rsid w:val="00736D7E"/>
    <w:rsid w:val="00736E5F"/>
    <w:rsid w:val="007371BF"/>
    <w:rsid w:val="00737DE0"/>
    <w:rsid w:val="00741E84"/>
    <w:rsid w:val="0074201E"/>
    <w:rsid w:val="00742163"/>
    <w:rsid w:val="00742E5B"/>
    <w:rsid w:val="00742FBD"/>
    <w:rsid w:val="00743E28"/>
    <w:rsid w:val="00743F70"/>
    <w:rsid w:val="00744A81"/>
    <w:rsid w:val="007451A8"/>
    <w:rsid w:val="0074663D"/>
    <w:rsid w:val="00746FB4"/>
    <w:rsid w:val="00747C00"/>
    <w:rsid w:val="00747E6C"/>
    <w:rsid w:val="0075131D"/>
    <w:rsid w:val="00751935"/>
    <w:rsid w:val="00751DCB"/>
    <w:rsid w:val="007539F0"/>
    <w:rsid w:val="00754B54"/>
    <w:rsid w:val="00755985"/>
    <w:rsid w:val="00755DF8"/>
    <w:rsid w:val="00756952"/>
    <w:rsid w:val="0075706F"/>
    <w:rsid w:val="00757090"/>
    <w:rsid w:val="0075743A"/>
    <w:rsid w:val="0076070C"/>
    <w:rsid w:val="00760DDA"/>
    <w:rsid w:val="00760E22"/>
    <w:rsid w:val="00761595"/>
    <w:rsid w:val="007619A8"/>
    <w:rsid w:val="00762FED"/>
    <w:rsid w:val="0076310A"/>
    <w:rsid w:val="007640C1"/>
    <w:rsid w:val="00764488"/>
    <w:rsid w:val="0076511D"/>
    <w:rsid w:val="00766DDB"/>
    <w:rsid w:val="00767589"/>
    <w:rsid w:val="0077003D"/>
    <w:rsid w:val="00770758"/>
    <w:rsid w:val="00770D68"/>
    <w:rsid w:val="007713D6"/>
    <w:rsid w:val="0077313B"/>
    <w:rsid w:val="0077331E"/>
    <w:rsid w:val="00775A05"/>
    <w:rsid w:val="00775BBF"/>
    <w:rsid w:val="00775FA7"/>
    <w:rsid w:val="00776269"/>
    <w:rsid w:val="00776DAD"/>
    <w:rsid w:val="00776F67"/>
    <w:rsid w:val="007775C9"/>
    <w:rsid w:val="007776ED"/>
    <w:rsid w:val="00777991"/>
    <w:rsid w:val="007779D5"/>
    <w:rsid w:val="00777A0B"/>
    <w:rsid w:val="00780C5D"/>
    <w:rsid w:val="007836B2"/>
    <w:rsid w:val="00783F3F"/>
    <w:rsid w:val="0078541C"/>
    <w:rsid w:val="007867B1"/>
    <w:rsid w:val="007869D4"/>
    <w:rsid w:val="00787705"/>
    <w:rsid w:val="00787A8B"/>
    <w:rsid w:val="00790E56"/>
    <w:rsid w:val="00791C07"/>
    <w:rsid w:val="00792951"/>
    <w:rsid w:val="00792C25"/>
    <w:rsid w:val="00793400"/>
    <w:rsid w:val="007943D2"/>
    <w:rsid w:val="007948F0"/>
    <w:rsid w:val="00794D4E"/>
    <w:rsid w:val="00796564"/>
    <w:rsid w:val="007965A9"/>
    <w:rsid w:val="007976D1"/>
    <w:rsid w:val="007977A2"/>
    <w:rsid w:val="007A00D6"/>
    <w:rsid w:val="007A0726"/>
    <w:rsid w:val="007A1B3B"/>
    <w:rsid w:val="007A1CF1"/>
    <w:rsid w:val="007A2343"/>
    <w:rsid w:val="007A28C9"/>
    <w:rsid w:val="007A2B57"/>
    <w:rsid w:val="007A345C"/>
    <w:rsid w:val="007A374D"/>
    <w:rsid w:val="007A38B5"/>
    <w:rsid w:val="007A3C15"/>
    <w:rsid w:val="007A473A"/>
    <w:rsid w:val="007A4F8F"/>
    <w:rsid w:val="007A5270"/>
    <w:rsid w:val="007A57D8"/>
    <w:rsid w:val="007A6048"/>
    <w:rsid w:val="007A6BF0"/>
    <w:rsid w:val="007B079F"/>
    <w:rsid w:val="007B0F5E"/>
    <w:rsid w:val="007B129B"/>
    <w:rsid w:val="007B13C6"/>
    <w:rsid w:val="007B20F0"/>
    <w:rsid w:val="007B2111"/>
    <w:rsid w:val="007B2701"/>
    <w:rsid w:val="007B4409"/>
    <w:rsid w:val="007B44C4"/>
    <w:rsid w:val="007B4721"/>
    <w:rsid w:val="007B4CC7"/>
    <w:rsid w:val="007B537F"/>
    <w:rsid w:val="007B5FD2"/>
    <w:rsid w:val="007B7831"/>
    <w:rsid w:val="007B7D5A"/>
    <w:rsid w:val="007C17D8"/>
    <w:rsid w:val="007C20FC"/>
    <w:rsid w:val="007C29F5"/>
    <w:rsid w:val="007C3430"/>
    <w:rsid w:val="007C3A32"/>
    <w:rsid w:val="007C4DEF"/>
    <w:rsid w:val="007C5116"/>
    <w:rsid w:val="007C69DE"/>
    <w:rsid w:val="007C6D3E"/>
    <w:rsid w:val="007C7053"/>
    <w:rsid w:val="007C710C"/>
    <w:rsid w:val="007C791D"/>
    <w:rsid w:val="007C795D"/>
    <w:rsid w:val="007C7A88"/>
    <w:rsid w:val="007D0C7A"/>
    <w:rsid w:val="007D1B62"/>
    <w:rsid w:val="007D34D5"/>
    <w:rsid w:val="007D43A7"/>
    <w:rsid w:val="007D4552"/>
    <w:rsid w:val="007D475E"/>
    <w:rsid w:val="007D764C"/>
    <w:rsid w:val="007E1151"/>
    <w:rsid w:val="007E1894"/>
    <w:rsid w:val="007E2139"/>
    <w:rsid w:val="007E2BB2"/>
    <w:rsid w:val="007E3004"/>
    <w:rsid w:val="007E3291"/>
    <w:rsid w:val="007E33BF"/>
    <w:rsid w:val="007E357C"/>
    <w:rsid w:val="007E35CE"/>
    <w:rsid w:val="007E37BE"/>
    <w:rsid w:val="007E4B2C"/>
    <w:rsid w:val="007E4B78"/>
    <w:rsid w:val="007E4C61"/>
    <w:rsid w:val="007E52C4"/>
    <w:rsid w:val="007E545A"/>
    <w:rsid w:val="007E5AEE"/>
    <w:rsid w:val="007E60D4"/>
    <w:rsid w:val="007E71FC"/>
    <w:rsid w:val="007E78C6"/>
    <w:rsid w:val="007F0059"/>
    <w:rsid w:val="007F0E39"/>
    <w:rsid w:val="007F104E"/>
    <w:rsid w:val="007F225E"/>
    <w:rsid w:val="007F2763"/>
    <w:rsid w:val="007F29FC"/>
    <w:rsid w:val="007F30C1"/>
    <w:rsid w:val="007F3902"/>
    <w:rsid w:val="007F3BF2"/>
    <w:rsid w:val="007F41A9"/>
    <w:rsid w:val="007F466F"/>
    <w:rsid w:val="007F4B6A"/>
    <w:rsid w:val="007F5213"/>
    <w:rsid w:val="007F5FF8"/>
    <w:rsid w:val="007F68D1"/>
    <w:rsid w:val="007F68FF"/>
    <w:rsid w:val="007F7CC6"/>
    <w:rsid w:val="0080029F"/>
    <w:rsid w:val="00800411"/>
    <w:rsid w:val="008019F8"/>
    <w:rsid w:val="00802709"/>
    <w:rsid w:val="00803086"/>
    <w:rsid w:val="0080355F"/>
    <w:rsid w:val="00803D23"/>
    <w:rsid w:val="00804BA6"/>
    <w:rsid w:val="00804C05"/>
    <w:rsid w:val="00806B53"/>
    <w:rsid w:val="00807442"/>
    <w:rsid w:val="00807A6F"/>
    <w:rsid w:val="00807FC8"/>
    <w:rsid w:val="00810BC6"/>
    <w:rsid w:val="00810FD5"/>
    <w:rsid w:val="008110E9"/>
    <w:rsid w:val="008121D8"/>
    <w:rsid w:val="0081271E"/>
    <w:rsid w:val="00812768"/>
    <w:rsid w:val="00813506"/>
    <w:rsid w:val="008138C4"/>
    <w:rsid w:val="0081392A"/>
    <w:rsid w:val="00813C2A"/>
    <w:rsid w:val="00813CC8"/>
    <w:rsid w:val="00814006"/>
    <w:rsid w:val="00814AAC"/>
    <w:rsid w:val="00814C02"/>
    <w:rsid w:val="00816875"/>
    <w:rsid w:val="008169FD"/>
    <w:rsid w:val="0082041E"/>
    <w:rsid w:val="0082104A"/>
    <w:rsid w:val="00821746"/>
    <w:rsid w:val="008221E4"/>
    <w:rsid w:val="008224CF"/>
    <w:rsid w:val="00822D72"/>
    <w:rsid w:val="00824121"/>
    <w:rsid w:val="0082551A"/>
    <w:rsid w:val="00825A12"/>
    <w:rsid w:val="0082646D"/>
    <w:rsid w:val="00826E25"/>
    <w:rsid w:val="00830777"/>
    <w:rsid w:val="0083122D"/>
    <w:rsid w:val="00831AF4"/>
    <w:rsid w:val="00832104"/>
    <w:rsid w:val="008323B3"/>
    <w:rsid w:val="008327D9"/>
    <w:rsid w:val="00832A79"/>
    <w:rsid w:val="00832EAF"/>
    <w:rsid w:val="00833863"/>
    <w:rsid w:val="00833A48"/>
    <w:rsid w:val="00833D43"/>
    <w:rsid w:val="008346B8"/>
    <w:rsid w:val="00834B25"/>
    <w:rsid w:val="0083504E"/>
    <w:rsid w:val="008354DE"/>
    <w:rsid w:val="00835515"/>
    <w:rsid w:val="008365CE"/>
    <w:rsid w:val="008365E6"/>
    <w:rsid w:val="00836896"/>
    <w:rsid w:val="00836E45"/>
    <w:rsid w:val="00837A64"/>
    <w:rsid w:val="00837EF7"/>
    <w:rsid w:val="008408B6"/>
    <w:rsid w:val="00840FFB"/>
    <w:rsid w:val="00841123"/>
    <w:rsid w:val="008412F1"/>
    <w:rsid w:val="00842954"/>
    <w:rsid w:val="0084322B"/>
    <w:rsid w:val="00843BB5"/>
    <w:rsid w:val="00844024"/>
    <w:rsid w:val="008442E3"/>
    <w:rsid w:val="00844AC0"/>
    <w:rsid w:val="0084683C"/>
    <w:rsid w:val="00846AE9"/>
    <w:rsid w:val="00847AEC"/>
    <w:rsid w:val="0085055A"/>
    <w:rsid w:val="00850B57"/>
    <w:rsid w:val="00851006"/>
    <w:rsid w:val="0085157E"/>
    <w:rsid w:val="008518D7"/>
    <w:rsid w:val="00851927"/>
    <w:rsid w:val="008522F4"/>
    <w:rsid w:val="00852AC7"/>
    <w:rsid w:val="00852CAE"/>
    <w:rsid w:val="008532D9"/>
    <w:rsid w:val="00853401"/>
    <w:rsid w:val="008542BE"/>
    <w:rsid w:val="008542DC"/>
    <w:rsid w:val="0085444B"/>
    <w:rsid w:val="008544F6"/>
    <w:rsid w:val="00854555"/>
    <w:rsid w:val="00854DC5"/>
    <w:rsid w:val="0085603F"/>
    <w:rsid w:val="008579BF"/>
    <w:rsid w:val="00857BCD"/>
    <w:rsid w:val="00857E37"/>
    <w:rsid w:val="00860B12"/>
    <w:rsid w:val="00861B9E"/>
    <w:rsid w:val="00862595"/>
    <w:rsid w:val="00862E2B"/>
    <w:rsid w:val="0086353B"/>
    <w:rsid w:val="008639F7"/>
    <w:rsid w:val="00864987"/>
    <w:rsid w:val="00864BDF"/>
    <w:rsid w:val="00865431"/>
    <w:rsid w:val="008654CB"/>
    <w:rsid w:val="008656D3"/>
    <w:rsid w:val="0086630B"/>
    <w:rsid w:val="00866D85"/>
    <w:rsid w:val="008702F5"/>
    <w:rsid w:val="00870FF9"/>
    <w:rsid w:val="00871125"/>
    <w:rsid w:val="00871E2E"/>
    <w:rsid w:val="008723D9"/>
    <w:rsid w:val="00875196"/>
    <w:rsid w:val="0087577E"/>
    <w:rsid w:val="00876C74"/>
    <w:rsid w:val="00877517"/>
    <w:rsid w:val="00877DCF"/>
    <w:rsid w:val="00877E57"/>
    <w:rsid w:val="00880B4E"/>
    <w:rsid w:val="00880E83"/>
    <w:rsid w:val="00881573"/>
    <w:rsid w:val="008834D7"/>
    <w:rsid w:val="0088394C"/>
    <w:rsid w:val="00883E56"/>
    <w:rsid w:val="0088452B"/>
    <w:rsid w:val="0088581D"/>
    <w:rsid w:val="00886E47"/>
    <w:rsid w:val="00887136"/>
    <w:rsid w:val="0088765B"/>
    <w:rsid w:val="00890140"/>
    <w:rsid w:val="008902C5"/>
    <w:rsid w:val="00890D61"/>
    <w:rsid w:val="008914BC"/>
    <w:rsid w:val="00891C62"/>
    <w:rsid w:val="00891F75"/>
    <w:rsid w:val="00894071"/>
    <w:rsid w:val="00894186"/>
    <w:rsid w:val="00894F3E"/>
    <w:rsid w:val="00895150"/>
    <w:rsid w:val="008955BF"/>
    <w:rsid w:val="008957DA"/>
    <w:rsid w:val="008960AE"/>
    <w:rsid w:val="008961EA"/>
    <w:rsid w:val="00897A1A"/>
    <w:rsid w:val="00897E4E"/>
    <w:rsid w:val="008A0EE5"/>
    <w:rsid w:val="008A12E5"/>
    <w:rsid w:val="008A1860"/>
    <w:rsid w:val="008A31E9"/>
    <w:rsid w:val="008A3BB2"/>
    <w:rsid w:val="008A3C22"/>
    <w:rsid w:val="008A4DDC"/>
    <w:rsid w:val="008A56A7"/>
    <w:rsid w:val="008A5998"/>
    <w:rsid w:val="008A5C75"/>
    <w:rsid w:val="008A64E2"/>
    <w:rsid w:val="008A64F4"/>
    <w:rsid w:val="008A7645"/>
    <w:rsid w:val="008A7AA1"/>
    <w:rsid w:val="008B11CC"/>
    <w:rsid w:val="008B26FF"/>
    <w:rsid w:val="008B2924"/>
    <w:rsid w:val="008B33A6"/>
    <w:rsid w:val="008B397C"/>
    <w:rsid w:val="008B4783"/>
    <w:rsid w:val="008B535F"/>
    <w:rsid w:val="008B597F"/>
    <w:rsid w:val="008B6797"/>
    <w:rsid w:val="008B6CE6"/>
    <w:rsid w:val="008B721B"/>
    <w:rsid w:val="008B7364"/>
    <w:rsid w:val="008C0C94"/>
    <w:rsid w:val="008C2CEA"/>
    <w:rsid w:val="008C3103"/>
    <w:rsid w:val="008C59DA"/>
    <w:rsid w:val="008C59F1"/>
    <w:rsid w:val="008C6283"/>
    <w:rsid w:val="008C6D36"/>
    <w:rsid w:val="008C72B3"/>
    <w:rsid w:val="008C7DD2"/>
    <w:rsid w:val="008D1B08"/>
    <w:rsid w:val="008D1EFC"/>
    <w:rsid w:val="008D3065"/>
    <w:rsid w:val="008D3938"/>
    <w:rsid w:val="008D5695"/>
    <w:rsid w:val="008D5F48"/>
    <w:rsid w:val="008D618F"/>
    <w:rsid w:val="008D6765"/>
    <w:rsid w:val="008D6901"/>
    <w:rsid w:val="008D6AF1"/>
    <w:rsid w:val="008D6B2F"/>
    <w:rsid w:val="008D6C9A"/>
    <w:rsid w:val="008D77F0"/>
    <w:rsid w:val="008D7CDC"/>
    <w:rsid w:val="008E0EE8"/>
    <w:rsid w:val="008E1B7C"/>
    <w:rsid w:val="008E1EED"/>
    <w:rsid w:val="008E2A25"/>
    <w:rsid w:val="008E2AA0"/>
    <w:rsid w:val="008E429F"/>
    <w:rsid w:val="008E4C70"/>
    <w:rsid w:val="008E67D7"/>
    <w:rsid w:val="008E6D92"/>
    <w:rsid w:val="008E778F"/>
    <w:rsid w:val="008F00F8"/>
    <w:rsid w:val="008F0D2F"/>
    <w:rsid w:val="008F1386"/>
    <w:rsid w:val="008F14F5"/>
    <w:rsid w:val="008F2271"/>
    <w:rsid w:val="008F254A"/>
    <w:rsid w:val="008F2E0A"/>
    <w:rsid w:val="008F331F"/>
    <w:rsid w:val="008F35D4"/>
    <w:rsid w:val="008F3A5F"/>
    <w:rsid w:val="008F40AD"/>
    <w:rsid w:val="008F411C"/>
    <w:rsid w:val="008F422F"/>
    <w:rsid w:val="008F497F"/>
    <w:rsid w:val="008F5564"/>
    <w:rsid w:val="008F58C1"/>
    <w:rsid w:val="008F59C8"/>
    <w:rsid w:val="008F5FE1"/>
    <w:rsid w:val="008F60C4"/>
    <w:rsid w:val="008F6841"/>
    <w:rsid w:val="008F6C0A"/>
    <w:rsid w:val="008F6CA8"/>
    <w:rsid w:val="0090030A"/>
    <w:rsid w:val="00900457"/>
    <w:rsid w:val="0090051E"/>
    <w:rsid w:val="0090076F"/>
    <w:rsid w:val="00900EBA"/>
    <w:rsid w:val="009027EF"/>
    <w:rsid w:val="00902AD8"/>
    <w:rsid w:val="009039EC"/>
    <w:rsid w:val="00904628"/>
    <w:rsid w:val="00904F3F"/>
    <w:rsid w:val="00907B59"/>
    <w:rsid w:val="009102D0"/>
    <w:rsid w:val="009116BF"/>
    <w:rsid w:val="009118D2"/>
    <w:rsid w:val="00911B2A"/>
    <w:rsid w:val="00912173"/>
    <w:rsid w:val="0091237F"/>
    <w:rsid w:val="00914C35"/>
    <w:rsid w:val="00914F31"/>
    <w:rsid w:val="0091562C"/>
    <w:rsid w:val="00915ADD"/>
    <w:rsid w:val="00916387"/>
    <w:rsid w:val="00916B9A"/>
    <w:rsid w:val="009173C3"/>
    <w:rsid w:val="009211BC"/>
    <w:rsid w:val="0092177B"/>
    <w:rsid w:val="00921949"/>
    <w:rsid w:val="00921CC3"/>
    <w:rsid w:val="00922D22"/>
    <w:rsid w:val="00923495"/>
    <w:rsid w:val="0092365F"/>
    <w:rsid w:val="00923756"/>
    <w:rsid w:val="00924176"/>
    <w:rsid w:val="00924644"/>
    <w:rsid w:val="00924936"/>
    <w:rsid w:val="00924AEE"/>
    <w:rsid w:val="00925190"/>
    <w:rsid w:val="00925864"/>
    <w:rsid w:val="009261DF"/>
    <w:rsid w:val="00926693"/>
    <w:rsid w:val="0092673E"/>
    <w:rsid w:val="009270D2"/>
    <w:rsid w:val="00927473"/>
    <w:rsid w:val="00927950"/>
    <w:rsid w:val="00927AE2"/>
    <w:rsid w:val="00933CA1"/>
    <w:rsid w:val="00934890"/>
    <w:rsid w:val="00936674"/>
    <w:rsid w:val="0094032B"/>
    <w:rsid w:val="009405B9"/>
    <w:rsid w:val="00941704"/>
    <w:rsid w:val="009424CD"/>
    <w:rsid w:val="00942880"/>
    <w:rsid w:val="00943442"/>
    <w:rsid w:val="009436F9"/>
    <w:rsid w:val="00945B6C"/>
    <w:rsid w:val="0094679D"/>
    <w:rsid w:val="0094743F"/>
    <w:rsid w:val="0094772C"/>
    <w:rsid w:val="00947B6C"/>
    <w:rsid w:val="00950892"/>
    <w:rsid w:val="00951120"/>
    <w:rsid w:val="0095180C"/>
    <w:rsid w:val="00951BD9"/>
    <w:rsid w:val="0095274A"/>
    <w:rsid w:val="00952856"/>
    <w:rsid w:val="00952F22"/>
    <w:rsid w:val="00953315"/>
    <w:rsid w:val="00953D0A"/>
    <w:rsid w:val="00954547"/>
    <w:rsid w:val="00954A5E"/>
    <w:rsid w:val="009566CF"/>
    <w:rsid w:val="00957B9E"/>
    <w:rsid w:val="00957BA8"/>
    <w:rsid w:val="00960755"/>
    <w:rsid w:val="0096109A"/>
    <w:rsid w:val="00961249"/>
    <w:rsid w:val="009614E2"/>
    <w:rsid w:val="0096156B"/>
    <w:rsid w:val="00961BF7"/>
    <w:rsid w:val="00961D64"/>
    <w:rsid w:val="0096299F"/>
    <w:rsid w:val="00963212"/>
    <w:rsid w:val="00963E30"/>
    <w:rsid w:val="00964BBA"/>
    <w:rsid w:val="0096514F"/>
    <w:rsid w:val="00965195"/>
    <w:rsid w:val="00965947"/>
    <w:rsid w:val="00966FC9"/>
    <w:rsid w:val="0096746D"/>
    <w:rsid w:val="009675A2"/>
    <w:rsid w:val="00967A7F"/>
    <w:rsid w:val="0097096F"/>
    <w:rsid w:val="00971C81"/>
    <w:rsid w:val="00972039"/>
    <w:rsid w:val="009728E4"/>
    <w:rsid w:val="00973673"/>
    <w:rsid w:val="00973A02"/>
    <w:rsid w:val="00974DA6"/>
    <w:rsid w:val="00976352"/>
    <w:rsid w:val="00977B95"/>
    <w:rsid w:val="00980135"/>
    <w:rsid w:val="00982DB6"/>
    <w:rsid w:val="009832A4"/>
    <w:rsid w:val="009836E1"/>
    <w:rsid w:val="00983C2C"/>
    <w:rsid w:val="00984192"/>
    <w:rsid w:val="00985604"/>
    <w:rsid w:val="0098663A"/>
    <w:rsid w:val="00986B0F"/>
    <w:rsid w:val="00986B92"/>
    <w:rsid w:val="00986C76"/>
    <w:rsid w:val="00987E90"/>
    <w:rsid w:val="00991612"/>
    <w:rsid w:val="00991D08"/>
    <w:rsid w:val="009926E7"/>
    <w:rsid w:val="009941DF"/>
    <w:rsid w:val="00995C29"/>
    <w:rsid w:val="00996348"/>
    <w:rsid w:val="0099657C"/>
    <w:rsid w:val="009967CB"/>
    <w:rsid w:val="009969B0"/>
    <w:rsid w:val="009A0F33"/>
    <w:rsid w:val="009A330D"/>
    <w:rsid w:val="009A37FD"/>
    <w:rsid w:val="009A428E"/>
    <w:rsid w:val="009A473A"/>
    <w:rsid w:val="009A47CD"/>
    <w:rsid w:val="009A5205"/>
    <w:rsid w:val="009A5CA2"/>
    <w:rsid w:val="009A6AC0"/>
    <w:rsid w:val="009A785A"/>
    <w:rsid w:val="009B012D"/>
    <w:rsid w:val="009B0336"/>
    <w:rsid w:val="009B0878"/>
    <w:rsid w:val="009B0AAC"/>
    <w:rsid w:val="009B1241"/>
    <w:rsid w:val="009B1F7E"/>
    <w:rsid w:val="009B2739"/>
    <w:rsid w:val="009B2CB7"/>
    <w:rsid w:val="009B2CEC"/>
    <w:rsid w:val="009B3668"/>
    <w:rsid w:val="009B4EBF"/>
    <w:rsid w:val="009B60F9"/>
    <w:rsid w:val="009B61B1"/>
    <w:rsid w:val="009B7546"/>
    <w:rsid w:val="009C094D"/>
    <w:rsid w:val="009C107A"/>
    <w:rsid w:val="009C1470"/>
    <w:rsid w:val="009C1EAF"/>
    <w:rsid w:val="009C2A56"/>
    <w:rsid w:val="009C2CF7"/>
    <w:rsid w:val="009C4C7F"/>
    <w:rsid w:val="009C5798"/>
    <w:rsid w:val="009C5B38"/>
    <w:rsid w:val="009C6196"/>
    <w:rsid w:val="009C738D"/>
    <w:rsid w:val="009C796D"/>
    <w:rsid w:val="009C7A36"/>
    <w:rsid w:val="009C7FFB"/>
    <w:rsid w:val="009D0841"/>
    <w:rsid w:val="009D0E24"/>
    <w:rsid w:val="009D1020"/>
    <w:rsid w:val="009D1ABC"/>
    <w:rsid w:val="009D3444"/>
    <w:rsid w:val="009D53BF"/>
    <w:rsid w:val="009D56D8"/>
    <w:rsid w:val="009D5ED3"/>
    <w:rsid w:val="009D6017"/>
    <w:rsid w:val="009D71E8"/>
    <w:rsid w:val="009D7541"/>
    <w:rsid w:val="009D7E47"/>
    <w:rsid w:val="009D7F4B"/>
    <w:rsid w:val="009E03AB"/>
    <w:rsid w:val="009E0406"/>
    <w:rsid w:val="009E0DD0"/>
    <w:rsid w:val="009E16CF"/>
    <w:rsid w:val="009E1965"/>
    <w:rsid w:val="009E196F"/>
    <w:rsid w:val="009E1E7B"/>
    <w:rsid w:val="009E1F66"/>
    <w:rsid w:val="009E215C"/>
    <w:rsid w:val="009E226D"/>
    <w:rsid w:val="009E22D1"/>
    <w:rsid w:val="009E4A7B"/>
    <w:rsid w:val="009E6037"/>
    <w:rsid w:val="009E62CB"/>
    <w:rsid w:val="009E6383"/>
    <w:rsid w:val="009F0D32"/>
    <w:rsid w:val="009F143E"/>
    <w:rsid w:val="009F2AF0"/>
    <w:rsid w:val="009F2F31"/>
    <w:rsid w:val="009F505C"/>
    <w:rsid w:val="009F6152"/>
    <w:rsid w:val="009F6E69"/>
    <w:rsid w:val="009F711D"/>
    <w:rsid w:val="00A00520"/>
    <w:rsid w:val="00A00EFA"/>
    <w:rsid w:val="00A01259"/>
    <w:rsid w:val="00A01812"/>
    <w:rsid w:val="00A01CB7"/>
    <w:rsid w:val="00A01DA5"/>
    <w:rsid w:val="00A02F81"/>
    <w:rsid w:val="00A03507"/>
    <w:rsid w:val="00A03CA5"/>
    <w:rsid w:val="00A041C5"/>
    <w:rsid w:val="00A043DE"/>
    <w:rsid w:val="00A04992"/>
    <w:rsid w:val="00A04DC2"/>
    <w:rsid w:val="00A05052"/>
    <w:rsid w:val="00A054E4"/>
    <w:rsid w:val="00A05B32"/>
    <w:rsid w:val="00A06242"/>
    <w:rsid w:val="00A06257"/>
    <w:rsid w:val="00A062F5"/>
    <w:rsid w:val="00A10792"/>
    <w:rsid w:val="00A10840"/>
    <w:rsid w:val="00A11BBB"/>
    <w:rsid w:val="00A1368C"/>
    <w:rsid w:val="00A13698"/>
    <w:rsid w:val="00A148DB"/>
    <w:rsid w:val="00A15611"/>
    <w:rsid w:val="00A1704D"/>
    <w:rsid w:val="00A17154"/>
    <w:rsid w:val="00A20385"/>
    <w:rsid w:val="00A20AB6"/>
    <w:rsid w:val="00A21745"/>
    <w:rsid w:val="00A217D8"/>
    <w:rsid w:val="00A2195C"/>
    <w:rsid w:val="00A21FFB"/>
    <w:rsid w:val="00A22200"/>
    <w:rsid w:val="00A2265F"/>
    <w:rsid w:val="00A23822"/>
    <w:rsid w:val="00A239B4"/>
    <w:rsid w:val="00A23B93"/>
    <w:rsid w:val="00A23D28"/>
    <w:rsid w:val="00A25EAC"/>
    <w:rsid w:val="00A26815"/>
    <w:rsid w:val="00A273C7"/>
    <w:rsid w:val="00A27F81"/>
    <w:rsid w:val="00A30D09"/>
    <w:rsid w:val="00A31435"/>
    <w:rsid w:val="00A33BC6"/>
    <w:rsid w:val="00A34297"/>
    <w:rsid w:val="00A3451C"/>
    <w:rsid w:val="00A3628E"/>
    <w:rsid w:val="00A36604"/>
    <w:rsid w:val="00A378BE"/>
    <w:rsid w:val="00A40320"/>
    <w:rsid w:val="00A40CD7"/>
    <w:rsid w:val="00A41247"/>
    <w:rsid w:val="00A41723"/>
    <w:rsid w:val="00A4180F"/>
    <w:rsid w:val="00A42897"/>
    <w:rsid w:val="00A4330C"/>
    <w:rsid w:val="00A436AE"/>
    <w:rsid w:val="00A43A1E"/>
    <w:rsid w:val="00A453A8"/>
    <w:rsid w:val="00A453E8"/>
    <w:rsid w:val="00A45A26"/>
    <w:rsid w:val="00A45BF3"/>
    <w:rsid w:val="00A45DC7"/>
    <w:rsid w:val="00A45FC2"/>
    <w:rsid w:val="00A470AC"/>
    <w:rsid w:val="00A5047E"/>
    <w:rsid w:val="00A50F94"/>
    <w:rsid w:val="00A5105E"/>
    <w:rsid w:val="00A51679"/>
    <w:rsid w:val="00A51860"/>
    <w:rsid w:val="00A518C6"/>
    <w:rsid w:val="00A5294A"/>
    <w:rsid w:val="00A52F96"/>
    <w:rsid w:val="00A531C3"/>
    <w:rsid w:val="00A5345A"/>
    <w:rsid w:val="00A53696"/>
    <w:rsid w:val="00A536E9"/>
    <w:rsid w:val="00A54963"/>
    <w:rsid w:val="00A54DD3"/>
    <w:rsid w:val="00A5695E"/>
    <w:rsid w:val="00A56966"/>
    <w:rsid w:val="00A56AD8"/>
    <w:rsid w:val="00A604D6"/>
    <w:rsid w:val="00A6118D"/>
    <w:rsid w:val="00A61770"/>
    <w:rsid w:val="00A62625"/>
    <w:rsid w:val="00A62DEE"/>
    <w:rsid w:val="00A636B7"/>
    <w:rsid w:val="00A63DED"/>
    <w:rsid w:val="00A64651"/>
    <w:rsid w:val="00A64CE8"/>
    <w:rsid w:val="00A651E9"/>
    <w:rsid w:val="00A656E7"/>
    <w:rsid w:val="00A65E20"/>
    <w:rsid w:val="00A66676"/>
    <w:rsid w:val="00A66AC7"/>
    <w:rsid w:val="00A67034"/>
    <w:rsid w:val="00A67839"/>
    <w:rsid w:val="00A67C26"/>
    <w:rsid w:val="00A712B4"/>
    <w:rsid w:val="00A71C7E"/>
    <w:rsid w:val="00A71CA4"/>
    <w:rsid w:val="00A72DC8"/>
    <w:rsid w:val="00A72E56"/>
    <w:rsid w:val="00A73B07"/>
    <w:rsid w:val="00A73C65"/>
    <w:rsid w:val="00A73FBE"/>
    <w:rsid w:val="00A7498E"/>
    <w:rsid w:val="00A74F7F"/>
    <w:rsid w:val="00A75089"/>
    <w:rsid w:val="00A7540A"/>
    <w:rsid w:val="00A756AB"/>
    <w:rsid w:val="00A75D45"/>
    <w:rsid w:val="00A7670B"/>
    <w:rsid w:val="00A80ACD"/>
    <w:rsid w:val="00A80EBB"/>
    <w:rsid w:val="00A811CA"/>
    <w:rsid w:val="00A8196A"/>
    <w:rsid w:val="00A81E55"/>
    <w:rsid w:val="00A822EF"/>
    <w:rsid w:val="00A833C0"/>
    <w:rsid w:val="00A8354C"/>
    <w:rsid w:val="00A847E6"/>
    <w:rsid w:val="00A84B2A"/>
    <w:rsid w:val="00A8507A"/>
    <w:rsid w:val="00A862D6"/>
    <w:rsid w:val="00A86BDD"/>
    <w:rsid w:val="00A86CDB"/>
    <w:rsid w:val="00A86D64"/>
    <w:rsid w:val="00A90171"/>
    <w:rsid w:val="00A9239A"/>
    <w:rsid w:val="00A931AD"/>
    <w:rsid w:val="00A93BDB"/>
    <w:rsid w:val="00A93D9D"/>
    <w:rsid w:val="00A94454"/>
    <w:rsid w:val="00A9461E"/>
    <w:rsid w:val="00A94C00"/>
    <w:rsid w:val="00A94C28"/>
    <w:rsid w:val="00A95F94"/>
    <w:rsid w:val="00A96408"/>
    <w:rsid w:val="00A96EF6"/>
    <w:rsid w:val="00AA1154"/>
    <w:rsid w:val="00AA1642"/>
    <w:rsid w:val="00AA4C3C"/>
    <w:rsid w:val="00AA5566"/>
    <w:rsid w:val="00AA55CD"/>
    <w:rsid w:val="00AA68BB"/>
    <w:rsid w:val="00AA6A04"/>
    <w:rsid w:val="00AA6E25"/>
    <w:rsid w:val="00AA70A0"/>
    <w:rsid w:val="00AA74CF"/>
    <w:rsid w:val="00AA7DF5"/>
    <w:rsid w:val="00AB0272"/>
    <w:rsid w:val="00AB04AD"/>
    <w:rsid w:val="00AB0514"/>
    <w:rsid w:val="00AB0594"/>
    <w:rsid w:val="00AB0627"/>
    <w:rsid w:val="00AB0658"/>
    <w:rsid w:val="00AB162C"/>
    <w:rsid w:val="00AB250E"/>
    <w:rsid w:val="00AB348F"/>
    <w:rsid w:val="00AB3E27"/>
    <w:rsid w:val="00AB4848"/>
    <w:rsid w:val="00AB4DF1"/>
    <w:rsid w:val="00AB4F5A"/>
    <w:rsid w:val="00AB4F8E"/>
    <w:rsid w:val="00AB6B4E"/>
    <w:rsid w:val="00AB6CD3"/>
    <w:rsid w:val="00AB77D3"/>
    <w:rsid w:val="00AB7AAA"/>
    <w:rsid w:val="00AB7F9B"/>
    <w:rsid w:val="00AC082B"/>
    <w:rsid w:val="00AC08C4"/>
    <w:rsid w:val="00AC0DC2"/>
    <w:rsid w:val="00AC185C"/>
    <w:rsid w:val="00AC1E01"/>
    <w:rsid w:val="00AC27B6"/>
    <w:rsid w:val="00AC2DF1"/>
    <w:rsid w:val="00AC2EA2"/>
    <w:rsid w:val="00AC32B0"/>
    <w:rsid w:val="00AC3CF9"/>
    <w:rsid w:val="00AC3D72"/>
    <w:rsid w:val="00AC3ECF"/>
    <w:rsid w:val="00AC4107"/>
    <w:rsid w:val="00AC494C"/>
    <w:rsid w:val="00AC4C53"/>
    <w:rsid w:val="00AC5386"/>
    <w:rsid w:val="00AC5A65"/>
    <w:rsid w:val="00AC64FC"/>
    <w:rsid w:val="00AC663D"/>
    <w:rsid w:val="00AC7677"/>
    <w:rsid w:val="00AD05F9"/>
    <w:rsid w:val="00AD12CF"/>
    <w:rsid w:val="00AD225C"/>
    <w:rsid w:val="00AD24D9"/>
    <w:rsid w:val="00AD26E3"/>
    <w:rsid w:val="00AD2ABF"/>
    <w:rsid w:val="00AD2E4B"/>
    <w:rsid w:val="00AD3177"/>
    <w:rsid w:val="00AD3910"/>
    <w:rsid w:val="00AD4FE7"/>
    <w:rsid w:val="00AD581E"/>
    <w:rsid w:val="00AD5C49"/>
    <w:rsid w:val="00AD64A2"/>
    <w:rsid w:val="00AD6A2A"/>
    <w:rsid w:val="00AD7C0C"/>
    <w:rsid w:val="00AD7D5D"/>
    <w:rsid w:val="00AE0917"/>
    <w:rsid w:val="00AE0D6A"/>
    <w:rsid w:val="00AE0F45"/>
    <w:rsid w:val="00AE12D4"/>
    <w:rsid w:val="00AE14CF"/>
    <w:rsid w:val="00AE1695"/>
    <w:rsid w:val="00AE19A1"/>
    <w:rsid w:val="00AE1D04"/>
    <w:rsid w:val="00AE29C4"/>
    <w:rsid w:val="00AE2BD0"/>
    <w:rsid w:val="00AE2F7A"/>
    <w:rsid w:val="00AE408D"/>
    <w:rsid w:val="00AE424A"/>
    <w:rsid w:val="00AE448B"/>
    <w:rsid w:val="00AE46F7"/>
    <w:rsid w:val="00AE4DC5"/>
    <w:rsid w:val="00AE5281"/>
    <w:rsid w:val="00AE5708"/>
    <w:rsid w:val="00AE5A3F"/>
    <w:rsid w:val="00AE6A16"/>
    <w:rsid w:val="00AE6C0D"/>
    <w:rsid w:val="00AE7CCA"/>
    <w:rsid w:val="00AF0B06"/>
    <w:rsid w:val="00AF160D"/>
    <w:rsid w:val="00AF1CE7"/>
    <w:rsid w:val="00AF29BF"/>
    <w:rsid w:val="00AF2B6A"/>
    <w:rsid w:val="00AF4871"/>
    <w:rsid w:val="00AF4B8E"/>
    <w:rsid w:val="00AF4D3D"/>
    <w:rsid w:val="00AF6AE3"/>
    <w:rsid w:val="00AF71DB"/>
    <w:rsid w:val="00AF7C93"/>
    <w:rsid w:val="00AF7DE7"/>
    <w:rsid w:val="00B00164"/>
    <w:rsid w:val="00B026FA"/>
    <w:rsid w:val="00B0297F"/>
    <w:rsid w:val="00B02EF7"/>
    <w:rsid w:val="00B03126"/>
    <w:rsid w:val="00B03244"/>
    <w:rsid w:val="00B03B77"/>
    <w:rsid w:val="00B040EC"/>
    <w:rsid w:val="00B044B8"/>
    <w:rsid w:val="00B056F9"/>
    <w:rsid w:val="00B068D6"/>
    <w:rsid w:val="00B06E1B"/>
    <w:rsid w:val="00B07361"/>
    <w:rsid w:val="00B07ED2"/>
    <w:rsid w:val="00B10D37"/>
    <w:rsid w:val="00B10D51"/>
    <w:rsid w:val="00B1122C"/>
    <w:rsid w:val="00B12319"/>
    <w:rsid w:val="00B12969"/>
    <w:rsid w:val="00B12E0E"/>
    <w:rsid w:val="00B1342C"/>
    <w:rsid w:val="00B1384E"/>
    <w:rsid w:val="00B144E6"/>
    <w:rsid w:val="00B15AED"/>
    <w:rsid w:val="00B15D2C"/>
    <w:rsid w:val="00B16E63"/>
    <w:rsid w:val="00B20621"/>
    <w:rsid w:val="00B210C5"/>
    <w:rsid w:val="00B218F5"/>
    <w:rsid w:val="00B21ECA"/>
    <w:rsid w:val="00B226DD"/>
    <w:rsid w:val="00B22DEC"/>
    <w:rsid w:val="00B2351C"/>
    <w:rsid w:val="00B239E4"/>
    <w:rsid w:val="00B23F66"/>
    <w:rsid w:val="00B25FC2"/>
    <w:rsid w:val="00B2697E"/>
    <w:rsid w:val="00B26B34"/>
    <w:rsid w:val="00B26D30"/>
    <w:rsid w:val="00B26E9C"/>
    <w:rsid w:val="00B27038"/>
    <w:rsid w:val="00B2771C"/>
    <w:rsid w:val="00B30CF1"/>
    <w:rsid w:val="00B31E0D"/>
    <w:rsid w:val="00B32199"/>
    <w:rsid w:val="00B328F0"/>
    <w:rsid w:val="00B32AE4"/>
    <w:rsid w:val="00B32D00"/>
    <w:rsid w:val="00B335E1"/>
    <w:rsid w:val="00B339A8"/>
    <w:rsid w:val="00B34882"/>
    <w:rsid w:val="00B34FD8"/>
    <w:rsid w:val="00B358E6"/>
    <w:rsid w:val="00B35B98"/>
    <w:rsid w:val="00B36CDA"/>
    <w:rsid w:val="00B37141"/>
    <w:rsid w:val="00B3761C"/>
    <w:rsid w:val="00B379C8"/>
    <w:rsid w:val="00B37AEE"/>
    <w:rsid w:val="00B403FD"/>
    <w:rsid w:val="00B40402"/>
    <w:rsid w:val="00B412FC"/>
    <w:rsid w:val="00B41B74"/>
    <w:rsid w:val="00B42A9D"/>
    <w:rsid w:val="00B42DE1"/>
    <w:rsid w:val="00B44119"/>
    <w:rsid w:val="00B4555E"/>
    <w:rsid w:val="00B47239"/>
    <w:rsid w:val="00B47294"/>
    <w:rsid w:val="00B47310"/>
    <w:rsid w:val="00B47F9A"/>
    <w:rsid w:val="00B50463"/>
    <w:rsid w:val="00B507E9"/>
    <w:rsid w:val="00B512A2"/>
    <w:rsid w:val="00B523E3"/>
    <w:rsid w:val="00B53155"/>
    <w:rsid w:val="00B537C1"/>
    <w:rsid w:val="00B54955"/>
    <w:rsid w:val="00B55A97"/>
    <w:rsid w:val="00B57DA3"/>
    <w:rsid w:val="00B6025D"/>
    <w:rsid w:val="00B6043C"/>
    <w:rsid w:val="00B606D1"/>
    <w:rsid w:val="00B61074"/>
    <w:rsid w:val="00B617A1"/>
    <w:rsid w:val="00B617CE"/>
    <w:rsid w:val="00B61B72"/>
    <w:rsid w:val="00B621CF"/>
    <w:rsid w:val="00B6221A"/>
    <w:rsid w:val="00B63306"/>
    <w:rsid w:val="00B63BD5"/>
    <w:rsid w:val="00B652CE"/>
    <w:rsid w:val="00B65774"/>
    <w:rsid w:val="00B65823"/>
    <w:rsid w:val="00B66036"/>
    <w:rsid w:val="00B66261"/>
    <w:rsid w:val="00B6688C"/>
    <w:rsid w:val="00B67149"/>
    <w:rsid w:val="00B67974"/>
    <w:rsid w:val="00B67E21"/>
    <w:rsid w:val="00B7163B"/>
    <w:rsid w:val="00B7200F"/>
    <w:rsid w:val="00B73188"/>
    <w:rsid w:val="00B738FE"/>
    <w:rsid w:val="00B73D8B"/>
    <w:rsid w:val="00B74EED"/>
    <w:rsid w:val="00B7548F"/>
    <w:rsid w:val="00B76CE3"/>
    <w:rsid w:val="00B76D0D"/>
    <w:rsid w:val="00B76DD5"/>
    <w:rsid w:val="00B778D2"/>
    <w:rsid w:val="00B800D6"/>
    <w:rsid w:val="00B80AA3"/>
    <w:rsid w:val="00B80E68"/>
    <w:rsid w:val="00B81363"/>
    <w:rsid w:val="00B81530"/>
    <w:rsid w:val="00B82A0E"/>
    <w:rsid w:val="00B82DEF"/>
    <w:rsid w:val="00B82FB6"/>
    <w:rsid w:val="00B84075"/>
    <w:rsid w:val="00B84398"/>
    <w:rsid w:val="00B84415"/>
    <w:rsid w:val="00B84734"/>
    <w:rsid w:val="00B8501B"/>
    <w:rsid w:val="00B85537"/>
    <w:rsid w:val="00B85F79"/>
    <w:rsid w:val="00B85FEB"/>
    <w:rsid w:val="00B86D02"/>
    <w:rsid w:val="00B87E84"/>
    <w:rsid w:val="00B91A9C"/>
    <w:rsid w:val="00B925AA"/>
    <w:rsid w:val="00B92CB2"/>
    <w:rsid w:val="00B93A1E"/>
    <w:rsid w:val="00B9412D"/>
    <w:rsid w:val="00B948FE"/>
    <w:rsid w:val="00B94D31"/>
    <w:rsid w:val="00B94E6D"/>
    <w:rsid w:val="00B959AC"/>
    <w:rsid w:val="00B95AA6"/>
    <w:rsid w:val="00B96523"/>
    <w:rsid w:val="00B9662F"/>
    <w:rsid w:val="00B970BF"/>
    <w:rsid w:val="00B9736E"/>
    <w:rsid w:val="00B97375"/>
    <w:rsid w:val="00B97DAC"/>
    <w:rsid w:val="00B97F64"/>
    <w:rsid w:val="00BA0510"/>
    <w:rsid w:val="00BA296F"/>
    <w:rsid w:val="00BA3A7D"/>
    <w:rsid w:val="00BA3D0B"/>
    <w:rsid w:val="00BA3F57"/>
    <w:rsid w:val="00BA4B9C"/>
    <w:rsid w:val="00BA6A08"/>
    <w:rsid w:val="00BA6CB0"/>
    <w:rsid w:val="00BA6D04"/>
    <w:rsid w:val="00BA6E48"/>
    <w:rsid w:val="00BA7373"/>
    <w:rsid w:val="00BA73AA"/>
    <w:rsid w:val="00BB00BF"/>
    <w:rsid w:val="00BB0995"/>
    <w:rsid w:val="00BB0D1E"/>
    <w:rsid w:val="00BB1CC8"/>
    <w:rsid w:val="00BB240E"/>
    <w:rsid w:val="00BB2901"/>
    <w:rsid w:val="00BB2970"/>
    <w:rsid w:val="00BB2D54"/>
    <w:rsid w:val="00BB38BF"/>
    <w:rsid w:val="00BB462A"/>
    <w:rsid w:val="00BB5686"/>
    <w:rsid w:val="00BB58E4"/>
    <w:rsid w:val="00BB5E84"/>
    <w:rsid w:val="00BB689C"/>
    <w:rsid w:val="00BB7686"/>
    <w:rsid w:val="00BB79C4"/>
    <w:rsid w:val="00BC0950"/>
    <w:rsid w:val="00BC1733"/>
    <w:rsid w:val="00BC1EA5"/>
    <w:rsid w:val="00BC203D"/>
    <w:rsid w:val="00BC22D1"/>
    <w:rsid w:val="00BC2CD1"/>
    <w:rsid w:val="00BC4CD2"/>
    <w:rsid w:val="00BC5171"/>
    <w:rsid w:val="00BC52E3"/>
    <w:rsid w:val="00BC61AA"/>
    <w:rsid w:val="00BC7512"/>
    <w:rsid w:val="00BD27B9"/>
    <w:rsid w:val="00BD311F"/>
    <w:rsid w:val="00BD3B93"/>
    <w:rsid w:val="00BD4B60"/>
    <w:rsid w:val="00BD4DCC"/>
    <w:rsid w:val="00BD5C72"/>
    <w:rsid w:val="00BD5D6C"/>
    <w:rsid w:val="00BD5FFA"/>
    <w:rsid w:val="00BD62F4"/>
    <w:rsid w:val="00BD677A"/>
    <w:rsid w:val="00BD6C55"/>
    <w:rsid w:val="00BD6D38"/>
    <w:rsid w:val="00BD6D49"/>
    <w:rsid w:val="00BE0718"/>
    <w:rsid w:val="00BE0A64"/>
    <w:rsid w:val="00BE1008"/>
    <w:rsid w:val="00BE1340"/>
    <w:rsid w:val="00BE1523"/>
    <w:rsid w:val="00BE1BF2"/>
    <w:rsid w:val="00BE213E"/>
    <w:rsid w:val="00BE220F"/>
    <w:rsid w:val="00BE2953"/>
    <w:rsid w:val="00BE2CC0"/>
    <w:rsid w:val="00BE3063"/>
    <w:rsid w:val="00BE352C"/>
    <w:rsid w:val="00BE3F5C"/>
    <w:rsid w:val="00BE58A3"/>
    <w:rsid w:val="00BE5979"/>
    <w:rsid w:val="00BE5E4F"/>
    <w:rsid w:val="00BE67EF"/>
    <w:rsid w:val="00BE7126"/>
    <w:rsid w:val="00BE7E59"/>
    <w:rsid w:val="00BF0555"/>
    <w:rsid w:val="00BF105D"/>
    <w:rsid w:val="00BF1722"/>
    <w:rsid w:val="00BF2B82"/>
    <w:rsid w:val="00BF371B"/>
    <w:rsid w:val="00BF3BF8"/>
    <w:rsid w:val="00BF4BA7"/>
    <w:rsid w:val="00BF50CD"/>
    <w:rsid w:val="00BF5974"/>
    <w:rsid w:val="00BF6223"/>
    <w:rsid w:val="00BF6D43"/>
    <w:rsid w:val="00BF704D"/>
    <w:rsid w:val="00BF7982"/>
    <w:rsid w:val="00C010F7"/>
    <w:rsid w:val="00C01D1B"/>
    <w:rsid w:val="00C0263C"/>
    <w:rsid w:val="00C0410C"/>
    <w:rsid w:val="00C04130"/>
    <w:rsid w:val="00C04D83"/>
    <w:rsid w:val="00C05670"/>
    <w:rsid w:val="00C057F6"/>
    <w:rsid w:val="00C059F1"/>
    <w:rsid w:val="00C05BCE"/>
    <w:rsid w:val="00C063F5"/>
    <w:rsid w:val="00C06E45"/>
    <w:rsid w:val="00C07CA0"/>
    <w:rsid w:val="00C07CF2"/>
    <w:rsid w:val="00C10270"/>
    <w:rsid w:val="00C1070A"/>
    <w:rsid w:val="00C10EDD"/>
    <w:rsid w:val="00C14746"/>
    <w:rsid w:val="00C14920"/>
    <w:rsid w:val="00C14BD9"/>
    <w:rsid w:val="00C1625B"/>
    <w:rsid w:val="00C1659B"/>
    <w:rsid w:val="00C16B7D"/>
    <w:rsid w:val="00C16D05"/>
    <w:rsid w:val="00C16D39"/>
    <w:rsid w:val="00C1727E"/>
    <w:rsid w:val="00C172B1"/>
    <w:rsid w:val="00C17853"/>
    <w:rsid w:val="00C17A0B"/>
    <w:rsid w:val="00C20121"/>
    <w:rsid w:val="00C20C40"/>
    <w:rsid w:val="00C20EE4"/>
    <w:rsid w:val="00C20FFB"/>
    <w:rsid w:val="00C22A04"/>
    <w:rsid w:val="00C22A45"/>
    <w:rsid w:val="00C23BC9"/>
    <w:rsid w:val="00C24194"/>
    <w:rsid w:val="00C25A87"/>
    <w:rsid w:val="00C26994"/>
    <w:rsid w:val="00C26BE9"/>
    <w:rsid w:val="00C306CC"/>
    <w:rsid w:val="00C30ADA"/>
    <w:rsid w:val="00C30EA3"/>
    <w:rsid w:val="00C31553"/>
    <w:rsid w:val="00C316F9"/>
    <w:rsid w:val="00C31900"/>
    <w:rsid w:val="00C319E6"/>
    <w:rsid w:val="00C31DED"/>
    <w:rsid w:val="00C3328C"/>
    <w:rsid w:val="00C33A06"/>
    <w:rsid w:val="00C33D8F"/>
    <w:rsid w:val="00C34122"/>
    <w:rsid w:val="00C341A7"/>
    <w:rsid w:val="00C348B0"/>
    <w:rsid w:val="00C34950"/>
    <w:rsid w:val="00C3530B"/>
    <w:rsid w:val="00C35479"/>
    <w:rsid w:val="00C3568D"/>
    <w:rsid w:val="00C35E2A"/>
    <w:rsid w:val="00C36453"/>
    <w:rsid w:val="00C36F40"/>
    <w:rsid w:val="00C37CCE"/>
    <w:rsid w:val="00C37E0A"/>
    <w:rsid w:val="00C4014E"/>
    <w:rsid w:val="00C411A3"/>
    <w:rsid w:val="00C4138E"/>
    <w:rsid w:val="00C41B73"/>
    <w:rsid w:val="00C4244E"/>
    <w:rsid w:val="00C427CB"/>
    <w:rsid w:val="00C433A8"/>
    <w:rsid w:val="00C442F8"/>
    <w:rsid w:val="00C45560"/>
    <w:rsid w:val="00C45975"/>
    <w:rsid w:val="00C45DE9"/>
    <w:rsid w:val="00C45DF1"/>
    <w:rsid w:val="00C460F8"/>
    <w:rsid w:val="00C46AF0"/>
    <w:rsid w:val="00C47584"/>
    <w:rsid w:val="00C475E6"/>
    <w:rsid w:val="00C47CC6"/>
    <w:rsid w:val="00C509A8"/>
    <w:rsid w:val="00C50ACC"/>
    <w:rsid w:val="00C50B6C"/>
    <w:rsid w:val="00C50F3D"/>
    <w:rsid w:val="00C51917"/>
    <w:rsid w:val="00C520F9"/>
    <w:rsid w:val="00C522E0"/>
    <w:rsid w:val="00C52F14"/>
    <w:rsid w:val="00C5393E"/>
    <w:rsid w:val="00C542D8"/>
    <w:rsid w:val="00C55806"/>
    <w:rsid w:val="00C56A4A"/>
    <w:rsid w:val="00C56FFC"/>
    <w:rsid w:val="00C57379"/>
    <w:rsid w:val="00C5768E"/>
    <w:rsid w:val="00C603BB"/>
    <w:rsid w:val="00C6086B"/>
    <w:rsid w:val="00C61264"/>
    <w:rsid w:val="00C619C1"/>
    <w:rsid w:val="00C61CB0"/>
    <w:rsid w:val="00C62ABF"/>
    <w:rsid w:val="00C6304C"/>
    <w:rsid w:val="00C63738"/>
    <w:rsid w:val="00C64AFD"/>
    <w:rsid w:val="00C652DC"/>
    <w:rsid w:val="00C656FB"/>
    <w:rsid w:val="00C65B42"/>
    <w:rsid w:val="00C66734"/>
    <w:rsid w:val="00C668DB"/>
    <w:rsid w:val="00C668DC"/>
    <w:rsid w:val="00C66BA7"/>
    <w:rsid w:val="00C67F53"/>
    <w:rsid w:val="00C711D5"/>
    <w:rsid w:val="00C72E8B"/>
    <w:rsid w:val="00C73CE0"/>
    <w:rsid w:val="00C7542C"/>
    <w:rsid w:val="00C75A4E"/>
    <w:rsid w:val="00C75D59"/>
    <w:rsid w:val="00C764F2"/>
    <w:rsid w:val="00C764FE"/>
    <w:rsid w:val="00C77463"/>
    <w:rsid w:val="00C7784A"/>
    <w:rsid w:val="00C80DE6"/>
    <w:rsid w:val="00C810CE"/>
    <w:rsid w:val="00C81959"/>
    <w:rsid w:val="00C81B93"/>
    <w:rsid w:val="00C832D8"/>
    <w:rsid w:val="00C8357A"/>
    <w:rsid w:val="00C8422E"/>
    <w:rsid w:val="00C84CDA"/>
    <w:rsid w:val="00C8536E"/>
    <w:rsid w:val="00C856AF"/>
    <w:rsid w:val="00C86BDD"/>
    <w:rsid w:val="00C86F39"/>
    <w:rsid w:val="00C90473"/>
    <w:rsid w:val="00C91192"/>
    <w:rsid w:val="00C913E0"/>
    <w:rsid w:val="00C91587"/>
    <w:rsid w:val="00C91F2F"/>
    <w:rsid w:val="00C9275B"/>
    <w:rsid w:val="00C93958"/>
    <w:rsid w:val="00C94B90"/>
    <w:rsid w:val="00C94D01"/>
    <w:rsid w:val="00C94E57"/>
    <w:rsid w:val="00C95C56"/>
    <w:rsid w:val="00C96CFF"/>
    <w:rsid w:val="00C97211"/>
    <w:rsid w:val="00C97711"/>
    <w:rsid w:val="00CA0525"/>
    <w:rsid w:val="00CA074D"/>
    <w:rsid w:val="00CA0A32"/>
    <w:rsid w:val="00CA0F53"/>
    <w:rsid w:val="00CA1589"/>
    <w:rsid w:val="00CA2690"/>
    <w:rsid w:val="00CA41C7"/>
    <w:rsid w:val="00CA41FD"/>
    <w:rsid w:val="00CA43A0"/>
    <w:rsid w:val="00CA4D21"/>
    <w:rsid w:val="00CA4E3D"/>
    <w:rsid w:val="00CA5767"/>
    <w:rsid w:val="00CA5A2D"/>
    <w:rsid w:val="00CA6738"/>
    <w:rsid w:val="00CA6B39"/>
    <w:rsid w:val="00CA6DE5"/>
    <w:rsid w:val="00CA6EAD"/>
    <w:rsid w:val="00CB0E29"/>
    <w:rsid w:val="00CB1794"/>
    <w:rsid w:val="00CB20C6"/>
    <w:rsid w:val="00CB21D9"/>
    <w:rsid w:val="00CB227C"/>
    <w:rsid w:val="00CB241A"/>
    <w:rsid w:val="00CB2838"/>
    <w:rsid w:val="00CB2CDB"/>
    <w:rsid w:val="00CB32CC"/>
    <w:rsid w:val="00CB3728"/>
    <w:rsid w:val="00CB3805"/>
    <w:rsid w:val="00CB3846"/>
    <w:rsid w:val="00CB3AA7"/>
    <w:rsid w:val="00CB425B"/>
    <w:rsid w:val="00CB4B9F"/>
    <w:rsid w:val="00CB4C75"/>
    <w:rsid w:val="00CB518F"/>
    <w:rsid w:val="00CB56FE"/>
    <w:rsid w:val="00CB7034"/>
    <w:rsid w:val="00CB7D16"/>
    <w:rsid w:val="00CC106F"/>
    <w:rsid w:val="00CC1074"/>
    <w:rsid w:val="00CC1901"/>
    <w:rsid w:val="00CC210D"/>
    <w:rsid w:val="00CC2910"/>
    <w:rsid w:val="00CC5B5B"/>
    <w:rsid w:val="00CC7D75"/>
    <w:rsid w:val="00CC7D93"/>
    <w:rsid w:val="00CD0325"/>
    <w:rsid w:val="00CD0347"/>
    <w:rsid w:val="00CD2296"/>
    <w:rsid w:val="00CD384F"/>
    <w:rsid w:val="00CD3AB4"/>
    <w:rsid w:val="00CD413A"/>
    <w:rsid w:val="00CD44A0"/>
    <w:rsid w:val="00CD489C"/>
    <w:rsid w:val="00CD5CAF"/>
    <w:rsid w:val="00CD5CFE"/>
    <w:rsid w:val="00CD6386"/>
    <w:rsid w:val="00CD69E6"/>
    <w:rsid w:val="00CD6BD7"/>
    <w:rsid w:val="00CD6E6C"/>
    <w:rsid w:val="00CD7A8A"/>
    <w:rsid w:val="00CE03F7"/>
    <w:rsid w:val="00CE0A4C"/>
    <w:rsid w:val="00CE0E26"/>
    <w:rsid w:val="00CE117D"/>
    <w:rsid w:val="00CE32F2"/>
    <w:rsid w:val="00CE3A28"/>
    <w:rsid w:val="00CE3AF0"/>
    <w:rsid w:val="00CE3FCB"/>
    <w:rsid w:val="00CE43CA"/>
    <w:rsid w:val="00CE64F9"/>
    <w:rsid w:val="00CE6EE6"/>
    <w:rsid w:val="00CE79A1"/>
    <w:rsid w:val="00CE79E1"/>
    <w:rsid w:val="00CE7E8C"/>
    <w:rsid w:val="00CF0438"/>
    <w:rsid w:val="00CF0454"/>
    <w:rsid w:val="00CF08EE"/>
    <w:rsid w:val="00CF1206"/>
    <w:rsid w:val="00CF128C"/>
    <w:rsid w:val="00CF14F1"/>
    <w:rsid w:val="00CF16AE"/>
    <w:rsid w:val="00CF238D"/>
    <w:rsid w:val="00CF36EB"/>
    <w:rsid w:val="00CF3A87"/>
    <w:rsid w:val="00CF4950"/>
    <w:rsid w:val="00CF4ECA"/>
    <w:rsid w:val="00CF4F3A"/>
    <w:rsid w:val="00CF52EA"/>
    <w:rsid w:val="00CF5447"/>
    <w:rsid w:val="00CF5923"/>
    <w:rsid w:val="00CF6599"/>
    <w:rsid w:val="00CF6BEB"/>
    <w:rsid w:val="00CF7773"/>
    <w:rsid w:val="00CF7886"/>
    <w:rsid w:val="00D00DF8"/>
    <w:rsid w:val="00D014E2"/>
    <w:rsid w:val="00D021B3"/>
    <w:rsid w:val="00D02446"/>
    <w:rsid w:val="00D026CA"/>
    <w:rsid w:val="00D02F3B"/>
    <w:rsid w:val="00D035B1"/>
    <w:rsid w:val="00D0377A"/>
    <w:rsid w:val="00D03E9C"/>
    <w:rsid w:val="00D04022"/>
    <w:rsid w:val="00D05B83"/>
    <w:rsid w:val="00D05DC6"/>
    <w:rsid w:val="00D06D39"/>
    <w:rsid w:val="00D07656"/>
    <w:rsid w:val="00D077B4"/>
    <w:rsid w:val="00D10D89"/>
    <w:rsid w:val="00D10F38"/>
    <w:rsid w:val="00D1132A"/>
    <w:rsid w:val="00D1136A"/>
    <w:rsid w:val="00D12F80"/>
    <w:rsid w:val="00D1303A"/>
    <w:rsid w:val="00D149E2"/>
    <w:rsid w:val="00D15FBE"/>
    <w:rsid w:val="00D15FCA"/>
    <w:rsid w:val="00D161B5"/>
    <w:rsid w:val="00D16329"/>
    <w:rsid w:val="00D16A05"/>
    <w:rsid w:val="00D17E47"/>
    <w:rsid w:val="00D20768"/>
    <w:rsid w:val="00D2249F"/>
    <w:rsid w:val="00D22D70"/>
    <w:rsid w:val="00D23BEC"/>
    <w:rsid w:val="00D23D49"/>
    <w:rsid w:val="00D24785"/>
    <w:rsid w:val="00D25AB8"/>
    <w:rsid w:val="00D26168"/>
    <w:rsid w:val="00D26297"/>
    <w:rsid w:val="00D2655F"/>
    <w:rsid w:val="00D265E3"/>
    <w:rsid w:val="00D271F7"/>
    <w:rsid w:val="00D27241"/>
    <w:rsid w:val="00D27A18"/>
    <w:rsid w:val="00D30173"/>
    <w:rsid w:val="00D30FBA"/>
    <w:rsid w:val="00D313EE"/>
    <w:rsid w:val="00D32519"/>
    <w:rsid w:val="00D32C61"/>
    <w:rsid w:val="00D33152"/>
    <w:rsid w:val="00D33630"/>
    <w:rsid w:val="00D33E4F"/>
    <w:rsid w:val="00D346C8"/>
    <w:rsid w:val="00D357CF"/>
    <w:rsid w:val="00D35FA2"/>
    <w:rsid w:val="00D368B9"/>
    <w:rsid w:val="00D36A00"/>
    <w:rsid w:val="00D40D60"/>
    <w:rsid w:val="00D41283"/>
    <w:rsid w:val="00D42012"/>
    <w:rsid w:val="00D42098"/>
    <w:rsid w:val="00D4379C"/>
    <w:rsid w:val="00D4393B"/>
    <w:rsid w:val="00D43FC5"/>
    <w:rsid w:val="00D44C80"/>
    <w:rsid w:val="00D44CC3"/>
    <w:rsid w:val="00D44E05"/>
    <w:rsid w:val="00D45C36"/>
    <w:rsid w:val="00D460EB"/>
    <w:rsid w:val="00D4689A"/>
    <w:rsid w:val="00D47314"/>
    <w:rsid w:val="00D50E11"/>
    <w:rsid w:val="00D5110C"/>
    <w:rsid w:val="00D5226D"/>
    <w:rsid w:val="00D52D9D"/>
    <w:rsid w:val="00D53392"/>
    <w:rsid w:val="00D54A43"/>
    <w:rsid w:val="00D54BB8"/>
    <w:rsid w:val="00D551BE"/>
    <w:rsid w:val="00D55296"/>
    <w:rsid w:val="00D552C0"/>
    <w:rsid w:val="00D5546F"/>
    <w:rsid w:val="00D5595A"/>
    <w:rsid w:val="00D56637"/>
    <w:rsid w:val="00D566DA"/>
    <w:rsid w:val="00D56873"/>
    <w:rsid w:val="00D568F4"/>
    <w:rsid w:val="00D57087"/>
    <w:rsid w:val="00D57B1E"/>
    <w:rsid w:val="00D60BD4"/>
    <w:rsid w:val="00D60D98"/>
    <w:rsid w:val="00D60FCC"/>
    <w:rsid w:val="00D62138"/>
    <w:rsid w:val="00D63732"/>
    <w:rsid w:val="00D67385"/>
    <w:rsid w:val="00D677C3"/>
    <w:rsid w:val="00D72F28"/>
    <w:rsid w:val="00D749FC"/>
    <w:rsid w:val="00D74BC4"/>
    <w:rsid w:val="00D750A7"/>
    <w:rsid w:val="00D757B9"/>
    <w:rsid w:val="00D75AFB"/>
    <w:rsid w:val="00D776F0"/>
    <w:rsid w:val="00D80FF3"/>
    <w:rsid w:val="00D8180F"/>
    <w:rsid w:val="00D83574"/>
    <w:rsid w:val="00D83A20"/>
    <w:rsid w:val="00D83BA2"/>
    <w:rsid w:val="00D83C9A"/>
    <w:rsid w:val="00D83F97"/>
    <w:rsid w:val="00D841F9"/>
    <w:rsid w:val="00D84D69"/>
    <w:rsid w:val="00D850E1"/>
    <w:rsid w:val="00D851D2"/>
    <w:rsid w:val="00D8563E"/>
    <w:rsid w:val="00D85B68"/>
    <w:rsid w:val="00D85CF9"/>
    <w:rsid w:val="00D865D2"/>
    <w:rsid w:val="00D86AC2"/>
    <w:rsid w:val="00D87305"/>
    <w:rsid w:val="00D873AB"/>
    <w:rsid w:val="00D8752F"/>
    <w:rsid w:val="00D908CD"/>
    <w:rsid w:val="00D90C63"/>
    <w:rsid w:val="00D916D8"/>
    <w:rsid w:val="00D920D6"/>
    <w:rsid w:val="00D92144"/>
    <w:rsid w:val="00D92B55"/>
    <w:rsid w:val="00D93F52"/>
    <w:rsid w:val="00D94486"/>
    <w:rsid w:val="00D948C3"/>
    <w:rsid w:val="00D94D86"/>
    <w:rsid w:val="00D95B76"/>
    <w:rsid w:val="00D97D72"/>
    <w:rsid w:val="00D97F89"/>
    <w:rsid w:val="00DA0F8B"/>
    <w:rsid w:val="00DA27B9"/>
    <w:rsid w:val="00DA2F21"/>
    <w:rsid w:val="00DA3904"/>
    <w:rsid w:val="00DA3DA8"/>
    <w:rsid w:val="00DA3EFA"/>
    <w:rsid w:val="00DA4409"/>
    <w:rsid w:val="00DA4F61"/>
    <w:rsid w:val="00DA58AF"/>
    <w:rsid w:val="00DA5A40"/>
    <w:rsid w:val="00DA6D20"/>
    <w:rsid w:val="00DA6DE0"/>
    <w:rsid w:val="00DA7A18"/>
    <w:rsid w:val="00DA7E57"/>
    <w:rsid w:val="00DB0DA8"/>
    <w:rsid w:val="00DB0E79"/>
    <w:rsid w:val="00DB1381"/>
    <w:rsid w:val="00DB14ED"/>
    <w:rsid w:val="00DB18DB"/>
    <w:rsid w:val="00DB204C"/>
    <w:rsid w:val="00DB2961"/>
    <w:rsid w:val="00DB3258"/>
    <w:rsid w:val="00DB46BE"/>
    <w:rsid w:val="00DB55C4"/>
    <w:rsid w:val="00DB658A"/>
    <w:rsid w:val="00DB6886"/>
    <w:rsid w:val="00DC04F3"/>
    <w:rsid w:val="00DC0586"/>
    <w:rsid w:val="00DC0915"/>
    <w:rsid w:val="00DC1484"/>
    <w:rsid w:val="00DC1542"/>
    <w:rsid w:val="00DC1A3D"/>
    <w:rsid w:val="00DC2AAA"/>
    <w:rsid w:val="00DC2DFA"/>
    <w:rsid w:val="00DC31E2"/>
    <w:rsid w:val="00DC3615"/>
    <w:rsid w:val="00DC499D"/>
    <w:rsid w:val="00DC5645"/>
    <w:rsid w:val="00DC6AD6"/>
    <w:rsid w:val="00DC718F"/>
    <w:rsid w:val="00DC767A"/>
    <w:rsid w:val="00DC7949"/>
    <w:rsid w:val="00DC7A6B"/>
    <w:rsid w:val="00DC7AB5"/>
    <w:rsid w:val="00DD045F"/>
    <w:rsid w:val="00DD1081"/>
    <w:rsid w:val="00DD1A3A"/>
    <w:rsid w:val="00DD216E"/>
    <w:rsid w:val="00DD35DB"/>
    <w:rsid w:val="00DD3CFC"/>
    <w:rsid w:val="00DD40C7"/>
    <w:rsid w:val="00DD4C8E"/>
    <w:rsid w:val="00DD57E7"/>
    <w:rsid w:val="00DD6110"/>
    <w:rsid w:val="00DD6228"/>
    <w:rsid w:val="00DD6EEC"/>
    <w:rsid w:val="00DD7C29"/>
    <w:rsid w:val="00DD7E58"/>
    <w:rsid w:val="00DE2375"/>
    <w:rsid w:val="00DE2F09"/>
    <w:rsid w:val="00DE3C72"/>
    <w:rsid w:val="00DE42CA"/>
    <w:rsid w:val="00DE4562"/>
    <w:rsid w:val="00DE6471"/>
    <w:rsid w:val="00DF1381"/>
    <w:rsid w:val="00DF1EE4"/>
    <w:rsid w:val="00DF2151"/>
    <w:rsid w:val="00DF30B3"/>
    <w:rsid w:val="00DF3618"/>
    <w:rsid w:val="00DF4352"/>
    <w:rsid w:val="00DF4B47"/>
    <w:rsid w:val="00DF5B84"/>
    <w:rsid w:val="00DF60A9"/>
    <w:rsid w:val="00DF64D1"/>
    <w:rsid w:val="00DF7DB1"/>
    <w:rsid w:val="00E00617"/>
    <w:rsid w:val="00E0141B"/>
    <w:rsid w:val="00E01CDD"/>
    <w:rsid w:val="00E01F07"/>
    <w:rsid w:val="00E02661"/>
    <w:rsid w:val="00E037FD"/>
    <w:rsid w:val="00E039C7"/>
    <w:rsid w:val="00E03B26"/>
    <w:rsid w:val="00E053EB"/>
    <w:rsid w:val="00E05799"/>
    <w:rsid w:val="00E05CE4"/>
    <w:rsid w:val="00E05DEF"/>
    <w:rsid w:val="00E065FE"/>
    <w:rsid w:val="00E06F2C"/>
    <w:rsid w:val="00E07B3C"/>
    <w:rsid w:val="00E07DB2"/>
    <w:rsid w:val="00E1067E"/>
    <w:rsid w:val="00E10DB5"/>
    <w:rsid w:val="00E11B0B"/>
    <w:rsid w:val="00E1221C"/>
    <w:rsid w:val="00E12234"/>
    <w:rsid w:val="00E12D16"/>
    <w:rsid w:val="00E13225"/>
    <w:rsid w:val="00E1382E"/>
    <w:rsid w:val="00E14809"/>
    <w:rsid w:val="00E14989"/>
    <w:rsid w:val="00E14A26"/>
    <w:rsid w:val="00E15137"/>
    <w:rsid w:val="00E156D5"/>
    <w:rsid w:val="00E15C09"/>
    <w:rsid w:val="00E15D3A"/>
    <w:rsid w:val="00E2022E"/>
    <w:rsid w:val="00E20563"/>
    <w:rsid w:val="00E205FF"/>
    <w:rsid w:val="00E20EAA"/>
    <w:rsid w:val="00E21782"/>
    <w:rsid w:val="00E21D3A"/>
    <w:rsid w:val="00E22B27"/>
    <w:rsid w:val="00E22EA9"/>
    <w:rsid w:val="00E2375A"/>
    <w:rsid w:val="00E239DF"/>
    <w:rsid w:val="00E23D1A"/>
    <w:rsid w:val="00E23FAA"/>
    <w:rsid w:val="00E242E4"/>
    <w:rsid w:val="00E24938"/>
    <w:rsid w:val="00E26217"/>
    <w:rsid w:val="00E26853"/>
    <w:rsid w:val="00E27531"/>
    <w:rsid w:val="00E316D4"/>
    <w:rsid w:val="00E31901"/>
    <w:rsid w:val="00E33BB8"/>
    <w:rsid w:val="00E33D3C"/>
    <w:rsid w:val="00E33DE9"/>
    <w:rsid w:val="00E34F30"/>
    <w:rsid w:val="00E3500D"/>
    <w:rsid w:val="00E35132"/>
    <w:rsid w:val="00E359AE"/>
    <w:rsid w:val="00E35E55"/>
    <w:rsid w:val="00E35FC8"/>
    <w:rsid w:val="00E360B6"/>
    <w:rsid w:val="00E36877"/>
    <w:rsid w:val="00E36B67"/>
    <w:rsid w:val="00E376D6"/>
    <w:rsid w:val="00E376FC"/>
    <w:rsid w:val="00E37ABF"/>
    <w:rsid w:val="00E37C48"/>
    <w:rsid w:val="00E37C6F"/>
    <w:rsid w:val="00E400BB"/>
    <w:rsid w:val="00E4119D"/>
    <w:rsid w:val="00E41CC5"/>
    <w:rsid w:val="00E42052"/>
    <w:rsid w:val="00E4284E"/>
    <w:rsid w:val="00E42B44"/>
    <w:rsid w:val="00E43406"/>
    <w:rsid w:val="00E439BB"/>
    <w:rsid w:val="00E43A57"/>
    <w:rsid w:val="00E440D7"/>
    <w:rsid w:val="00E44FE5"/>
    <w:rsid w:val="00E45039"/>
    <w:rsid w:val="00E4549F"/>
    <w:rsid w:val="00E531FB"/>
    <w:rsid w:val="00E5390A"/>
    <w:rsid w:val="00E53975"/>
    <w:rsid w:val="00E53ECF"/>
    <w:rsid w:val="00E54526"/>
    <w:rsid w:val="00E5494A"/>
    <w:rsid w:val="00E556D3"/>
    <w:rsid w:val="00E56572"/>
    <w:rsid w:val="00E57072"/>
    <w:rsid w:val="00E5718B"/>
    <w:rsid w:val="00E57F04"/>
    <w:rsid w:val="00E60189"/>
    <w:rsid w:val="00E603CA"/>
    <w:rsid w:val="00E60CCC"/>
    <w:rsid w:val="00E60F16"/>
    <w:rsid w:val="00E6128A"/>
    <w:rsid w:val="00E630BB"/>
    <w:rsid w:val="00E63105"/>
    <w:rsid w:val="00E63208"/>
    <w:rsid w:val="00E63484"/>
    <w:rsid w:val="00E64E30"/>
    <w:rsid w:val="00E65DA3"/>
    <w:rsid w:val="00E66A6C"/>
    <w:rsid w:val="00E67066"/>
    <w:rsid w:val="00E67775"/>
    <w:rsid w:val="00E70502"/>
    <w:rsid w:val="00E71478"/>
    <w:rsid w:val="00E719F7"/>
    <w:rsid w:val="00E71AE4"/>
    <w:rsid w:val="00E71C4F"/>
    <w:rsid w:val="00E72094"/>
    <w:rsid w:val="00E72393"/>
    <w:rsid w:val="00E72936"/>
    <w:rsid w:val="00E729F2"/>
    <w:rsid w:val="00E72C4C"/>
    <w:rsid w:val="00E72FBE"/>
    <w:rsid w:val="00E730CF"/>
    <w:rsid w:val="00E73AD8"/>
    <w:rsid w:val="00E73ADD"/>
    <w:rsid w:val="00E73AEB"/>
    <w:rsid w:val="00E73B37"/>
    <w:rsid w:val="00E73E7B"/>
    <w:rsid w:val="00E7526F"/>
    <w:rsid w:val="00E75BCD"/>
    <w:rsid w:val="00E767EF"/>
    <w:rsid w:val="00E76D77"/>
    <w:rsid w:val="00E800CB"/>
    <w:rsid w:val="00E80B34"/>
    <w:rsid w:val="00E80F4F"/>
    <w:rsid w:val="00E80F60"/>
    <w:rsid w:val="00E812D7"/>
    <w:rsid w:val="00E812F7"/>
    <w:rsid w:val="00E81C4C"/>
    <w:rsid w:val="00E83195"/>
    <w:rsid w:val="00E8401B"/>
    <w:rsid w:val="00E84229"/>
    <w:rsid w:val="00E84987"/>
    <w:rsid w:val="00E84F6E"/>
    <w:rsid w:val="00E85F4A"/>
    <w:rsid w:val="00E860AD"/>
    <w:rsid w:val="00E8697E"/>
    <w:rsid w:val="00E87599"/>
    <w:rsid w:val="00E87849"/>
    <w:rsid w:val="00E87D1A"/>
    <w:rsid w:val="00E902CC"/>
    <w:rsid w:val="00E906F5"/>
    <w:rsid w:val="00E914C3"/>
    <w:rsid w:val="00E918FE"/>
    <w:rsid w:val="00E9192C"/>
    <w:rsid w:val="00E919A6"/>
    <w:rsid w:val="00E921FA"/>
    <w:rsid w:val="00E92BD5"/>
    <w:rsid w:val="00E92BFF"/>
    <w:rsid w:val="00E941F2"/>
    <w:rsid w:val="00E9457E"/>
    <w:rsid w:val="00E94BFE"/>
    <w:rsid w:val="00E957A2"/>
    <w:rsid w:val="00E9670C"/>
    <w:rsid w:val="00E96B5F"/>
    <w:rsid w:val="00E97378"/>
    <w:rsid w:val="00E97A43"/>
    <w:rsid w:val="00EA0450"/>
    <w:rsid w:val="00EA17BB"/>
    <w:rsid w:val="00EA2653"/>
    <w:rsid w:val="00EA36DD"/>
    <w:rsid w:val="00EA41DC"/>
    <w:rsid w:val="00EA5003"/>
    <w:rsid w:val="00EA5164"/>
    <w:rsid w:val="00EA5167"/>
    <w:rsid w:val="00EA52CC"/>
    <w:rsid w:val="00EA5B2E"/>
    <w:rsid w:val="00EA5DFB"/>
    <w:rsid w:val="00EA656A"/>
    <w:rsid w:val="00EB06A3"/>
    <w:rsid w:val="00EB0D7F"/>
    <w:rsid w:val="00EB0E96"/>
    <w:rsid w:val="00EB1D5D"/>
    <w:rsid w:val="00EB1F4B"/>
    <w:rsid w:val="00EB2271"/>
    <w:rsid w:val="00EB478C"/>
    <w:rsid w:val="00EB62CF"/>
    <w:rsid w:val="00EB6A1B"/>
    <w:rsid w:val="00EB6E35"/>
    <w:rsid w:val="00EC03CD"/>
    <w:rsid w:val="00EC0B3B"/>
    <w:rsid w:val="00EC0B7D"/>
    <w:rsid w:val="00EC1CF7"/>
    <w:rsid w:val="00EC29A0"/>
    <w:rsid w:val="00EC2FC4"/>
    <w:rsid w:val="00EC3013"/>
    <w:rsid w:val="00EC3019"/>
    <w:rsid w:val="00EC32CB"/>
    <w:rsid w:val="00EC3CB5"/>
    <w:rsid w:val="00EC4B45"/>
    <w:rsid w:val="00EC4D4E"/>
    <w:rsid w:val="00EC5DE3"/>
    <w:rsid w:val="00EC63D3"/>
    <w:rsid w:val="00EC6D9E"/>
    <w:rsid w:val="00EC795B"/>
    <w:rsid w:val="00ED0071"/>
    <w:rsid w:val="00ED0352"/>
    <w:rsid w:val="00ED0760"/>
    <w:rsid w:val="00ED0DF1"/>
    <w:rsid w:val="00ED1020"/>
    <w:rsid w:val="00ED17E0"/>
    <w:rsid w:val="00ED1839"/>
    <w:rsid w:val="00ED3019"/>
    <w:rsid w:val="00ED3B80"/>
    <w:rsid w:val="00ED496C"/>
    <w:rsid w:val="00ED4B08"/>
    <w:rsid w:val="00ED5AC5"/>
    <w:rsid w:val="00ED60ED"/>
    <w:rsid w:val="00ED7FD1"/>
    <w:rsid w:val="00EE007F"/>
    <w:rsid w:val="00EE0A87"/>
    <w:rsid w:val="00EE1844"/>
    <w:rsid w:val="00EE4113"/>
    <w:rsid w:val="00EE42A3"/>
    <w:rsid w:val="00EE46C1"/>
    <w:rsid w:val="00EE5B82"/>
    <w:rsid w:val="00EE61D5"/>
    <w:rsid w:val="00EE712A"/>
    <w:rsid w:val="00EE7141"/>
    <w:rsid w:val="00EF0C5E"/>
    <w:rsid w:val="00EF14D1"/>
    <w:rsid w:val="00EF3133"/>
    <w:rsid w:val="00EF314F"/>
    <w:rsid w:val="00EF3249"/>
    <w:rsid w:val="00EF3D4A"/>
    <w:rsid w:val="00EF486D"/>
    <w:rsid w:val="00EF661D"/>
    <w:rsid w:val="00EF693A"/>
    <w:rsid w:val="00EF6A52"/>
    <w:rsid w:val="00EF732A"/>
    <w:rsid w:val="00EF795B"/>
    <w:rsid w:val="00EF797D"/>
    <w:rsid w:val="00EF7F5E"/>
    <w:rsid w:val="00F00103"/>
    <w:rsid w:val="00F00AF0"/>
    <w:rsid w:val="00F00C60"/>
    <w:rsid w:val="00F013EB"/>
    <w:rsid w:val="00F01783"/>
    <w:rsid w:val="00F02FAF"/>
    <w:rsid w:val="00F0340A"/>
    <w:rsid w:val="00F04C70"/>
    <w:rsid w:val="00F0512C"/>
    <w:rsid w:val="00F05EA1"/>
    <w:rsid w:val="00F063AB"/>
    <w:rsid w:val="00F0703A"/>
    <w:rsid w:val="00F07619"/>
    <w:rsid w:val="00F079F7"/>
    <w:rsid w:val="00F1065C"/>
    <w:rsid w:val="00F10914"/>
    <w:rsid w:val="00F10EFC"/>
    <w:rsid w:val="00F12D86"/>
    <w:rsid w:val="00F130BC"/>
    <w:rsid w:val="00F135DE"/>
    <w:rsid w:val="00F14169"/>
    <w:rsid w:val="00F14584"/>
    <w:rsid w:val="00F14D32"/>
    <w:rsid w:val="00F1636A"/>
    <w:rsid w:val="00F174D9"/>
    <w:rsid w:val="00F17E37"/>
    <w:rsid w:val="00F21358"/>
    <w:rsid w:val="00F2159A"/>
    <w:rsid w:val="00F21FDE"/>
    <w:rsid w:val="00F226F6"/>
    <w:rsid w:val="00F22921"/>
    <w:rsid w:val="00F22DC0"/>
    <w:rsid w:val="00F235C2"/>
    <w:rsid w:val="00F23FBA"/>
    <w:rsid w:val="00F24B71"/>
    <w:rsid w:val="00F24E80"/>
    <w:rsid w:val="00F2556E"/>
    <w:rsid w:val="00F25705"/>
    <w:rsid w:val="00F25B17"/>
    <w:rsid w:val="00F26499"/>
    <w:rsid w:val="00F265AC"/>
    <w:rsid w:val="00F266E6"/>
    <w:rsid w:val="00F26A2B"/>
    <w:rsid w:val="00F26CC4"/>
    <w:rsid w:val="00F27716"/>
    <w:rsid w:val="00F27D79"/>
    <w:rsid w:val="00F27EFD"/>
    <w:rsid w:val="00F31396"/>
    <w:rsid w:val="00F31E26"/>
    <w:rsid w:val="00F31E69"/>
    <w:rsid w:val="00F3243E"/>
    <w:rsid w:val="00F3281D"/>
    <w:rsid w:val="00F32BD1"/>
    <w:rsid w:val="00F33F98"/>
    <w:rsid w:val="00F3530B"/>
    <w:rsid w:val="00F353B1"/>
    <w:rsid w:val="00F356A3"/>
    <w:rsid w:val="00F358CD"/>
    <w:rsid w:val="00F358DD"/>
    <w:rsid w:val="00F362BD"/>
    <w:rsid w:val="00F36FFB"/>
    <w:rsid w:val="00F37C9E"/>
    <w:rsid w:val="00F37D1E"/>
    <w:rsid w:val="00F40DDE"/>
    <w:rsid w:val="00F448E3"/>
    <w:rsid w:val="00F45141"/>
    <w:rsid w:val="00F46EE7"/>
    <w:rsid w:val="00F47086"/>
    <w:rsid w:val="00F47258"/>
    <w:rsid w:val="00F47888"/>
    <w:rsid w:val="00F50169"/>
    <w:rsid w:val="00F503C3"/>
    <w:rsid w:val="00F51141"/>
    <w:rsid w:val="00F515C3"/>
    <w:rsid w:val="00F52380"/>
    <w:rsid w:val="00F538A7"/>
    <w:rsid w:val="00F5583A"/>
    <w:rsid w:val="00F57507"/>
    <w:rsid w:val="00F57628"/>
    <w:rsid w:val="00F577E5"/>
    <w:rsid w:val="00F6048C"/>
    <w:rsid w:val="00F604B0"/>
    <w:rsid w:val="00F6120F"/>
    <w:rsid w:val="00F6143D"/>
    <w:rsid w:val="00F62CD0"/>
    <w:rsid w:val="00F639D7"/>
    <w:rsid w:val="00F63D8C"/>
    <w:rsid w:val="00F63FEE"/>
    <w:rsid w:val="00F64CBC"/>
    <w:rsid w:val="00F651AA"/>
    <w:rsid w:val="00F65846"/>
    <w:rsid w:val="00F67453"/>
    <w:rsid w:val="00F679C7"/>
    <w:rsid w:val="00F70240"/>
    <w:rsid w:val="00F71014"/>
    <w:rsid w:val="00F72B2D"/>
    <w:rsid w:val="00F72B3F"/>
    <w:rsid w:val="00F72FB5"/>
    <w:rsid w:val="00F7434D"/>
    <w:rsid w:val="00F74E2B"/>
    <w:rsid w:val="00F754D8"/>
    <w:rsid w:val="00F75622"/>
    <w:rsid w:val="00F759FB"/>
    <w:rsid w:val="00F7676D"/>
    <w:rsid w:val="00F806B0"/>
    <w:rsid w:val="00F80968"/>
    <w:rsid w:val="00F80B89"/>
    <w:rsid w:val="00F81A34"/>
    <w:rsid w:val="00F81B2D"/>
    <w:rsid w:val="00F82402"/>
    <w:rsid w:val="00F8248C"/>
    <w:rsid w:val="00F827C2"/>
    <w:rsid w:val="00F84567"/>
    <w:rsid w:val="00F86021"/>
    <w:rsid w:val="00F86CA0"/>
    <w:rsid w:val="00F86EA2"/>
    <w:rsid w:val="00F8759F"/>
    <w:rsid w:val="00F87B21"/>
    <w:rsid w:val="00F90A83"/>
    <w:rsid w:val="00F914EA"/>
    <w:rsid w:val="00F9172F"/>
    <w:rsid w:val="00F91AA4"/>
    <w:rsid w:val="00F92EBA"/>
    <w:rsid w:val="00F931B5"/>
    <w:rsid w:val="00F9364F"/>
    <w:rsid w:val="00F936CD"/>
    <w:rsid w:val="00F93C91"/>
    <w:rsid w:val="00F94D9C"/>
    <w:rsid w:val="00F959C5"/>
    <w:rsid w:val="00F9675F"/>
    <w:rsid w:val="00F97C02"/>
    <w:rsid w:val="00FA0093"/>
    <w:rsid w:val="00FA0D12"/>
    <w:rsid w:val="00FA0F77"/>
    <w:rsid w:val="00FA1CBA"/>
    <w:rsid w:val="00FA1CDA"/>
    <w:rsid w:val="00FA2247"/>
    <w:rsid w:val="00FA229C"/>
    <w:rsid w:val="00FA259C"/>
    <w:rsid w:val="00FA518D"/>
    <w:rsid w:val="00FA5F44"/>
    <w:rsid w:val="00FA5FC2"/>
    <w:rsid w:val="00FA6166"/>
    <w:rsid w:val="00FA6BAF"/>
    <w:rsid w:val="00FA78A5"/>
    <w:rsid w:val="00FB09BF"/>
    <w:rsid w:val="00FB17A2"/>
    <w:rsid w:val="00FB1C50"/>
    <w:rsid w:val="00FB2306"/>
    <w:rsid w:val="00FB267B"/>
    <w:rsid w:val="00FB26F3"/>
    <w:rsid w:val="00FB2881"/>
    <w:rsid w:val="00FB2C93"/>
    <w:rsid w:val="00FB3B6F"/>
    <w:rsid w:val="00FB49F9"/>
    <w:rsid w:val="00FB5C5B"/>
    <w:rsid w:val="00FB6151"/>
    <w:rsid w:val="00FB687B"/>
    <w:rsid w:val="00FB72A7"/>
    <w:rsid w:val="00FB7B2E"/>
    <w:rsid w:val="00FB7DA3"/>
    <w:rsid w:val="00FC09BB"/>
    <w:rsid w:val="00FC1ABD"/>
    <w:rsid w:val="00FC24A5"/>
    <w:rsid w:val="00FC25FB"/>
    <w:rsid w:val="00FC2BC1"/>
    <w:rsid w:val="00FC422C"/>
    <w:rsid w:val="00FC4325"/>
    <w:rsid w:val="00FC4EAB"/>
    <w:rsid w:val="00FC512A"/>
    <w:rsid w:val="00FC522A"/>
    <w:rsid w:val="00FC57C4"/>
    <w:rsid w:val="00FC5A97"/>
    <w:rsid w:val="00FC5D1C"/>
    <w:rsid w:val="00FC6401"/>
    <w:rsid w:val="00FC66C4"/>
    <w:rsid w:val="00FD1A15"/>
    <w:rsid w:val="00FD1D5F"/>
    <w:rsid w:val="00FD27DE"/>
    <w:rsid w:val="00FD286A"/>
    <w:rsid w:val="00FD2A5B"/>
    <w:rsid w:val="00FD2F2D"/>
    <w:rsid w:val="00FD40ED"/>
    <w:rsid w:val="00FD4507"/>
    <w:rsid w:val="00FD635C"/>
    <w:rsid w:val="00FD6D99"/>
    <w:rsid w:val="00FD720A"/>
    <w:rsid w:val="00FE174E"/>
    <w:rsid w:val="00FE1EC4"/>
    <w:rsid w:val="00FE2274"/>
    <w:rsid w:val="00FE3E54"/>
    <w:rsid w:val="00FE4BF7"/>
    <w:rsid w:val="00FE4E51"/>
    <w:rsid w:val="00FE5B3D"/>
    <w:rsid w:val="00FE5EA3"/>
    <w:rsid w:val="00FE6453"/>
    <w:rsid w:val="00FE76D6"/>
    <w:rsid w:val="00FE7B73"/>
    <w:rsid w:val="00FF015E"/>
    <w:rsid w:val="00FF06FF"/>
    <w:rsid w:val="00FF1217"/>
    <w:rsid w:val="00FF154F"/>
    <w:rsid w:val="00FF15D8"/>
    <w:rsid w:val="00FF17EF"/>
    <w:rsid w:val="00FF22C0"/>
    <w:rsid w:val="00FF2681"/>
    <w:rsid w:val="00FF36D1"/>
    <w:rsid w:val="00FF4076"/>
    <w:rsid w:val="00FF4750"/>
    <w:rsid w:val="00FF5370"/>
    <w:rsid w:val="00FF58A0"/>
    <w:rsid w:val="00FF7020"/>
    <w:rsid w:val="00FF769C"/>
    <w:rsid w:val="00FF7C6E"/>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2C1A241"/>
  <w15:docId w15:val="{614ECB30-9458-496A-AA70-EB9D010B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CA" w:eastAsia="en-CA"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94A98"/>
  </w:style>
  <w:style w:type="paragraph" w:styleId="Heading1">
    <w:name w:val="heading 1"/>
    <w:aliases w:val="h1,FOL L1"/>
    <w:next w:val="Normal"/>
    <w:link w:val="Heading1Char"/>
    <w:uiPriority w:val="9"/>
    <w:qFormat/>
    <w:rsid w:val="00DC7949"/>
    <w:pPr>
      <w:keepNext/>
      <w:spacing w:after="240"/>
      <w:outlineLvl w:val="0"/>
    </w:pPr>
    <w:rPr>
      <w:rFonts w:ascii="Arial Bold" w:hAnsi="Arial Bold"/>
      <w:b/>
      <w:sz w:val="24"/>
      <w:lang w:val="fr-CA" w:eastAsia="en-US"/>
    </w:rPr>
  </w:style>
  <w:style w:type="paragraph" w:styleId="Heading2">
    <w:name w:val="heading 2"/>
    <w:aliases w:val="h2,FOL L2"/>
    <w:basedOn w:val="Heading1"/>
    <w:next w:val="Normal"/>
    <w:link w:val="Heading2Char"/>
    <w:uiPriority w:val="9"/>
    <w:qFormat/>
    <w:rsid w:val="00DC7949"/>
    <w:pPr>
      <w:outlineLvl w:val="1"/>
    </w:pPr>
    <w:rPr>
      <w:rFonts w:ascii="Arial" w:hAnsi="Arial"/>
      <w:b w:val="0"/>
      <w:color w:val="000000"/>
      <w:sz w:val="20"/>
    </w:rPr>
  </w:style>
  <w:style w:type="paragraph" w:styleId="Heading3">
    <w:name w:val="heading 3"/>
    <w:aliases w:val="h3,FOL L3"/>
    <w:basedOn w:val="FOLLevel2a"/>
    <w:next w:val="Normal"/>
    <w:link w:val="Heading3Char"/>
    <w:uiPriority w:val="9"/>
    <w:qFormat/>
    <w:rsid w:val="00223A5F"/>
    <w:pPr>
      <w:numPr>
        <w:ilvl w:val="0"/>
        <w:numId w:val="0"/>
      </w:numPr>
      <w:tabs>
        <w:tab w:val="left" w:pos="851"/>
      </w:tabs>
      <w:jc w:val="left"/>
      <w:outlineLvl w:val="2"/>
    </w:pPr>
  </w:style>
  <w:style w:type="paragraph" w:styleId="Heading4">
    <w:name w:val="heading 4"/>
    <w:aliases w:val="h4,FOL L4"/>
    <w:basedOn w:val="Heading2"/>
    <w:next w:val="Normal"/>
    <w:link w:val="Heading4Char"/>
    <w:uiPriority w:val="9"/>
    <w:qFormat/>
    <w:rsid w:val="002018F1"/>
    <w:pPr>
      <w:outlineLvl w:val="3"/>
    </w:pPr>
  </w:style>
  <w:style w:type="paragraph" w:styleId="Heading5">
    <w:name w:val="heading 5"/>
    <w:aliases w:val="FOL L5"/>
    <w:basedOn w:val="Normal"/>
    <w:next w:val="Normal"/>
    <w:link w:val="Heading5Char"/>
    <w:uiPriority w:val="9"/>
    <w:qFormat/>
    <w:rsid w:val="008D1B08"/>
    <w:pPr>
      <w:spacing w:after="240"/>
      <w:outlineLvl w:val="4"/>
    </w:pPr>
    <w:rPr>
      <w:color w:val="000000"/>
      <w:lang w:val="en-US"/>
    </w:rPr>
  </w:style>
  <w:style w:type="paragraph" w:styleId="Heading6">
    <w:name w:val="heading 6"/>
    <w:aliases w:val="FOL L6"/>
    <w:basedOn w:val="Normal"/>
    <w:next w:val="Normal"/>
    <w:link w:val="Heading6Char"/>
    <w:uiPriority w:val="9"/>
    <w:qFormat/>
    <w:rsid w:val="007A2B57"/>
    <w:pPr>
      <w:spacing w:after="240"/>
      <w:outlineLvl w:val="5"/>
    </w:pPr>
    <w:rPr>
      <w:color w:val="000000"/>
    </w:rPr>
  </w:style>
  <w:style w:type="paragraph" w:styleId="Heading7">
    <w:name w:val="heading 7"/>
    <w:aliases w:val="FOL L7"/>
    <w:basedOn w:val="Normal"/>
    <w:next w:val="Normal"/>
    <w:link w:val="Heading7Char"/>
    <w:uiPriority w:val="9"/>
    <w:unhideWhenUsed/>
    <w:qFormat/>
    <w:rsid w:val="007A2B57"/>
    <w:pPr>
      <w:spacing w:after="240"/>
      <w:outlineLvl w:val="6"/>
    </w:pPr>
    <w:rPr>
      <w:rFonts w:eastAsiaTheme="majorEastAsia" w:cstheme="majorBidi"/>
      <w:iCs/>
      <w:color w:val="000000"/>
    </w:rPr>
  </w:style>
  <w:style w:type="paragraph" w:styleId="Heading8">
    <w:name w:val="heading 8"/>
    <w:basedOn w:val="Normal"/>
    <w:next w:val="Normal"/>
    <w:link w:val="Heading8Char"/>
    <w:uiPriority w:val="9"/>
    <w:unhideWhenUsed/>
    <w:qFormat/>
    <w:rsid w:val="007A2B57"/>
    <w:pPr>
      <w:spacing w:after="240"/>
      <w:outlineLvl w:val="7"/>
    </w:pPr>
    <w:rPr>
      <w:rFonts w:eastAsiaTheme="majorEastAsia" w:cstheme="majorBidi"/>
      <w:color w:val="000000"/>
    </w:rPr>
  </w:style>
  <w:style w:type="paragraph" w:styleId="Heading9">
    <w:name w:val="heading 9"/>
    <w:basedOn w:val="Normal"/>
    <w:next w:val="Normal"/>
    <w:link w:val="Heading9Char"/>
    <w:uiPriority w:val="9"/>
    <w:unhideWhenUsed/>
    <w:qFormat/>
    <w:rsid w:val="007A2B57"/>
    <w:pPr>
      <w:spacing w:after="240"/>
      <w:outlineLvl w:val="8"/>
    </w:pPr>
    <w:rPr>
      <w:rFonts w:eastAsiaTheme="majorEastAsia" w:cstheme="majorBid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Para2">
    <w:name w:val="DocPara2"/>
    <w:basedOn w:val="Normal"/>
    <w:pPr>
      <w:spacing w:after="240"/>
      <w:ind w:left="720"/>
    </w:pPr>
  </w:style>
  <w:style w:type="paragraph" w:styleId="Title">
    <w:name w:val="Title"/>
    <w:basedOn w:val="Normal"/>
    <w:link w:val="TitleChar"/>
    <w:qFormat/>
    <w:pPr>
      <w:jc w:val="center"/>
    </w:pPr>
    <w:rPr>
      <w:b/>
      <w:sz w:val="28"/>
    </w:rPr>
  </w:style>
  <w:style w:type="paragraph" w:styleId="Subtitle">
    <w:name w:val="Subtitle"/>
    <w:basedOn w:val="Normal"/>
    <w:link w:val="SubtitleChar"/>
    <w:qFormat/>
    <w:rsid w:val="00D851D2"/>
    <w:pPr>
      <w:jc w:val="center"/>
    </w:pPr>
    <w:rPr>
      <w:b/>
    </w:rPr>
  </w:style>
  <w:style w:type="paragraph" w:styleId="Footer">
    <w:name w:val="footer"/>
    <w:basedOn w:val="Normal"/>
    <w:link w:val="FooterChar"/>
    <w:uiPriority w:val="99"/>
    <w:pPr>
      <w:tabs>
        <w:tab w:val="center" w:pos="4320"/>
        <w:tab w:val="right" w:pos="8640"/>
      </w:tabs>
      <w:spacing w:before="360"/>
    </w:pPr>
    <w:rPr>
      <w:sz w:val="16"/>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customStyle="1" w:styleId="SignatureBlock">
    <w:name w:val="Signature Block"/>
    <w:basedOn w:val="Normal"/>
  </w:style>
  <w:style w:type="paragraph" w:customStyle="1" w:styleId="DocPara4">
    <w:name w:val="DocPara4"/>
    <w:basedOn w:val="Normal"/>
    <w:pPr>
      <w:spacing w:after="240"/>
      <w:outlineLvl w:val="3"/>
    </w:pPr>
  </w:style>
  <w:style w:type="paragraph" w:customStyle="1" w:styleId="DocPara5">
    <w:name w:val="DocPara5"/>
    <w:basedOn w:val="Normal"/>
    <w:pPr>
      <w:tabs>
        <w:tab w:val="num" w:pos="2880"/>
      </w:tabs>
      <w:spacing w:after="240"/>
      <w:ind w:left="2880" w:hanging="720"/>
    </w:pPr>
  </w:style>
  <w:style w:type="paragraph" w:customStyle="1" w:styleId="DocPara3">
    <w:name w:val="DocPara3"/>
    <w:basedOn w:val="Normal"/>
    <w:autoRedefine/>
    <w:pPr>
      <w:spacing w:after="240"/>
      <w:outlineLvl w:val="2"/>
    </w:pPr>
  </w:style>
  <w:style w:type="paragraph" w:styleId="BodyText">
    <w:name w:val="Body Text"/>
    <w:basedOn w:val="Normal"/>
    <w:link w:val="BodyTextChar"/>
    <w:pPr>
      <w:keepNext/>
      <w:keepLines/>
      <w:widowControl w:val="0"/>
    </w:pPr>
    <w:rPr>
      <w:snapToGrid w:val="0"/>
      <w:lang w:val="en-US"/>
    </w:rPr>
  </w:style>
  <w:style w:type="paragraph" w:styleId="BodyTextIndent2">
    <w:name w:val="Body Text Indent 2"/>
    <w:basedOn w:val="Normal"/>
    <w:link w:val="BodyTextIndent2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3"/>
      <w:ind w:left="720" w:hanging="720"/>
    </w:pPr>
    <w:rPr>
      <w:snapToGrid w:val="0"/>
    </w:rPr>
  </w:style>
  <w:style w:type="paragraph" w:styleId="BodyTextIndent">
    <w:name w:val="Body Text Indent"/>
    <w:basedOn w:val="Normal"/>
    <w:link w:val="BodyTextIndentChar"/>
    <w:pPr>
      <w:tabs>
        <w:tab w:val="left" w:pos="0"/>
        <w:tab w:val="left" w:pos="720"/>
        <w:tab w:val="left" w:pos="1728"/>
        <w:tab w:val="left" w:pos="2160"/>
        <w:tab w:val="left" w:pos="2880"/>
        <w:tab w:val="left" w:pos="3600"/>
        <w:tab w:val="left" w:pos="4320"/>
        <w:tab w:val="left" w:pos="5040"/>
        <w:tab w:val="left" w:pos="5760"/>
        <w:tab w:val="left" w:pos="6480"/>
        <w:tab w:val="left" w:pos="7200"/>
        <w:tab w:val="left" w:pos="7488"/>
        <w:tab w:val="left" w:pos="8640"/>
        <w:tab w:val="left" w:pos="9360"/>
      </w:tabs>
      <w:ind w:left="4320" w:hanging="1440"/>
    </w:pPr>
  </w:style>
  <w:style w:type="paragraph" w:styleId="BodyTextIndent3">
    <w:name w:val="Body Text Indent 3"/>
    <w:basedOn w:val="Normal"/>
    <w:link w:val="BodyTextIndent3Char"/>
    <w:pPr>
      <w:tabs>
        <w:tab w:val="left" w:pos="0"/>
        <w:tab w:val="left" w:pos="1260"/>
        <w:tab w:val="left" w:pos="1728"/>
      </w:tabs>
      <w:ind w:left="1260" w:hanging="540"/>
    </w:pPr>
  </w:style>
  <w:style w:type="paragraph" w:styleId="BalloonText">
    <w:name w:val="Balloon Text"/>
    <w:basedOn w:val="Normal"/>
    <w:link w:val="BalloonTextChar"/>
    <w:rsid w:val="00133EF7"/>
    <w:rPr>
      <w:rFonts w:ascii="Tahoma" w:hAnsi="Tahoma" w:cs="Tahoma"/>
      <w:sz w:val="16"/>
      <w:szCs w:val="16"/>
    </w:rPr>
  </w:style>
  <w:style w:type="character" w:customStyle="1" w:styleId="BalloonTextChar">
    <w:name w:val="Balloon Text Char"/>
    <w:basedOn w:val="DefaultParagraphFont"/>
    <w:link w:val="BalloonText"/>
    <w:rsid w:val="00133EF7"/>
    <w:rPr>
      <w:rFonts w:ascii="Tahoma" w:hAnsi="Tahoma" w:cs="Tahoma"/>
      <w:sz w:val="16"/>
      <w:szCs w:val="16"/>
      <w:lang w:eastAsia="en-US"/>
    </w:rPr>
  </w:style>
  <w:style w:type="character" w:customStyle="1" w:styleId="DocID">
    <w:name w:val="DocID"/>
    <w:basedOn w:val="DefaultParagraphFont"/>
    <w:rsid w:val="00834B25"/>
    <w:rPr>
      <w:rFonts w:ascii="Arial" w:hAnsi="Arial" w:cs="Arial"/>
      <w:b w:val="0"/>
      <w:i w:val="0"/>
      <w:caps w:val="0"/>
      <w:vanish w:val="0"/>
      <w:color w:val="000000"/>
      <w:sz w:val="16"/>
      <w:u w:val="none"/>
    </w:rPr>
  </w:style>
  <w:style w:type="character" w:customStyle="1" w:styleId="Heading7Char">
    <w:name w:val="Heading 7 Char"/>
    <w:aliases w:val="FOL L7 Char"/>
    <w:basedOn w:val="DefaultParagraphFont"/>
    <w:link w:val="Heading7"/>
    <w:uiPriority w:val="9"/>
    <w:rsid w:val="007A2B57"/>
    <w:rPr>
      <w:rFonts w:eastAsiaTheme="majorEastAsia" w:cstheme="majorBidi"/>
      <w:iCs/>
      <w:color w:val="000000"/>
      <w:lang w:eastAsia="en-US"/>
    </w:rPr>
  </w:style>
  <w:style w:type="character" w:customStyle="1" w:styleId="Heading8Char">
    <w:name w:val="Heading 8 Char"/>
    <w:basedOn w:val="DefaultParagraphFont"/>
    <w:link w:val="Heading8"/>
    <w:uiPriority w:val="9"/>
    <w:rsid w:val="007A2B57"/>
    <w:rPr>
      <w:rFonts w:eastAsiaTheme="majorEastAsia" w:cstheme="majorBidi"/>
      <w:color w:val="000000"/>
      <w:lang w:eastAsia="en-US"/>
    </w:rPr>
  </w:style>
  <w:style w:type="character" w:customStyle="1" w:styleId="Heading9Char">
    <w:name w:val="Heading 9 Char"/>
    <w:basedOn w:val="DefaultParagraphFont"/>
    <w:link w:val="Heading9"/>
    <w:uiPriority w:val="9"/>
    <w:rsid w:val="007A2B57"/>
    <w:rPr>
      <w:rFonts w:eastAsiaTheme="majorEastAsia" w:cstheme="majorBidi"/>
      <w:iCs/>
      <w:color w:val="000000"/>
      <w:lang w:eastAsia="en-US"/>
    </w:rPr>
  </w:style>
  <w:style w:type="character" w:styleId="CommentReference">
    <w:name w:val="annotation reference"/>
    <w:basedOn w:val="DefaultParagraphFont"/>
    <w:rsid w:val="00366792"/>
    <w:rPr>
      <w:sz w:val="16"/>
      <w:szCs w:val="16"/>
    </w:rPr>
  </w:style>
  <w:style w:type="paragraph" w:styleId="CommentText">
    <w:name w:val="annotation text"/>
    <w:basedOn w:val="Normal"/>
    <w:link w:val="CommentTextChar"/>
    <w:rsid w:val="00366792"/>
  </w:style>
  <w:style w:type="character" w:customStyle="1" w:styleId="CommentTextChar">
    <w:name w:val="Comment Text Char"/>
    <w:basedOn w:val="DefaultParagraphFont"/>
    <w:link w:val="CommentText"/>
    <w:rsid w:val="00366792"/>
    <w:rPr>
      <w:rFonts w:ascii="CG Times" w:hAnsi="CG Times"/>
      <w:lang w:eastAsia="en-US"/>
    </w:rPr>
  </w:style>
  <w:style w:type="paragraph" w:styleId="CommentSubject">
    <w:name w:val="annotation subject"/>
    <w:basedOn w:val="CommentText"/>
    <w:next w:val="CommentText"/>
    <w:link w:val="CommentSubjectChar"/>
    <w:rsid w:val="00366792"/>
    <w:rPr>
      <w:b/>
      <w:bCs/>
    </w:rPr>
  </w:style>
  <w:style w:type="character" w:customStyle="1" w:styleId="CommentSubjectChar">
    <w:name w:val="Comment Subject Char"/>
    <w:basedOn w:val="CommentTextChar"/>
    <w:link w:val="CommentSubject"/>
    <w:rsid w:val="00366792"/>
    <w:rPr>
      <w:rFonts w:ascii="CG Times" w:hAnsi="CG Times"/>
      <w:b/>
      <w:bCs/>
      <w:lang w:eastAsia="en-US"/>
    </w:rPr>
  </w:style>
  <w:style w:type="paragraph" w:styleId="ListParagraph">
    <w:name w:val="List Paragraph"/>
    <w:basedOn w:val="Normal"/>
    <w:uiPriority w:val="34"/>
    <w:qFormat/>
    <w:rsid w:val="00BC203D"/>
    <w:pPr>
      <w:ind w:left="720"/>
      <w:contextualSpacing/>
    </w:pPr>
    <w:rPr>
      <w:szCs w:val="24"/>
      <w:lang w:val="en-US"/>
    </w:rPr>
  </w:style>
  <w:style w:type="character" w:customStyle="1" w:styleId="Prompt">
    <w:name w:val="Prompt"/>
    <w:basedOn w:val="DefaultParagraphFont"/>
    <w:rsid w:val="00916B9A"/>
    <w:rPr>
      <w:color w:val="000000"/>
    </w:rPr>
  </w:style>
  <w:style w:type="character" w:customStyle="1" w:styleId="FooterChar">
    <w:name w:val="Footer Char"/>
    <w:basedOn w:val="DefaultParagraphFont"/>
    <w:link w:val="Footer"/>
    <w:uiPriority w:val="99"/>
    <w:rsid w:val="00961249"/>
    <w:rPr>
      <w:rFonts w:ascii="CG Times" w:hAnsi="CG Times"/>
      <w:sz w:val="16"/>
      <w:lang w:eastAsia="en-US"/>
    </w:rPr>
  </w:style>
  <w:style w:type="paragraph" w:customStyle="1" w:styleId="Para0">
    <w:name w:val="Para 0&quot;"/>
    <w:basedOn w:val="Normal"/>
    <w:qFormat/>
    <w:rsid w:val="00A862D6"/>
    <w:pPr>
      <w:spacing w:after="240" w:line="276" w:lineRule="auto"/>
    </w:pPr>
    <w:rPr>
      <w:rFonts w:eastAsiaTheme="minorHAnsi" w:cstheme="minorBidi"/>
    </w:rPr>
  </w:style>
  <w:style w:type="character" w:customStyle="1" w:styleId="SubtitleChar">
    <w:name w:val="Subtitle Char"/>
    <w:basedOn w:val="DefaultParagraphFont"/>
    <w:link w:val="Subtitle"/>
    <w:rsid w:val="00D851D2"/>
    <w:rPr>
      <w:rFonts w:ascii="Arial" w:hAnsi="Arial"/>
      <w:b/>
      <w:lang w:val="fr-CA" w:eastAsia="en-US"/>
    </w:rPr>
  </w:style>
  <w:style w:type="table" w:styleId="TableGrid">
    <w:name w:val="Table Grid"/>
    <w:basedOn w:val="TableNormal"/>
    <w:rsid w:val="00791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851D2"/>
    <w:rPr>
      <w:rFonts w:ascii="Arial" w:hAnsi="Arial"/>
      <w:b/>
      <w:bCs/>
    </w:rPr>
  </w:style>
  <w:style w:type="paragraph" w:customStyle="1" w:styleId="FRIndent">
    <w:name w:val="FRIndent"/>
    <w:basedOn w:val="Normal"/>
    <w:rsid w:val="00542B81"/>
    <w:pPr>
      <w:spacing w:after="240"/>
      <w:ind w:left="720"/>
    </w:pPr>
  </w:style>
  <w:style w:type="paragraph" w:styleId="Revision">
    <w:name w:val="Revision"/>
    <w:hidden/>
    <w:uiPriority w:val="99"/>
    <w:semiHidden/>
    <w:rsid w:val="001449C7"/>
    <w:rPr>
      <w:rFonts w:ascii="CG Times" w:hAnsi="CG Times"/>
      <w:sz w:val="22"/>
      <w:lang w:eastAsia="en-US"/>
    </w:rPr>
  </w:style>
  <w:style w:type="paragraph" w:customStyle="1" w:styleId="Textleft">
    <w:name w:val="Text left"/>
    <w:basedOn w:val="Normal"/>
    <w:rsid w:val="00DC1A3D"/>
    <w:pPr>
      <w:spacing w:before="240"/>
    </w:pPr>
    <w:rPr>
      <w:sz w:val="24"/>
    </w:rPr>
  </w:style>
  <w:style w:type="paragraph" w:customStyle="1" w:styleId="Definitions">
    <w:name w:val="Definitions"/>
    <w:basedOn w:val="Normal"/>
    <w:rsid w:val="00DC1A3D"/>
    <w:pPr>
      <w:spacing w:before="240"/>
      <w:ind w:firstLine="1440"/>
    </w:pPr>
    <w:rPr>
      <w:sz w:val="24"/>
    </w:rPr>
  </w:style>
  <w:style w:type="paragraph" w:customStyle="1" w:styleId="15indent">
    <w:name w:val="1.5indent"/>
    <w:basedOn w:val="Normal"/>
    <w:rsid w:val="00DC1A3D"/>
    <w:pPr>
      <w:spacing w:before="240"/>
      <w:ind w:left="2160"/>
    </w:pPr>
    <w:rPr>
      <w:sz w:val="24"/>
    </w:rPr>
  </w:style>
  <w:style w:type="paragraph" w:customStyle="1" w:styleId="TextJustified">
    <w:name w:val="Text Justified"/>
    <w:basedOn w:val="Normal"/>
    <w:rsid w:val="00D60FCC"/>
    <w:pPr>
      <w:spacing w:before="240"/>
    </w:pPr>
    <w:rPr>
      <w:sz w:val="24"/>
    </w:rPr>
  </w:style>
  <w:style w:type="table" w:customStyle="1" w:styleId="TableGrid1">
    <w:name w:val="Table Grid1"/>
    <w:basedOn w:val="TableNormal"/>
    <w:next w:val="TableGrid"/>
    <w:uiPriority w:val="59"/>
    <w:rsid w:val="0044177D"/>
    <w:rPr>
      <w:rFonts w:eastAsia="PMingLiU"/>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61074"/>
  </w:style>
  <w:style w:type="paragraph" w:styleId="BlockText">
    <w:name w:val="Block Text"/>
    <w:basedOn w:val="Normal"/>
    <w:rsid w:val="00B6107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B61074"/>
    <w:pPr>
      <w:spacing w:after="120" w:line="480" w:lineRule="auto"/>
    </w:pPr>
  </w:style>
  <w:style w:type="character" w:customStyle="1" w:styleId="BodyText2Char">
    <w:name w:val="Body Text 2 Char"/>
    <w:basedOn w:val="DefaultParagraphFont"/>
    <w:link w:val="BodyText2"/>
    <w:rsid w:val="00B61074"/>
    <w:rPr>
      <w:rFonts w:ascii="CG Times" w:hAnsi="CG Times"/>
      <w:sz w:val="22"/>
      <w:lang w:eastAsia="en-US"/>
    </w:rPr>
  </w:style>
  <w:style w:type="paragraph" w:styleId="BodyText3">
    <w:name w:val="Body Text 3"/>
    <w:basedOn w:val="Normal"/>
    <w:link w:val="BodyText3Char"/>
    <w:rsid w:val="00B61074"/>
    <w:pPr>
      <w:spacing w:after="120"/>
    </w:pPr>
    <w:rPr>
      <w:sz w:val="16"/>
      <w:szCs w:val="16"/>
    </w:rPr>
  </w:style>
  <w:style w:type="character" w:customStyle="1" w:styleId="BodyText3Char">
    <w:name w:val="Body Text 3 Char"/>
    <w:basedOn w:val="DefaultParagraphFont"/>
    <w:link w:val="BodyText3"/>
    <w:rsid w:val="00B61074"/>
    <w:rPr>
      <w:rFonts w:ascii="CG Times" w:hAnsi="CG Times"/>
      <w:sz w:val="16"/>
      <w:szCs w:val="16"/>
      <w:lang w:eastAsia="en-US"/>
    </w:rPr>
  </w:style>
  <w:style w:type="paragraph" w:styleId="BodyTextFirstIndent">
    <w:name w:val="Body Text First Indent"/>
    <w:basedOn w:val="BodyText"/>
    <w:link w:val="BodyTextFirstIndentChar"/>
    <w:rsid w:val="00B61074"/>
    <w:pPr>
      <w:keepNext w:val="0"/>
      <w:keepLines w:val="0"/>
      <w:widowControl/>
      <w:ind w:firstLine="360"/>
    </w:pPr>
    <w:rPr>
      <w:rFonts w:ascii="CG Times" w:hAnsi="CG Times"/>
      <w:snapToGrid/>
      <w:lang w:val="en-CA"/>
    </w:rPr>
  </w:style>
  <w:style w:type="character" w:customStyle="1" w:styleId="BodyTextChar">
    <w:name w:val="Body Text Char"/>
    <w:basedOn w:val="DefaultParagraphFont"/>
    <w:link w:val="BodyText"/>
    <w:rsid w:val="00B61074"/>
    <w:rPr>
      <w:snapToGrid w:val="0"/>
      <w:sz w:val="22"/>
      <w:lang w:val="en-US" w:eastAsia="en-US"/>
    </w:rPr>
  </w:style>
  <w:style w:type="character" w:customStyle="1" w:styleId="BodyTextFirstIndentChar">
    <w:name w:val="Body Text First Indent Char"/>
    <w:basedOn w:val="BodyTextChar"/>
    <w:link w:val="BodyTextFirstIndent"/>
    <w:rsid w:val="00B61074"/>
    <w:rPr>
      <w:rFonts w:ascii="CG Times" w:hAnsi="CG Times"/>
      <w:snapToGrid/>
      <w:sz w:val="22"/>
      <w:lang w:val="en-US" w:eastAsia="en-US"/>
    </w:rPr>
  </w:style>
  <w:style w:type="paragraph" w:styleId="BodyTextFirstIndent2">
    <w:name w:val="Body Text First Indent 2"/>
    <w:basedOn w:val="BodyTextIndent"/>
    <w:link w:val="BodyTextFirstIndent2Char"/>
    <w:rsid w:val="00B61074"/>
    <w:pPr>
      <w:tabs>
        <w:tab w:val="clear" w:pos="0"/>
        <w:tab w:val="clear" w:pos="720"/>
        <w:tab w:val="clear" w:pos="1728"/>
        <w:tab w:val="clear" w:pos="2160"/>
        <w:tab w:val="clear" w:pos="2880"/>
        <w:tab w:val="clear" w:pos="3600"/>
        <w:tab w:val="clear" w:pos="4320"/>
        <w:tab w:val="clear" w:pos="5040"/>
        <w:tab w:val="clear" w:pos="5760"/>
        <w:tab w:val="clear" w:pos="6480"/>
        <w:tab w:val="clear" w:pos="7200"/>
        <w:tab w:val="clear" w:pos="7488"/>
        <w:tab w:val="clear" w:pos="8640"/>
        <w:tab w:val="clear" w:pos="9360"/>
      </w:tabs>
      <w:ind w:left="360" w:firstLine="360"/>
    </w:pPr>
  </w:style>
  <w:style w:type="character" w:customStyle="1" w:styleId="BodyTextIndentChar">
    <w:name w:val="Body Text Indent Char"/>
    <w:basedOn w:val="DefaultParagraphFont"/>
    <w:link w:val="BodyTextIndent"/>
    <w:rsid w:val="00B61074"/>
    <w:rPr>
      <w:rFonts w:ascii="CG Times" w:hAnsi="CG Times"/>
      <w:sz w:val="22"/>
      <w:lang w:eastAsia="en-US"/>
    </w:rPr>
  </w:style>
  <w:style w:type="character" w:customStyle="1" w:styleId="BodyTextFirstIndent2Char">
    <w:name w:val="Body Text First Indent 2 Char"/>
    <w:basedOn w:val="BodyTextIndentChar"/>
    <w:link w:val="BodyTextFirstIndent2"/>
    <w:rsid w:val="00B61074"/>
    <w:rPr>
      <w:rFonts w:ascii="CG Times" w:hAnsi="CG Times"/>
      <w:sz w:val="22"/>
      <w:lang w:eastAsia="en-US"/>
    </w:rPr>
  </w:style>
  <w:style w:type="paragraph" w:styleId="Caption">
    <w:name w:val="caption"/>
    <w:basedOn w:val="Normal"/>
    <w:next w:val="Normal"/>
    <w:semiHidden/>
    <w:unhideWhenUsed/>
    <w:qFormat/>
    <w:rsid w:val="00B61074"/>
    <w:pPr>
      <w:spacing w:after="200"/>
    </w:pPr>
    <w:rPr>
      <w:b/>
      <w:bCs/>
      <w:color w:val="4F81BD" w:themeColor="accent1"/>
      <w:sz w:val="18"/>
      <w:szCs w:val="18"/>
    </w:rPr>
  </w:style>
  <w:style w:type="paragraph" w:styleId="Closing">
    <w:name w:val="Closing"/>
    <w:basedOn w:val="Normal"/>
    <w:link w:val="ClosingChar"/>
    <w:rsid w:val="00B61074"/>
    <w:pPr>
      <w:ind w:left="4252"/>
    </w:pPr>
  </w:style>
  <w:style w:type="character" w:customStyle="1" w:styleId="ClosingChar">
    <w:name w:val="Closing Char"/>
    <w:basedOn w:val="DefaultParagraphFont"/>
    <w:link w:val="Closing"/>
    <w:rsid w:val="00B61074"/>
    <w:rPr>
      <w:rFonts w:ascii="CG Times" w:hAnsi="CG Times"/>
      <w:sz w:val="22"/>
      <w:lang w:eastAsia="en-US"/>
    </w:rPr>
  </w:style>
  <w:style w:type="paragraph" w:styleId="Date">
    <w:name w:val="Date"/>
    <w:basedOn w:val="Normal"/>
    <w:next w:val="Normal"/>
    <w:link w:val="DateChar"/>
    <w:rsid w:val="00B61074"/>
  </w:style>
  <w:style w:type="character" w:customStyle="1" w:styleId="DateChar">
    <w:name w:val="Date Char"/>
    <w:basedOn w:val="DefaultParagraphFont"/>
    <w:link w:val="Date"/>
    <w:rsid w:val="00B61074"/>
    <w:rPr>
      <w:rFonts w:ascii="CG Times" w:hAnsi="CG Times"/>
      <w:sz w:val="22"/>
      <w:lang w:eastAsia="en-US"/>
    </w:rPr>
  </w:style>
  <w:style w:type="paragraph" w:styleId="DocumentMap">
    <w:name w:val="Document Map"/>
    <w:basedOn w:val="Normal"/>
    <w:link w:val="DocumentMapChar"/>
    <w:rsid w:val="00B61074"/>
    <w:rPr>
      <w:rFonts w:ascii="Tahoma" w:hAnsi="Tahoma" w:cs="Tahoma"/>
      <w:sz w:val="16"/>
      <w:szCs w:val="16"/>
    </w:rPr>
  </w:style>
  <w:style w:type="character" w:customStyle="1" w:styleId="DocumentMapChar">
    <w:name w:val="Document Map Char"/>
    <w:basedOn w:val="DefaultParagraphFont"/>
    <w:link w:val="DocumentMap"/>
    <w:rsid w:val="00B61074"/>
    <w:rPr>
      <w:rFonts w:ascii="Tahoma" w:hAnsi="Tahoma" w:cs="Tahoma"/>
      <w:sz w:val="16"/>
      <w:szCs w:val="16"/>
      <w:lang w:eastAsia="en-US"/>
    </w:rPr>
  </w:style>
  <w:style w:type="paragraph" w:styleId="E-mailSignature">
    <w:name w:val="E-mail Signature"/>
    <w:basedOn w:val="Normal"/>
    <w:link w:val="E-mailSignatureChar"/>
    <w:rsid w:val="00B61074"/>
  </w:style>
  <w:style w:type="character" w:customStyle="1" w:styleId="E-mailSignatureChar">
    <w:name w:val="E-mail Signature Char"/>
    <w:basedOn w:val="DefaultParagraphFont"/>
    <w:link w:val="E-mailSignature"/>
    <w:rsid w:val="00B61074"/>
    <w:rPr>
      <w:rFonts w:ascii="CG Times" w:hAnsi="CG Times"/>
      <w:sz w:val="22"/>
      <w:lang w:eastAsia="en-US"/>
    </w:rPr>
  </w:style>
  <w:style w:type="paragraph" w:styleId="EndnoteText">
    <w:name w:val="endnote text"/>
    <w:basedOn w:val="Normal"/>
    <w:link w:val="EndnoteTextChar"/>
    <w:rsid w:val="00B61074"/>
  </w:style>
  <w:style w:type="character" w:customStyle="1" w:styleId="EndnoteTextChar">
    <w:name w:val="Endnote Text Char"/>
    <w:basedOn w:val="DefaultParagraphFont"/>
    <w:link w:val="EndnoteText"/>
    <w:rsid w:val="00B61074"/>
    <w:rPr>
      <w:rFonts w:ascii="CG Times" w:hAnsi="CG Times"/>
      <w:lang w:eastAsia="en-US"/>
    </w:rPr>
  </w:style>
  <w:style w:type="paragraph" w:styleId="EnvelopeAddress">
    <w:name w:val="envelope address"/>
    <w:basedOn w:val="Normal"/>
    <w:rsid w:val="00B6107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B61074"/>
    <w:rPr>
      <w:rFonts w:asciiTheme="majorHAnsi" w:eastAsiaTheme="majorEastAsia" w:hAnsiTheme="majorHAnsi" w:cstheme="majorBidi"/>
    </w:rPr>
  </w:style>
  <w:style w:type="paragraph" w:styleId="FootnoteText">
    <w:name w:val="footnote text"/>
    <w:aliases w:val="fn,Car"/>
    <w:basedOn w:val="Normal"/>
    <w:link w:val="FootnoteTextChar"/>
    <w:uiPriority w:val="99"/>
    <w:qFormat/>
    <w:rsid w:val="00B61074"/>
  </w:style>
  <w:style w:type="character" w:customStyle="1" w:styleId="FootnoteTextChar">
    <w:name w:val="Footnote Text Char"/>
    <w:aliases w:val="fn Char,Car Char"/>
    <w:basedOn w:val="DefaultParagraphFont"/>
    <w:link w:val="FootnoteText"/>
    <w:uiPriority w:val="99"/>
    <w:rsid w:val="00B61074"/>
    <w:rPr>
      <w:rFonts w:ascii="CG Times" w:hAnsi="CG Times"/>
      <w:lang w:eastAsia="en-US"/>
    </w:rPr>
  </w:style>
  <w:style w:type="paragraph" w:styleId="HTMLAddress">
    <w:name w:val="HTML Address"/>
    <w:basedOn w:val="Normal"/>
    <w:link w:val="HTMLAddressChar"/>
    <w:rsid w:val="00B61074"/>
    <w:rPr>
      <w:i/>
      <w:iCs/>
    </w:rPr>
  </w:style>
  <w:style w:type="character" w:customStyle="1" w:styleId="HTMLAddressChar">
    <w:name w:val="HTML Address Char"/>
    <w:basedOn w:val="DefaultParagraphFont"/>
    <w:link w:val="HTMLAddress"/>
    <w:rsid w:val="00B61074"/>
    <w:rPr>
      <w:rFonts w:ascii="CG Times" w:hAnsi="CG Times"/>
      <w:i/>
      <w:iCs/>
      <w:sz w:val="22"/>
      <w:lang w:eastAsia="en-US"/>
    </w:rPr>
  </w:style>
  <w:style w:type="paragraph" w:styleId="HTMLPreformatted">
    <w:name w:val="HTML Preformatted"/>
    <w:basedOn w:val="Normal"/>
    <w:link w:val="HTMLPreformattedChar"/>
    <w:rsid w:val="00B61074"/>
    <w:rPr>
      <w:rFonts w:ascii="Consolas" w:hAnsi="Consolas" w:cs="Consolas"/>
    </w:rPr>
  </w:style>
  <w:style w:type="character" w:customStyle="1" w:styleId="HTMLPreformattedChar">
    <w:name w:val="HTML Preformatted Char"/>
    <w:basedOn w:val="DefaultParagraphFont"/>
    <w:link w:val="HTMLPreformatted"/>
    <w:rsid w:val="00B61074"/>
    <w:rPr>
      <w:rFonts w:ascii="Consolas" w:hAnsi="Consolas" w:cs="Consolas"/>
      <w:lang w:eastAsia="en-US"/>
    </w:rPr>
  </w:style>
  <w:style w:type="paragraph" w:styleId="Index1">
    <w:name w:val="index 1"/>
    <w:basedOn w:val="Normal"/>
    <w:next w:val="Normal"/>
    <w:autoRedefine/>
    <w:rsid w:val="00B61074"/>
    <w:pPr>
      <w:ind w:left="220" w:hanging="220"/>
    </w:pPr>
  </w:style>
  <w:style w:type="paragraph" w:styleId="Index2">
    <w:name w:val="index 2"/>
    <w:basedOn w:val="Normal"/>
    <w:next w:val="Normal"/>
    <w:autoRedefine/>
    <w:rsid w:val="00B61074"/>
    <w:pPr>
      <w:ind w:left="440" w:hanging="220"/>
    </w:pPr>
  </w:style>
  <w:style w:type="paragraph" w:styleId="Index3">
    <w:name w:val="index 3"/>
    <w:basedOn w:val="Normal"/>
    <w:next w:val="Normal"/>
    <w:autoRedefine/>
    <w:rsid w:val="00B61074"/>
    <w:pPr>
      <w:ind w:left="660" w:hanging="220"/>
    </w:pPr>
  </w:style>
  <w:style w:type="paragraph" w:styleId="Index4">
    <w:name w:val="index 4"/>
    <w:basedOn w:val="Normal"/>
    <w:next w:val="Normal"/>
    <w:autoRedefine/>
    <w:rsid w:val="00B61074"/>
    <w:pPr>
      <w:ind w:left="880" w:hanging="220"/>
    </w:pPr>
  </w:style>
  <w:style w:type="paragraph" w:styleId="Index5">
    <w:name w:val="index 5"/>
    <w:basedOn w:val="Normal"/>
    <w:next w:val="Normal"/>
    <w:autoRedefine/>
    <w:rsid w:val="00B61074"/>
    <w:pPr>
      <w:ind w:left="1100" w:hanging="220"/>
    </w:pPr>
  </w:style>
  <w:style w:type="paragraph" w:styleId="Index6">
    <w:name w:val="index 6"/>
    <w:basedOn w:val="Normal"/>
    <w:next w:val="Normal"/>
    <w:autoRedefine/>
    <w:rsid w:val="00B61074"/>
    <w:pPr>
      <w:ind w:left="1320" w:hanging="220"/>
    </w:pPr>
  </w:style>
  <w:style w:type="paragraph" w:styleId="Index7">
    <w:name w:val="index 7"/>
    <w:basedOn w:val="Normal"/>
    <w:next w:val="Normal"/>
    <w:autoRedefine/>
    <w:rsid w:val="00B61074"/>
    <w:pPr>
      <w:ind w:left="1540" w:hanging="220"/>
    </w:pPr>
  </w:style>
  <w:style w:type="paragraph" w:styleId="Index8">
    <w:name w:val="index 8"/>
    <w:basedOn w:val="Normal"/>
    <w:next w:val="Normal"/>
    <w:autoRedefine/>
    <w:rsid w:val="00B61074"/>
    <w:pPr>
      <w:ind w:left="1760" w:hanging="220"/>
    </w:pPr>
  </w:style>
  <w:style w:type="paragraph" w:styleId="Index9">
    <w:name w:val="index 9"/>
    <w:basedOn w:val="Normal"/>
    <w:next w:val="Normal"/>
    <w:autoRedefine/>
    <w:rsid w:val="00B61074"/>
    <w:pPr>
      <w:ind w:left="1980" w:hanging="220"/>
    </w:pPr>
  </w:style>
  <w:style w:type="paragraph" w:styleId="IndexHeading">
    <w:name w:val="index heading"/>
    <w:basedOn w:val="Normal"/>
    <w:next w:val="Index1"/>
    <w:rsid w:val="00B6107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610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61074"/>
    <w:rPr>
      <w:rFonts w:ascii="CG Times" w:hAnsi="CG Times"/>
      <w:b/>
      <w:bCs/>
      <w:i/>
      <w:iCs/>
      <w:color w:val="4F81BD" w:themeColor="accent1"/>
      <w:sz w:val="22"/>
      <w:lang w:eastAsia="en-US"/>
    </w:rPr>
  </w:style>
  <w:style w:type="paragraph" w:styleId="List">
    <w:name w:val="List"/>
    <w:basedOn w:val="Normal"/>
    <w:rsid w:val="00B61074"/>
    <w:pPr>
      <w:ind w:left="283" w:hanging="283"/>
      <w:contextualSpacing/>
    </w:pPr>
  </w:style>
  <w:style w:type="paragraph" w:styleId="List2">
    <w:name w:val="List 2"/>
    <w:basedOn w:val="Normal"/>
    <w:rsid w:val="00B61074"/>
    <w:pPr>
      <w:ind w:left="566" w:hanging="283"/>
      <w:contextualSpacing/>
    </w:pPr>
  </w:style>
  <w:style w:type="paragraph" w:styleId="List3">
    <w:name w:val="List 3"/>
    <w:basedOn w:val="Normal"/>
    <w:rsid w:val="00B61074"/>
    <w:pPr>
      <w:ind w:left="849" w:hanging="283"/>
      <w:contextualSpacing/>
    </w:pPr>
  </w:style>
  <w:style w:type="paragraph" w:styleId="List4">
    <w:name w:val="List 4"/>
    <w:basedOn w:val="Normal"/>
    <w:rsid w:val="00B61074"/>
    <w:pPr>
      <w:ind w:left="1132" w:hanging="283"/>
      <w:contextualSpacing/>
    </w:pPr>
  </w:style>
  <w:style w:type="paragraph" w:styleId="List5">
    <w:name w:val="List 5"/>
    <w:basedOn w:val="Normal"/>
    <w:rsid w:val="00B61074"/>
    <w:pPr>
      <w:ind w:left="1415" w:hanging="283"/>
      <w:contextualSpacing/>
    </w:pPr>
  </w:style>
  <w:style w:type="paragraph" w:styleId="ListBullet">
    <w:name w:val="List Bullet"/>
    <w:basedOn w:val="Normal"/>
    <w:rsid w:val="00B61074"/>
    <w:pPr>
      <w:numPr>
        <w:numId w:val="2"/>
      </w:numPr>
      <w:contextualSpacing/>
    </w:pPr>
  </w:style>
  <w:style w:type="paragraph" w:styleId="ListBullet2">
    <w:name w:val="List Bullet 2"/>
    <w:basedOn w:val="Normal"/>
    <w:rsid w:val="00B61074"/>
    <w:pPr>
      <w:numPr>
        <w:numId w:val="3"/>
      </w:numPr>
      <w:contextualSpacing/>
    </w:pPr>
  </w:style>
  <w:style w:type="paragraph" w:styleId="ListBullet3">
    <w:name w:val="List Bullet 3"/>
    <w:basedOn w:val="Normal"/>
    <w:rsid w:val="00B61074"/>
    <w:pPr>
      <w:numPr>
        <w:numId w:val="4"/>
      </w:numPr>
      <w:contextualSpacing/>
    </w:pPr>
  </w:style>
  <w:style w:type="paragraph" w:styleId="ListBullet4">
    <w:name w:val="List Bullet 4"/>
    <w:basedOn w:val="Normal"/>
    <w:rsid w:val="00B61074"/>
    <w:pPr>
      <w:numPr>
        <w:numId w:val="5"/>
      </w:numPr>
      <w:contextualSpacing/>
    </w:pPr>
  </w:style>
  <w:style w:type="paragraph" w:styleId="ListBullet5">
    <w:name w:val="List Bullet 5"/>
    <w:basedOn w:val="Normal"/>
    <w:rsid w:val="00B61074"/>
    <w:pPr>
      <w:numPr>
        <w:numId w:val="6"/>
      </w:numPr>
      <w:contextualSpacing/>
    </w:pPr>
  </w:style>
  <w:style w:type="paragraph" w:styleId="ListContinue">
    <w:name w:val="List Continue"/>
    <w:basedOn w:val="Normal"/>
    <w:rsid w:val="00B61074"/>
    <w:pPr>
      <w:spacing w:after="120"/>
      <w:ind w:left="283"/>
      <w:contextualSpacing/>
    </w:pPr>
  </w:style>
  <w:style w:type="paragraph" w:styleId="ListContinue2">
    <w:name w:val="List Continue 2"/>
    <w:basedOn w:val="Normal"/>
    <w:rsid w:val="00B61074"/>
    <w:pPr>
      <w:spacing w:after="120"/>
      <w:ind w:left="566"/>
      <w:contextualSpacing/>
    </w:pPr>
  </w:style>
  <w:style w:type="paragraph" w:styleId="ListContinue3">
    <w:name w:val="List Continue 3"/>
    <w:basedOn w:val="Normal"/>
    <w:rsid w:val="00B61074"/>
    <w:pPr>
      <w:spacing w:after="120"/>
      <w:ind w:left="849"/>
      <w:contextualSpacing/>
    </w:pPr>
  </w:style>
  <w:style w:type="paragraph" w:styleId="ListContinue4">
    <w:name w:val="List Continue 4"/>
    <w:basedOn w:val="Normal"/>
    <w:rsid w:val="00B61074"/>
    <w:pPr>
      <w:spacing w:after="120"/>
      <w:ind w:left="1132"/>
      <w:contextualSpacing/>
    </w:pPr>
  </w:style>
  <w:style w:type="paragraph" w:styleId="ListContinue5">
    <w:name w:val="List Continue 5"/>
    <w:basedOn w:val="Normal"/>
    <w:rsid w:val="00B61074"/>
    <w:pPr>
      <w:spacing w:after="120"/>
      <w:ind w:left="1415"/>
      <w:contextualSpacing/>
    </w:pPr>
  </w:style>
  <w:style w:type="paragraph" w:styleId="ListNumber">
    <w:name w:val="List Number"/>
    <w:basedOn w:val="Normal"/>
    <w:rsid w:val="00C30ADA"/>
    <w:pPr>
      <w:keepNext/>
      <w:numPr>
        <w:numId w:val="10"/>
      </w:numPr>
      <w:spacing w:after="50"/>
      <w:ind w:left="1080"/>
    </w:pPr>
    <w:rPr>
      <w:b/>
      <w:u w:val="single"/>
    </w:rPr>
  </w:style>
  <w:style w:type="paragraph" w:styleId="ListNumber2">
    <w:name w:val="List Number 2"/>
    <w:basedOn w:val="Normal"/>
    <w:rsid w:val="00B61074"/>
    <w:pPr>
      <w:numPr>
        <w:numId w:val="7"/>
      </w:numPr>
      <w:contextualSpacing/>
    </w:pPr>
  </w:style>
  <w:style w:type="paragraph" w:styleId="ListNumber3">
    <w:name w:val="List Number 3"/>
    <w:basedOn w:val="Normal"/>
    <w:rsid w:val="00B61074"/>
    <w:pPr>
      <w:numPr>
        <w:numId w:val="8"/>
      </w:numPr>
      <w:contextualSpacing/>
    </w:pPr>
  </w:style>
  <w:style w:type="paragraph" w:styleId="ListNumber4">
    <w:name w:val="List Number 4"/>
    <w:basedOn w:val="Normal"/>
    <w:rsid w:val="00B61074"/>
    <w:pPr>
      <w:numPr>
        <w:numId w:val="9"/>
      </w:numPr>
      <w:contextualSpacing/>
    </w:pPr>
  </w:style>
  <w:style w:type="paragraph" w:styleId="ListNumber5">
    <w:name w:val="List Number 5"/>
    <w:basedOn w:val="Normal"/>
    <w:rsid w:val="00B61074"/>
    <w:pPr>
      <w:contextualSpacing/>
    </w:pPr>
  </w:style>
  <w:style w:type="paragraph" w:styleId="MacroText">
    <w:name w:val="macro"/>
    <w:link w:val="MacroTextChar"/>
    <w:rsid w:val="00B6107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rsid w:val="00B61074"/>
    <w:rPr>
      <w:rFonts w:ascii="Consolas" w:hAnsi="Consolas" w:cs="Consolas"/>
      <w:lang w:eastAsia="en-US"/>
    </w:rPr>
  </w:style>
  <w:style w:type="paragraph" w:styleId="MessageHeader">
    <w:name w:val="Message Header"/>
    <w:basedOn w:val="Normal"/>
    <w:link w:val="MessageHeaderChar"/>
    <w:rsid w:val="00B6107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6107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D851D2"/>
    <w:pPr>
      <w:jc w:val="both"/>
    </w:pPr>
    <w:rPr>
      <w:sz w:val="22"/>
      <w:lang w:eastAsia="en-US"/>
    </w:rPr>
  </w:style>
  <w:style w:type="paragraph" w:styleId="NormalWeb">
    <w:name w:val="Normal (Web)"/>
    <w:basedOn w:val="Normal"/>
    <w:rsid w:val="00B61074"/>
    <w:rPr>
      <w:sz w:val="24"/>
      <w:szCs w:val="24"/>
    </w:rPr>
  </w:style>
  <w:style w:type="paragraph" w:styleId="NormalIndent">
    <w:name w:val="Normal Indent"/>
    <w:basedOn w:val="Normal"/>
    <w:rsid w:val="00B61074"/>
    <w:pPr>
      <w:ind w:left="720"/>
    </w:pPr>
  </w:style>
  <w:style w:type="paragraph" w:styleId="NoteHeading">
    <w:name w:val="Note Heading"/>
    <w:basedOn w:val="Normal"/>
    <w:next w:val="Normal"/>
    <w:link w:val="NoteHeadingChar"/>
    <w:rsid w:val="00B61074"/>
  </w:style>
  <w:style w:type="character" w:customStyle="1" w:styleId="NoteHeadingChar">
    <w:name w:val="Note Heading Char"/>
    <w:basedOn w:val="DefaultParagraphFont"/>
    <w:link w:val="NoteHeading"/>
    <w:rsid w:val="00B61074"/>
    <w:rPr>
      <w:rFonts w:ascii="CG Times" w:hAnsi="CG Times"/>
      <w:sz w:val="22"/>
      <w:lang w:eastAsia="en-US"/>
    </w:rPr>
  </w:style>
  <w:style w:type="paragraph" w:styleId="PlainText">
    <w:name w:val="Plain Text"/>
    <w:basedOn w:val="Normal"/>
    <w:link w:val="PlainTextChar"/>
    <w:rsid w:val="00B61074"/>
    <w:rPr>
      <w:rFonts w:ascii="Consolas" w:hAnsi="Consolas" w:cs="Consolas"/>
      <w:sz w:val="21"/>
      <w:szCs w:val="21"/>
    </w:rPr>
  </w:style>
  <w:style w:type="character" w:customStyle="1" w:styleId="PlainTextChar">
    <w:name w:val="Plain Text Char"/>
    <w:basedOn w:val="DefaultParagraphFont"/>
    <w:link w:val="PlainText"/>
    <w:rsid w:val="00B61074"/>
    <w:rPr>
      <w:rFonts w:ascii="Consolas" w:hAnsi="Consolas" w:cs="Consolas"/>
      <w:sz w:val="21"/>
      <w:szCs w:val="21"/>
      <w:lang w:eastAsia="en-US"/>
    </w:rPr>
  </w:style>
  <w:style w:type="paragraph" w:styleId="Quote">
    <w:name w:val="Quote"/>
    <w:basedOn w:val="Normal"/>
    <w:next w:val="Normal"/>
    <w:link w:val="QuoteChar"/>
    <w:uiPriority w:val="29"/>
    <w:qFormat/>
    <w:rsid w:val="00B61074"/>
    <w:rPr>
      <w:i/>
      <w:iCs/>
      <w:color w:val="000000" w:themeColor="text1"/>
    </w:rPr>
  </w:style>
  <w:style w:type="character" w:customStyle="1" w:styleId="QuoteChar">
    <w:name w:val="Quote Char"/>
    <w:basedOn w:val="DefaultParagraphFont"/>
    <w:link w:val="Quote"/>
    <w:uiPriority w:val="29"/>
    <w:rsid w:val="00B61074"/>
    <w:rPr>
      <w:rFonts w:ascii="CG Times" w:hAnsi="CG Times"/>
      <w:i/>
      <w:iCs/>
      <w:color w:val="000000" w:themeColor="text1"/>
      <w:sz w:val="22"/>
      <w:lang w:eastAsia="en-US"/>
    </w:rPr>
  </w:style>
  <w:style w:type="paragraph" w:styleId="Salutation">
    <w:name w:val="Salutation"/>
    <w:basedOn w:val="Normal"/>
    <w:next w:val="Normal"/>
    <w:link w:val="SalutationChar"/>
    <w:rsid w:val="00B61074"/>
  </w:style>
  <w:style w:type="character" w:customStyle="1" w:styleId="SalutationChar">
    <w:name w:val="Salutation Char"/>
    <w:basedOn w:val="DefaultParagraphFont"/>
    <w:link w:val="Salutation"/>
    <w:rsid w:val="00B61074"/>
    <w:rPr>
      <w:rFonts w:ascii="CG Times" w:hAnsi="CG Times"/>
      <w:sz w:val="22"/>
      <w:lang w:eastAsia="en-US"/>
    </w:rPr>
  </w:style>
  <w:style w:type="paragraph" w:styleId="Signature">
    <w:name w:val="Signature"/>
    <w:basedOn w:val="Normal"/>
    <w:link w:val="SignatureChar"/>
    <w:rsid w:val="00B61074"/>
    <w:pPr>
      <w:ind w:left="4252"/>
    </w:pPr>
  </w:style>
  <w:style w:type="character" w:customStyle="1" w:styleId="SignatureChar">
    <w:name w:val="Signature Char"/>
    <w:basedOn w:val="DefaultParagraphFont"/>
    <w:link w:val="Signature"/>
    <w:rsid w:val="00B61074"/>
    <w:rPr>
      <w:rFonts w:ascii="CG Times" w:hAnsi="CG Times"/>
      <w:sz w:val="22"/>
      <w:lang w:eastAsia="en-US"/>
    </w:rPr>
  </w:style>
  <w:style w:type="paragraph" w:styleId="TableofAuthorities">
    <w:name w:val="table of authorities"/>
    <w:basedOn w:val="Normal"/>
    <w:next w:val="Normal"/>
    <w:rsid w:val="00B61074"/>
    <w:pPr>
      <w:ind w:left="220" w:hanging="220"/>
    </w:pPr>
  </w:style>
  <w:style w:type="paragraph" w:styleId="TableofFigures">
    <w:name w:val="table of figures"/>
    <w:basedOn w:val="Normal"/>
    <w:next w:val="Normal"/>
    <w:rsid w:val="00B61074"/>
  </w:style>
  <w:style w:type="paragraph" w:styleId="TOAHeading">
    <w:name w:val="toa heading"/>
    <w:basedOn w:val="Normal"/>
    <w:next w:val="Normal"/>
    <w:rsid w:val="00B6107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B61074"/>
    <w:pPr>
      <w:spacing w:after="100"/>
    </w:pPr>
  </w:style>
  <w:style w:type="paragraph" w:styleId="TOC2">
    <w:name w:val="toc 2"/>
    <w:basedOn w:val="Normal"/>
    <w:next w:val="Normal"/>
    <w:autoRedefine/>
    <w:rsid w:val="00B61074"/>
    <w:pPr>
      <w:spacing w:after="100"/>
      <w:ind w:left="220"/>
    </w:pPr>
  </w:style>
  <w:style w:type="paragraph" w:styleId="TOC3">
    <w:name w:val="toc 3"/>
    <w:basedOn w:val="Normal"/>
    <w:next w:val="Normal"/>
    <w:autoRedefine/>
    <w:rsid w:val="00B61074"/>
    <w:pPr>
      <w:spacing w:after="100"/>
      <w:ind w:left="440"/>
    </w:pPr>
  </w:style>
  <w:style w:type="paragraph" w:styleId="TOC4">
    <w:name w:val="toc 4"/>
    <w:basedOn w:val="Normal"/>
    <w:next w:val="Normal"/>
    <w:autoRedefine/>
    <w:rsid w:val="00B61074"/>
    <w:pPr>
      <w:spacing w:after="100"/>
      <w:ind w:left="660"/>
    </w:pPr>
  </w:style>
  <w:style w:type="paragraph" w:styleId="TOC5">
    <w:name w:val="toc 5"/>
    <w:basedOn w:val="Normal"/>
    <w:next w:val="Normal"/>
    <w:autoRedefine/>
    <w:rsid w:val="00B61074"/>
    <w:pPr>
      <w:spacing w:after="100"/>
      <w:ind w:left="880"/>
    </w:pPr>
  </w:style>
  <w:style w:type="paragraph" w:styleId="TOC6">
    <w:name w:val="toc 6"/>
    <w:basedOn w:val="Normal"/>
    <w:next w:val="Normal"/>
    <w:autoRedefine/>
    <w:rsid w:val="00B61074"/>
    <w:pPr>
      <w:spacing w:after="100"/>
      <w:ind w:left="1100"/>
    </w:pPr>
  </w:style>
  <w:style w:type="paragraph" w:styleId="TOC7">
    <w:name w:val="toc 7"/>
    <w:basedOn w:val="Normal"/>
    <w:next w:val="Normal"/>
    <w:autoRedefine/>
    <w:rsid w:val="00B61074"/>
    <w:pPr>
      <w:spacing w:after="100"/>
      <w:ind w:left="1320"/>
    </w:pPr>
  </w:style>
  <w:style w:type="paragraph" w:styleId="TOC8">
    <w:name w:val="toc 8"/>
    <w:basedOn w:val="Normal"/>
    <w:next w:val="Normal"/>
    <w:autoRedefine/>
    <w:rsid w:val="00B61074"/>
    <w:pPr>
      <w:spacing w:after="100"/>
      <w:ind w:left="1540"/>
    </w:pPr>
  </w:style>
  <w:style w:type="paragraph" w:styleId="TOC9">
    <w:name w:val="toc 9"/>
    <w:basedOn w:val="Normal"/>
    <w:next w:val="Normal"/>
    <w:autoRedefine/>
    <w:rsid w:val="00B61074"/>
    <w:pPr>
      <w:spacing w:after="100"/>
      <w:ind w:left="1760"/>
    </w:pPr>
  </w:style>
  <w:style w:type="paragraph" w:styleId="TOCHeading">
    <w:name w:val="TOC Heading"/>
    <w:basedOn w:val="Heading1"/>
    <w:next w:val="Normal"/>
    <w:uiPriority w:val="39"/>
    <w:semiHidden/>
    <w:unhideWhenUsed/>
    <w:qFormat/>
    <w:rsid w:val="00B61074"/>
    <w:pPr>
      <w:spacing w:before="480" w:after="0"/>
      <w:jc w:val="both"/>
      <w:outlineLvl w:val="9"/>
    </w:pPr>
    <w:rPr>
      <w:rFonts w:asciiTheme="majorHAnsi" w:eastAsiaTheme="majorEastAsia" w:hAnsiTheme="majorHAnsi" w:cstheme="majorBidi"/>
      <w:bCs/>
      <w:color w:val="365F91" w:themeColor="accent1" w:themeShade="BF"/>
      <w:sz w:val="28"/>
      <w:szCs w:val="28"/>
    </w:rPr>
  </w:style>
  <w:style w:type="character" w:customStyle="1" w:styleId="Heading2Char">
    <w:name w:val="Heading 2 Char"/>
    <w:aliases w:val="h2 Char,FOL L2 Char"/>
    <w:basedOn w:val="DefaultParagraphFont"/>
    <w:link w:val="Heading2"/>
    <w:uiPriority w:val="9"/>
    <w:rsid w:val="00DC7949"/>
    <w:rPr>
      <w:rFonts w:ascii="Arial" w:hAnsi="Arial"/>
      <w:color w:val="000000"/>
      <w:lang w:val="fr-CA" w:eastAsia="en-US"/>
    </w:rPr>
  </w:style>
  <w:style w:type="character" w:customStyle="1" w:styleId="HeaderChar">
    <w:name w:val="Header Char"/>
    <w:basedOn w:val="DefaultParagraphFont"/>
    <w:link w:val="Header"/>
    <w:rsid w:val="0088765B"/>
    <w:rPr>
      <w:lang w:eastAsia="en-US"/>
    </w:rPr>
  </w:style>
  <w:style w:type="character" w:customStyle="1" w:styleId="Heading4Char">
    <w:name w:val="Heading 4 Char"/>
    <w:aliases w:val="h4 Char,FOL L4 Char"/>
    <w:basedOn w:val="DefaultParagraphFont"/>
    <w:link w:val="Heading4"/>
    <w:uiPriority w:val="9"/>
    <w:rsid w:val="002018F1"/>
    <w:rPr>
      <w:rFonts w:ascii="Arial" w:hAnsi="Arial"/>
      <w:color w:val="000000"/>
      <w:lang w:val="fr-CA" w:eastAsia="en-US"/>
    </w:rPr>
  </w:style>
  <w:style w:type="paragraph" w:customStyle="1" w:styleId="TextLeft0">
    <w:name w:val="Text Left"/>
    <w:basedOn w:val="Normal"/>
    <w:qFormat/>
    <w:rsid w:val="00663B8D"/>
    <w:pPr>
      <w:spacing w:after="240" w:line="276" w:lineRule="auto"/>
    </w:pPr>
    <w:rPr>
      <w:rFonts w:eastAsiaTheme="minorHAnsi" w:cstheme="minorBidi"/>
    </w:rPr>
  </w:style>
  <w:style w:type="character" w:styleId="Emphasis">
    <w:name w:val="Emphasis"/>
    <w:basedOn w:val="DefaultParagraphFont"/>
    <w:qFormat/>
    <w:rsid w:val="00F9172F"/>
    <w:rPr>
      <w:i/>
      <w:iCs/>
    </w:rPr>
  </w:style>
  <w:style w:type="paragraph" w:customStyle="1" w:styleId="FOLHeading">
    <w:name w:val="FOL Heading"/>
    <w:link w:val="FOLHeadingChar"/>
    <w:qFormat/>
    <w:rsid w:val="007F68FF"/>
    <w:pPr>
      <w:keepNext/>
      <w:spacing w:after="240"/>
    </w:pPr>
    <w:rPr>
      <w:b/>
      <w:color w:val="FF0000"/>
      <w:sz w:val="32"/>
      <w:lang w:val="fr-CA" w:eastAsia="en-US"/>
    </w:rPr>
  </w:style>
  <w:style w:type="paragraph" w:customStyle="1" w:styleId="FOLLevel2a">
    <w:name w:val="FOL Level 2a"/>
    <w:basedOn w:val="Heading2"/>
    <w:next w:val="Normal"/>
    <w:link w:val="FOLLevel2aChar"/>
    <w:qFormat/>
    <w:rsid w:val="00DC7949"/>
    <w:pPr>
      <w:numPr>
        <w:ilvl w:val="2"/>
        <w:numId w:val="13"/>
      </w:numPr>
      <w:jc w:val="both"/>
    </w:pPr>
  </w:style>
  <w:style w:type="paragraph" w:customStyle="1" w:styleId="FOLLevel2">
    <w:name w:val="FOL Level 2"/>
    <w:basedOn w:val="Heading1"/>
    <w:next w:val="Normal"/>
    <w:link w:val="FOLLevel2Char"/>
    <w:qFormat/>
    <w:rsid w:val="00CC210D"/>
    <w:pPr>
      <w:numPr>
        <w:ilvl w:val="1"/>
        <w:numId w:val="13"/>
      </w:numPr>
      <w:jc w:val="both"/>
    </w:pPr>
    <w:rPr>
      <w:rFonts w:ascii="Arial" w:hAnsi="Arial"/>
      <w:b w:val="0"/>
      <w:sz w:val="20"/>
    </w:rPr>
  </w:style>
  <w:style w:type="character" w:customStyle="1" w:styleId="Heading1Char">
    <w:name w:val="Heading 1 Char"/>
    <w:aliases w:val="h1 Char,FOL L1 Char"/>
    <w:basedOn w:val="DefaultParagraphFont"/>
    <w:link w:val="Heading1"/>
    <w:uiPriority w:val="9"/>
    <w:rsid w:val="00DC7949"/>
    <w:rPr>
      <w:rFonts w:ascii="Arial Bold" w:hAnsi="Arial Bold"/>
      <w:b/>
      <w:sz w:val="24"/>
      <w:lang w:val="fr-CA" w:eastAsia="en-US"/>
    </w:rPr>
  </w:style>
  <w:style w:type="character" w:customStyle="1" w:styleId="FOLLevel2aChar">
    <w:name w:val="FOL Level 2a Char"/>
    <w:basedOn w:val="Heading1Char"/>
    <w:link w:val="FOLLevel2a"/>
    <w:rsid w:val="00DC7949"/>
    <w:rPr>
      <w:rFonts w:ascii="Arial Bold" w:hAnsi="Arial Bold"/>
      <w:b w:val="0"/>
      <w:color w:val="000000"/>
      <w:sz w:val="24"/>
      <w:lang w:val="fr-CA" w:eastAsia="en-US"/>
    </w:rPr>
  </w:style>
  <w:style w:type="character" w:customStyle="1" w:styleId="FOLLevel2Char">
    <w:name w:val="FOL Level 2 Char"/>
    <w:basedOn w:val="Heading1Char"/>
    <w:link w:val="FOLLevel2"/>
    <w:rsid w:val="00CC210D"/>
    <w:rPr>
      <w:rFonts w:ascii="Arial Bold" w:hAnsi="Arial Bold"/>
      <w:b w:val="0"/>
      <w:sz w:val="24"/>
      <w:lang w:val="fr-CA" w:eastAsia="en-US"/>
    </w:rPr>
  </w:style>
  <w:style w:type="character" w:customStyle="1" w:styleId="TitleChar">
    <w:name w:val="Title Char"/>
    <w:basedOn w:val="DefaultParagraphFont"/>
    <w:link w:val="Title"/>
    <w:rsid w:val="0055163F"/>
    <w:rPr>
      <w:b/>
      <w:sz w:val="28"/>
      <w:lang w:val="fr-CA" w:eastAsia="en-US"/>
    </w:rPr>
  </w:style>
  <w:style w:type="character" w:customStyle="1" w:styleId="FOLHeadingChar">
    <w:name w:val="FOL Heading Char"/>
    <w:basedOn w:val="DefaultParagraphFont"/>
    <w:link w:val="FOLHeading"/>
    <w:rsid w:val="00914C35"/>
    <w:rPr>
      <w:rFonts w:ascii="Arial" w:hAnsi="Arial"/>
      <w:b/>
      <w:color w:val="FF0000"/>
      <w:sz w:val="32"/>
      <w:lang w:val="fr-CA" w:eastAsia="en-US"/>
    </w:rPr>
  </w:style>
  <w:style w:type="paragraph" w:customStyle="1" w:styleId="SimpleL9">
    <w:name w:val="Simple L9"/>
    <w:basedOn w:val="Normal"/>
    <w:rsid w:val="000919CC"/>
    <w:pPr>
      <w:numPr>
        <w:ilvl w:val="8"/>
        <w:numId w:val="14"/>
      </w:numPr>
      <w:spacing w:after="240"/>
      <w:jc w:val="both"/>
    </w:pPr>
    <w:rPr>
      <w:rFonts w:eastAsia="SimSun"/>
      <w:sz w:val="24"/>
      <w:szCs w:val="16"/>
      <w:lang w:val="en-GB" w:eastAsia="zh-CN" w:bidi="he-IL"/>
    </w:rPr>
  </w:style>
  <w:style w:type="paragraph" w:customStyle="1" w:styleId="SimpleL8">
    <w:name w:val="Simple L8"/>
    <w:basedOn w:val="Normal"/>
    <w:rsid w:val="000919CC"/>
    <w:pPr>
      <w:numPr>
        <w:ilvl w:val="7"/>
        <w:numId w:val="14"/>
      </w:numPr>
      <w:spacing w:after="240"/>
      <w:jc w:val="both"/>
    </w:pPr>
    <w:rPr>
      <w:rFonts w:eastAsia="SimSun"/>
      <w:sz w:val="24"/>
      <w:szCs w:val="16"/>
      <w:lang w:val="en-GB" w:eastAsia="zh-CN" w:bidi="he-IL"/>
    </w:rPr>
  </w:style>
  <w:style w:type="paragraph" w:customStyle="1" w:styleId="SimpleL7">
    <w:name w:val="Simple L7"/>
    <w:basedOn w:val="Normal"/>
    <w:rsid w:val="000919CC"/>
    <w:pPr>
      <w:numPr>
        <w:ilvl w:val="6"/>
        <w:numId w:val="14"/>
      </w:numPr>
      <w:spacing w:after="240"/>
      <w:jc w:val="both"/>
      <w:outlineLvl w:val="6"/>
    </w:pPr>
    <w:rPr>
      <w:rFonts w:eastAsia="SimSun"/>
      <w:sz w:val="24"/>
      <w:szCs w:val="16"/>
      <w:lang w:val="en-GB" w:eastAsia="zh-CN" w:bidi="he-IL"/>
    </w:rPr>
  </w:style>
  <w:style w:type="paragraph" w:customStyle="1" w:styleId="SimpleL6">
    <w:name w:val="Simple L6"/>
    <w:basedOn w:val="Normal"/>
    <w:rsid w:val="000919CC"/>
    <w:pPr>
      <w:numPr>
        <w:ilvl w:val="5"/>
        <w:numId w:val="14"/>
      </w:numPr>
      <w:spacing w:after="240"/>
      <w:jc w:val="both"/>
      <w:outlineLvl w:val="5"/>
    </w:pPr>
    <w:rPr>
      <w:rFonts w:eastAsia="SimSun"/>
      <w:sz w:val="24"/>
      <w:szCs w:val="16"/>
      <w:lang w:val="en-GB" w:eastAsia="zh-CN" w:bidi="he-IL"/>
    </w:rPr>
  </w:style>
  <w:style w:type="paragraph" w:customStyle="1" w:styleId="SimpleL5">
    <w:name w:val="Simple L5"/>
    <w:basedOn w:val="Normal"/>
    <w:rsid w:val="000919CC"/>
    <w:pPr>
      <w:spacing w:after="240"/>
      <w:jc w:val="both"/>
      <w:outlineLvl w:val="4"/>
    </w:pPr>
    <w:rPr>
      <w:rFonts w:eastAsia="SimSun"/>
      <w:sz w:val="24"/>
      <w:szCs w:val="16"/>
      <w:lang w:val="en-GB" w:eastAsia="zh-CN" w:bidi="he-IL"/>
    </w:rPr>
  </w:style>
  <w:style w:type="paragraph" w:customStyle="1" w:styleId="SimpleL4">
    <w:name w:val="Simple L4"/>
    <w:basedOn w:val="Normal"/>
    <w:rsid w:val="000919CC"/>
    <w:pPr>
      <w:numPr>
        <w:ilvl w:val="3"/>
        <w:numId w:val="14"/>
      </w:numPr>
      <w:spacing w:after="240"/>
      <w:jc w:val="both"/>
      <w:outlineLvl w:val="3"/>
    </w:pPr>
    <w:rPr>
      <w:rFonts w:eastAsia="SimSun"/>
      <w:sz w:val="24"/>
      <w:szCs w:val="16"/>
      <w:lang w:val="en-GB" w:eastAsia="zh-CN" w:bidi="he-IL"/>
    </w:rPr>
  </w:style>
  <w:style w:type="paragraph" w:customStyle="1" w:styleId="SimpleL3">
    <w:name w:val="Simple L3"/>
    <w:basedOn w:val="Normal"/>
    <w:rsid w:val="000919CC"/>
    <w:pPr>
      <w:numPr>
        <w:ilvl w:val="2"/>
        <w:numId w:val="14"/>
      </w:numPr>
      <w:spacing w:after="240"/>
      <w:jc w:val="both"/>
      <w:outlineLvl w:val="2"/>
    </w:pPr>
    <w:rPr>
      <w:rFonts w:eastAsia="SimSun"/>
      <w:sz w:val="24"/>
      <w:szCs w:val="16"/>
      <w:lang w:val="en-GB" w:eastAsia="zh-CN" w:bidi="he-IL"/>
    </w:rPr>
  </w:style>
  <w:style w:type="paragraph" w:customStyle="1" w:styleId="SimpleL2">
    <w:name w:val="Simple L2"/>
    <w:basedOn w:val="Normal"/>
    <w:rsid w:val="000919CC"/>
    <w:pPr>
      <w:numPr>
        <w:ilvl w:val="1"/>
        <w:numId w:val="14"/>
      </w:numPr>
      <w:spacing w:after="240"/>
      <w:jc w:val="both"/>
      <w:outlineLvl w:val="1"/>
    </w:pPr>
    <w:rPr>
      <w:rFonts w:eastAsia="SimSun"/>
      <w:sz w:val="24"/>
      <w:szCs w:val="16"/>
      <w:lang w:val="en-GB" w:eastAsia="zh-CN" w:bidi="he-IL"/>
    </w:rPr>
  </w:style>
  <w:style w:type="paragraph" w:customStyle="1" w:styleId="SimpleL1">
    <w:name w:val="Simple L1"/>
    <w:basedOn w:val="Normal"/>
    <w:rsid w:val="000919CC"/>
    <w:pPr>
      <w:numPr>
        <w:numId w:val="14"/>
      </w:numPr>
      <w:spacing w:after="240"/>
      <w:jc w:val="both"/>
      <w:outlineLvl w:val="0"/>
    </w:pPr>
    <w:rPr>
      <w:rFonts w:eastAsia="SimSun"/>
      <w:sz w:val="24"/>
      <w:szCs w:val="16"/>
      <w:lang w:val="en-GB" w:eastAsia="zh-CN" w:bidi="he-IL"/>
    </w:rPr>
  </w:style>
  <w:style w:type="paragraph" w:customStyle="1" w:styleId="Tableroman">
    <w:name w:val="Table roman"/>
    <w:basedOn w:val="Normal"/>
    <w:rsid w:val="00EE4113"/>
    <w:pPr>
      <w:numPr>
        <w:numId w:val="15"/>
      </w:numPr>
      <w:spacing w:before="60" w:after="60" w:line="290" w:lineRule="auto"/>
    </w:pPr>
    <w:rPr>
      <w:rFonts w:asciiTheme="minorHAnsi" w:eastAsiaTheme="minorHAnsi" w:hAnsiTheme="minorHAnsi" w:cstheme="minorBidi"/>
      <w:kern w:val="20"/>
      <w:sz w:val="22"/>
      <w:lang w:val="en-GB"/>
    </w:rPr>
  </w:style>
  <w:style w:type="paragraph" w:customStyle="1" w:styleId="ScheduleL1">
    <w:name w:val="Schedule L1"/>
    <w:basedOn w:val="Normal"/>
    <w:rsid w:val="009E1F66"/>
    <w:pPr>
      <w:numPr>
        <w:numId w:val="16"/>
      </w:numPr>
      <w:adjustRightInd w:val="0"/>
      <w:spacing w:after="240"/>
      <w:jc w:val="both"/>
      <w:outlineLvl w:val="0"/>
    </w:pPr>
    <w:rPr>
      <w:rFonts w:eastAsia="STZhongsong"/>
      <w:kern w:val="28"/>
      <w:lang w:eastAsia="zh-CN"/>
    </w:rPr>
  </w:style>
  <w:style w:type="paragraph" w:customStyle="1" w:styleId="ScheduleL2">
    <w:name w:val="Schedule L2"/>
    <w:basedOn w:val="Normal"/>
    <w:rsid w:val="009E1F66"/>
    <w:pPr>
      <w:adjustRightInd w:val="0"/>
      <w:spacing w:after="240"/>
      <w:jc w:val="both"/>
      <w:outlineLvl w:val="1"/>
    </w:pPr>
    <w:rPr>
      <w:rFonts w:eastAsia="STZhongsong"/>
      <w:kern w:val="28"/>
      <w:lang w:eastAsia="zh-CN"/>
    </w:rPr>
  </w:style>
  <w:style w:type="paragraph" w:customStyle="1" w:styleId="ScheduleL3">
    <w:name w:val="Schedule L3"/>
    <w:basedOn w:val="Normal"/>
    <w:rsid w:val="009E1F66"/>
    <w:pPr>
      <w:numPr>
        <w:ilvl w:val="2"/>
        <w:numId w:val="16"/>
      </w:numPr>
      <w:adjustRightInd w:val="0"/>
      <w:spacing w:after="240"/>
      <w:jc w:val="both"/>
      <w:outlineLvl w:val="2"/>
    </w:pPr>
    <w:rPr>
      <w:rFonts w:eastAsia="STZhongsong"/>
      <w:kern w:val="28"/>
      <w:lang w:eastAsia="zh-CN"/>
    </w:rPr>
  </w:style>
  <w:style w:type="paragraph" w:customStyle="1" w:styleId="ScheduleL4">
    <w:name w:val="Schedule L4"/>
    <w:basedOn w:val="Normal"/>
    <w:rsid w:val="009E1F66"/>
    <w:pPr>
      <w:numPr>
        <w:ilvl w:val="3"/>
        <w:numId w:val="16"/>
      </w:numPr>
      <w:adjustRightInd w:val="0"/>
      <w:spacing w:after="240"/>
      <w:jc w:val="both"/>
      <w:outlineLvl w:val="3"/>
    </w:pPr>
    <w:rPr>
      <w:rFonts w:eastAsia="STZhongsong"/>
      <w:kern w:val="28"/>
      <w:lang w:eastAsia="zh-CN"/>
    </w:rPr>
  </w:style>
  <w:style w:type="paragraph" w:customStyle="1" w:styleId="ScheduleL5">
    <w:name w:val="Schedule L5"/>
    <w:basedOn w:val="Normal"/>
    <w:rsid w:val="009E1F66"/>
    <w:pPr>
      <w:numPr>
        <w:ilvl w:val="4"/>
        <w:numId w:val="16"/>
      </w:numPr>
      <w:adjustRightInd w:val="0"/>
      <w:spacing w:after="240"/>
      <w:jc w:val="both"/>
      <w:outlineLvl w:val="4"/>
    </w:pPr>
    <w:rPr>
      <w:rFonts w:eastAsia="STZhongsong"/>
      <w:kern w:val="28"/>
      <w:lang w:eastAsia="zh-CN"/>
    </w:rPr>
  </w:style>
  <w:style w:type="paragraph" w:customStyle="1" w:styleId="ScheduleL6">
    <w:name w:val="Schedule L6"/>
    <w:basedOn w:val="Normal"/>
    <w:rsid w:val="009E1F66"/>
    <w:pPr>
      <w:numPr>
        <w:ilvl w:val="5"/>
        <w:numId w:val="16"/>
      </w:numPr>
      <w:adjustRightInd w:val="0"/>
      <w:spacing w:after="240"/>
      <w:jc w:val="both"/>
      <w:outlineLvl w:val="5"/>
    </w:pPr>
    <w:rPr>
      <w:rFonts w:eastAsia="STZhongsong"/>
      <w:kern w:val="28"/>
      <w:lang w:eastAsia="zh-CN"/>
    </w:rPr>
  </w:style>
  <w:style w:type="paragraph" w:customStyle="1" w:styleId="ScheduleL7">
    <w:name w:val="Schedule L7"/>
    <w:basedOn w:val="Normal"/>
    <w:rsid w:val="009E1F66"/>
    <w:pPr>
      <w:numPr>
        <w:ilvl w:val="6"/>
        <w:numId w:val="16"/>
      </w:numPr>
      <w:adjustRightInd w:val="0"/>
      <w:spacing w:after="240"/>
      <w:jc w:val="both"/>
      <w:outlineLvl w:val="6"/>
    </w:pPr>
    <w:rPr>
      <w:rFonts w:eastAsia="STZhongsong"/>
      <w:kern w:val="28"/>
      <w:lang w:eastAsia="zh-CN"/>
    </w:rPr>
  </w:style>
  <w:style w:type="paragraph" w:customStyle="1" w:styleId="ScheduleL8">
    <w:name w:val="Schedule L8"/>
    <w:basedOn w:val="Normal"/>
    <w:rsid w:val="009E1F66"/>
    <w:pPr>
      <w:numPr>
        <w:ilvl w:val="7"/>
        <w:numId w:val="16"/>
      </w:numPr>
      <w:adjustRightInd w:val="0"/>
      <w:spacing w:after="240"/>
      <w:jc w:val="both"/>
      <w:outlineLvl w:val="7"/>
    </w:pPr>
    <w:rPr>
      <w:rFonts w:eastAsia="STZhongsong"/>
      <w:kern w:val="28"/>
      <w:lang w:eastAsia="zh-CN"/>
    </w:rPr>
  </w:style>
  <w:style w:type="paragraph" w:customStyle="1" w:styleId="ScheduleL9">
    <w:name w:val="Schedule L9"/>
    <w:basedOn w:val="Normal"/>
    <w:rsid w:val="009E1F66"/>
    <w:pPr>
      <w:numPr>
        <w:ilvl w:val="8"/>
        <w:numId w:val="16"/>
      </w:numPr>
      <w:adjustRightInd w:val="0"/>
      <w:spacing w:after="240"/>
      <w:jc w:val="both"/>
      <w:outlineLvl w:val="8"/>
    </w:pPr>
    <w:rPr>
      <w:rFonts w:eastAsia="STZhongsong"/>
      <w:kern w:val="28"/>
      <w:lang w:eastAsia="zh-CN"/>
    </w:rPr>
  </w:style>
  <w:style w:type="paragraph" w:customStyle="1" w:styleId="04LOLglNew1">
    <w:name w:val="04 LOLglNew 1"/>
    <w:basedOn w:val="Normal"/>
    <w:autoRedefine/>
    <w:qFormat/>
    <w:rsid w:val="007E357C"/>
    <w:pPr>
      <w:keepNext/>
      <w:numPr>
        <w:numId w:val="22"/>
      </w:numPr>
      <w:spacing w:after="240"/>
      <w:jc w:val="both"/>
      <w:outlineLvl w:val="0"/>
    </w:pPr>
    <w:rPr>
      <w:rFonts w:ascii="Arial Bold" w:hAnsi="Arial Bold"/>
      <w:b/>
      <w:sz w:val="24"/>
      <w:szCs w:val="22"/>
    </w:rPr>
  </w:style>
  <w:style w:type="paragraph" w:customStyle="1" w:styleId="04LOLglNew2">
    <w:name w:val="04 LOLglNew 2"/>
    <w:basedOn w:val="Normal"/>
    <w:autoRedefine/>
    <w:qFormat/>
    <w:rsid w:val="00D33630"/>
    <w:pPr>
      <w:keepNext/>
      <w:numPr>
        <w:ilvl w:val="1"/>
        <w:numId w:val="22"/>
      </w:numPr>
      <w:spacing w:after="240"/>
      <w:jc w:val="both"/>
      <w:outlineLvl w:val="1"/>
    </w:pPr>
    <w:rPr>
      <w:lang w:val="fr-CA"/>
    </w:rPr>
  </w:style>
  <w:style w:type="paragraph" w:customStyle="1" w:styleId="04LOLglNew3">
    <w:name w:val="04 LOLglNew 3"/>
    <w:basedOn w:val="Normal"/>
    <w:autoRedefine/>
    <w:qFormat/>
    <w:rsid w:val="000B7739"/>
    <w:pPr>
      <w:numPr>
        <w:ilvl w:val="2"/>
        <w:numId w:val="17"/>
      </w:numPr>
      <w:spacing w:after="240"/>
      <w:jc w:val="both"/>
      <w:outlineLvl w:val="2"/>
    </w:pPr>
    <w:rPr>
      <w:szCs w:val="22"/>
    </w:rPr>
  </w:style>
  <w:style w:type="paragraph" w:customStyle="1" w:styleId="04LOLglNew4">
    <w:name w:val="04 LOLglNew 4"/>
    <w:basedOn w:val="Normal"/>
    <w:qFormat/>
    <w:rsid w:val="00D33630"/>
    <w:pPr>
      <w:numPr>
        <w:ilvl w:val="3"/>
        <w:numId w:val="22"/>
      </w:numPr>
      <w:spacing w:after="240"/>
      <w:jc w:val="both"/>
      <w:outlineLvl w:val="3"/>
    </w:pPr>
    <w:rPr>
      <w:szCs w:val="22"/>
    </w:rPr>
  </w:style>
  <w:style w:type="paragraph" w:customStyle="1" w:styleId="04LOLglNew5">
    <w:name w:val="04 LOLglNew 5"/>
    <w:basedOn w:val="Normal"/>
    <w:qFormat/>
    <w:rsid w:val="00202247"/>
    <w:pPr>
      <w:numPr>
        <w:ilvl w:val="4"/>
        <w:numId w:val="22"/>
      </w:numPr>
      <w:spacing w:after="240"/>
      <w:jc w:val="both"/>
      <w:outlineLvl w:val="4"/>
    </w:pPr>
    <w:rPr>
      <w:szCs w:val="22"/>
    </w:rPr>
  </w:style>
  <w:style w:type="paragraph" w:customStyle="1" w:styleId="04LOLglNew6">
    <w:name w:val="04 LOLglNew 6"/>
    <w:basedOn w:val="Normal"/>
    <w:qFormat/>
    <w:rsid w:val="00441812"/>
    <w:pPr>
      <w:numPr>
        <w:ilvl w:val="5"/>
        <w:numId w:val="22"/>
      </w:numPr>
      <w:spacing w:after="240"/>
      <w:jc w:val="both"/>
      <w:outlineLvl w:val="5"/>
    </w:pPr>
    <w:rPr>
      <w:sz w:val="21"/>
      <w:szCs w:val="22"/>
    </w:rPr>
  </w:style>
  <w:style w:type="paragraph" w:customStyle="1" w:styleId="04LOLglNew7">
    <w:name w:val="04 LOLglNew 7"/>
    <w:basedOn w:val="Normal"/>
    <w:qFormat/>
    <w:rsid w:val="00441812"/>
    <w:pPr>
      <w:numPr>
        <w:ilvl w:val="6"/>
        <w:numId w:val="22"/>
      </w:numPr>
      <w:spacing w:after="240"/>
      <w:jc w:val="both"/>
      <w:outlineLvl w:val="6"/>
    </w:pPr>
    <w:rPr>
      <w:sz w:val="21"/>
      <w:szCs w:val="22"/>
    </w:rPr>
  </w:style>
  <w:style w:type="paragraph" w:customStyle="1" w:styleId="04LOLglNew8">
    <w:name w:val="04 LOLglNew 8"/>
    <w:basedOn w:val="Normal"/>
    <w:qFormat/>
    <w:rsid w:val="00441812"/>
    <w:pPr>
      <w:numPr>
        <w:ilvl w:val="7"/>
        <w:numId w:val="22"/>
      </w:numPr>
      <w:spacing w:after="240"/>
      <w:jc w:val="both"/>
    </w:pPr>
    <w:rPr>
      <w:sz w:val="21"/>
      <w:szCs w:val="22"/>
    </w:rPr>
  </w:style>
  <w:style w:type="paragraph" w:customStyle="1" w:styleId="04LOLglNew9">
    <w:name w:val="04 LOLglNew 9"/>
    <w:basedOn w:val="Normal"/>
    <w:qFormat/>
    <w:rsid w:val="00441812"/>
    <w:pPr>
      <w:numPr>
        <w:ilvl w:val="8"/>
        <w:numId w:val="22"/>
      </w:numPr>
      <w:spacing w:after="240"/>
      <w:jc w:val="both"/>
    </w:pPr>
    <w:rPr>
      <w:sz w:val="21"/>
      <w:szCs w:val="22"/>
    </w:rPr>
  </w:style>
  <w:style w:type="paragraph" w:customStyle="1" w:styleId="Schedule3L9">
    <w:name w:val="Schedule 3 L9"/>
    <w:basedOn w:val="Normal"/>
    <w:rsid w:val="00441812"/>
    <w:pPr>
      <w:numPr>
        <w:ilvl w:val="8"/>
        <w:numId w:val="18"/>
      </w:numPr>
      <w:spacing w:after="240"/>
      <w:jc w:val="both"/>
      <w:outlineLvl w:val="8"/>
    </w:pPr>
    <w:rPr>
      <w:rFonts w:eastAsia="SimSun"/>
      <w:sz w:val="24"/>
      <w:szCs w:val="16"/>
      <w:lang w:eastAsia="zh-CN" w:bidi="he-IL"/>
    </w:rPr>
  </w:style>
  <w:style w:type="paragraph" w:customStyle="1" w:styleId="Schedule3L8">
    <w:name w:val="Schedule 3 L8"/>
    <w:basedOn w:val="Normal"/>
    <w:next w:val="Normal"/>
    <w:rsid w:val="00441812"/>
    <w:pPr>
      <w:numPr>
        <w:ilvl w:val="7"/>
        <w:numId w:val="18"/>
      </w:numPr>
      <w:spacing w:after="240"/>
      <w:jc w:val="both"/>
      <w:outlineLvl w:val="7"/>
    </w:pPr>
    <w:rPr>
      <w:rFonts w:eastAsia="SimSun"/>
      <w:sz w:val="24"/>
      <w:szCs w:val="16"/>
      <w:lang w:eastAsia="zh-CN" w:bidi="he-IL"/>
    </w:rPr>
  </w:style>
  <w:style w:type="paragraph" w:customStyle="1" w:styleId="Schedule3L7">
    <w:name w:val="Schedule 3 L7"/>
    <w:basedOn w:val="Normal"/>
    <w:next w:val="Normal"/>
    <w:rsid w:val="00441812"/>
    <w:pPr>
      <w:numPr>
        <w:ilvl w:val="6"/>
        <w:numId w:val="18"/>
      </w:numPr>
      <w:spacing w:after="240"/>
      <w:jc w:val="both"/>
      <w:outlineLvl w:val="6"/>
    </w:pPr>
    <w:rPr>
      <w:rFonts w:eastAsia="SimSun"/>
      <w:sz w:val="24"/>
      <w:szCs w:val="16"/>
      <w:lang w:eastAsia="zh-CN" w:bidi="he-IL"/>
    </w:rPr>
  </w:style>
  <w:style w:type="paragraph" w:customStyle="1" w:styleId="Schedule3L6">
    <w:name w:val="Schedule 3 L6"/>
    <w:basedOn w:val="Normal"/>
    <w:next w:val="BodyText3"/>
    <w:rsid w:val="00441812"/>
    <w:pPr>
      <w:numPr>
        <w:ilvl w:val="5"/>
        <w:numId w:val="18"/>
      </w:numPr>
      <w:spacing w:after="240"/>
      <w:jc w:val="both"/>
      <w:outlineLvl w:val="5"/>
    </w:pPr>
    <w:rPr>
      <w:rFonts w:eastAsia="SimSun"/>
      <w:sz w:val="24"/>
      <w:szCs w:val="16"/>
      <w:lang w:eastAsia="zh-CN" w:bidi="he-IL"/>
    </w:rPr>
  </w:style>
  <w:style w:type="paragraph" w:customStyle="1" w:styleId="Schedule3L5">
    <w:name w:val="Schedule 3 L5"/>
    <w:basedOn w:val="Normal"/>
    <w:next w:val="BodyText2"/>
    <w:rsid w:val="00441812"/>
    <w:pPr>
      <w:numPr>
        <w:ilvl w:val="4"/>
        <w:numId w:val="18"/>
      </w:numPr>
      <w:spacing w:after="240"/>
      <w:jc w:val="both"/>
      <w:outlineLvl w:val="4"/>
    </w:pPr>
    <w:rPr>
      <w:rFonts w:eastAsia="SimSun"/>
      <w:sz w:val="24"/>
      <w:szCs w:val="16"/>
      <w:lang w:eastAsia="zh-CN" w:bidi="he-IL"/>
    </w:rPr>
  </w:style>
  <w:style w:type="paragraph" w:customStyle="1" w:styleId="Schedule3L4">
    <w:name w:val="Schedule 3 L4"/>
    <w:basedOn w:val="Normal"/>
    <w:next w:val="Normal"/>
    <w:rsid w:val="00441812"/>
    <w:pPr>
      <w:numPr>
        <w:ilvl w:val="3"/>
        <w:numId w:val="18"/>
      </w:numPr>
      <w:spacing w:after="240"/>
      <w:jc w:val="both"/>
      <w:outlineLvl w:val="3"/>
    </w:pPr>
    <w:rPr>
      <w:rFonts w:eastAsia="SimSun"/>
      <w:sz w:val="24"/>
      <w:szCs w:val="16"/>
      <w:lang w:eastAsia="zh-CN" w:bidi="he-IL"/>
    </w:rPr>
  </w:style>
  <w:style w:type="paragraph" w:customStyle="1" w:styleId="Schedule3L3">
    <w:name w:val="Schedule 3 L3"/>
    <w:basedOn w:val="Normal"/>
    <w:next w:val="Normal"/>
    <w:rsid w:val="00441812"/>
    <w:pPr>
      <w:numPr>
        <w:ilvl w:val="2"/>
        <w:numId w:val="18"/>
      </w:numPr>
      <w:spacing w:after="240"/>
      <w:jc w:val="both"/>
      <w:outlineLvl w:val="2"/>
    </w:pPr>
    <w:rPr>
      <w:rFonts w:eastAsia="SimSun"/>
      <w:sz w:val="24"/>
      <w:szCs w:val="16"/>
      <w:lang w:eastAsia="zh-CN" w:bidi="he-IL"/>
    </w:rPr>
  </w:style>
  <w:style w:type="paragraph" w:customStyle="1" w:styleId="Schedule3L2">
    <w:name w:val="Schedule 3 L2"/>
    <w:basedOn w:val="Normal"/>
    <w:next w:val="BodyText"/>
    <w:rsid w:val="00441812"/>
    <w:pPr>
      <w:numPr>
        <w:ilvl w:val="1"/>
        <w:numId w:val="18"/>
      </w:numPr>
      <w:spacing w:after="240"/>
      <w:jc w:val="center"/>
      <w:outlineLvl w:val="1"/>
    </w:pPr>
    <w:rPr>
      <w:rFonts w:eastAsia="SimSun"/>
      <w:b/>
      <w:caps/>
      <w:sz w:val="24"/>
      <w:szCs w:val="16"/>
      <w:lang w:eastAsia="zh-CN" w:bidi="he-IL"/>
    </w:rPr>
  </w:style>
  <w:style w:type="paragraph" w:customStyle="1" w:styleId="Schedule3L1">
    <w:name w:val="Schedule 3 L1"/>
    <w:basedOn w:val="Normal"/>
    <w:next w:val="BodyText"/>
    <w:rsid w:val="00441812"/>
    <w:pPr>
      <w:keepNext/>
      <w:pageBreakBefore/>
      <w:numPr>
        <w:numId w:val="18"/>
      </w:numPr>
      <w:spacing w:after="240"/>
      <w:jc w:val="center"/>
      <w:outlineLvl w:val="0"/>
    </w:pPr>
    <w:rPr>
      <w:rFonts w:eastAsia="SimSun"/>
      <w:b/>
      <w:caps/>
      <w:sz w:val="24"/>
      <w:szCs w:val="16"/>
      <w:lang w:eastAsia="zh-CN" w:bidi="he-IL"/>
    </w:rPr>
  </w:style>
  <w:style w:type="paragraph" w:customStyle="1" w:styleId="Level1">
    <w:name w:val="Level 1"/>
    <w:basedOn w:val="Normal"/>
    <w:next w:val="Normal"/>
    <w:qFormat/>
    <w:rsid w:val="00441812"/>
    <w:pPr>
      <w:keepNext/>
      <w:numPr>
        <w:numId w:val="19"/>
      </w:numPr>
      <w:spacing w:before="140" w:after="140" w:line="336" w:lineRule="auto"/>
      <w:jc w:val="both"/>
      <w:outlineLvl w:val="0"/>
    </w:pPr>
    <w:rPr>
      <w:b/>
      <w:caps/>
      <w:w w:val="105"/>
      <w:kern w:val="20"/>
    </w:rPr>
  </w:style>
  <w:style w:type="paragraph" w:customStyle="1" w:styleId="Level2">
    <w:name w:val="Level 2"/>
    <w:basedOn w:val="Normal"/>
    <w:next w:val="Normal"/>
    <w:qFormat/>
    <w:rsid w:val="00441812"/>
    <w:pPr>
      <w:keepNext/>
      <w:numPr>
        <w:ilvl w:val="1"/>
        <w:numId w:val="19"/>
      </w:numPr>
      <w:spacing w:line="336" w:lineRule="auto"/>
      <w:jc w:val="both"/>
      <w:outlineLvl w:val="1"/>
    </w:pPr>
    <w:rPr>
      <w:b/>
      <w:w w:val="105"/>
      <w:kern w:val="20"/>
    </w:rPr>
  </w:style>
  <w:style w:type="paragraph" w:customStyle="1" w:styleId="Level3">
    <w:name w:val="Level 3"/>
    <w:basedOn w:val="Normal"/>
    <w:qFormat/>
    <w:rsid w:val="00441812"/>
    <w:pPr>
      <w:numPr>
        <w:ilvl w:val="2"/>
        <w:numId w:val="19"/>
      </w:numPr>
      <w:spacing w:after="120" w:line="336" w:lineRule="auto"/>
      <w:jc w:val="both"/>
      <w:outlineLvl w:val="2"/>
    </w:pPr>
    <w:rPr>
      <w:w w:val="105"/>
      <w:kern w:val="20"/>
    </w:rPr>
  </w:style>
  <w:style w:type="paragraph" w:customStyle="1" w:styleId="Level4">
    <w:name w:val="Level 4"/>
    <w:basedOn w:val="Normal"/>
    <w:qFormat/>
    <w:rsid w:val="00441812"/>
    <w:pPr>
      <w:numPr>
        <w:ilvl w:val="3"/>
        <w:numId w:val="19"/>
      </w:numPr>
      <w:spacing w:after="120" w:line="336" w:lineRule="auto"/>
      <w:jc w:val="both"/>
      <w:outlineLvl w:val="3"/>
    </w:pPr>
    <w:rPr>
      <w:w w:val="105"/>
      <w:kern w:val="20"/>
    </w:rPr>
  </w:style>
  <w:style w:type="paragraph" w:customStyle="1" w:styleId="Level5">
    <w:name w:val="Level 5"/>
    <w:basedOn w:val="Level4"/>
    <w:rsid w:val="00441812"/>
    <w:pPr>
      <w:numPr>
        <w:ilvl w:val="4"/>
      </w:numPr>
      <w:outlineLvl w:val="4"/>
    </w:pPr>
  </w:style>
  <w:style w:type="paragraph" w:customStyle="1" w:styleId="Level6">
    <w:name w:val="Level 6"/>
    <w:basedOn w:val="Level5"/>
    <w:rsid w:val="00441812"/>
    <w:pPr>
      <w:numPr>
        <w:ilvl w:val="5"/>
      </w:numPr>
      <w:outlineLvl w:val="5"/>
    </w:pPr>
  </w:style>
  <w:style w:type="paragraph" w:customStyle="1" w:styleId="Level7">
    <w:name w:val="Level 7"/>
    <w:basedOn w:val="Normal"/>
    <w:rsid w:val="00441812"/>
    <w:pPr>
      <w:numPr>
        <w:ilvl w:val="6"/>
        <w:numId w:val="19"/>
      </w:numPr>
      <w:spacing w:after="120" w:line="336" w:lineRule="auto"/>
      <w:jc w:val="both"/>
      <w:outlineLvl w:val="6"/>
    </w:pPr>
    <w:rPr>
      <w:w w:val="105"/>
      <w:kern w:val="20"/>
    </w:rPr>
  </w:style>
  <w:style w:type="paragraph" w:customStyle="1" w:styleId="Level8">
    <w:name w:val="Level 8"/>
    <w:basedOn w:val="Normal"/>
    <w:rsid w:val="00441812"/>
    <w:pPr>
      <w:numPr>
        <w:ilvl w:val="7"/>
        <w:numId w:val="19"/>
      </w:numPr>
      <w:spacing w:after="120" w:line="336" w:lineRule="auto"/>
      <w:jc w:val="both"/>
      <w:outlineLvl w:val="7"/>
    </w:pPr>
    <w:rPr>
      <w:w w:val="105"/>
      <w:kern w:val="20"/>
    </w:rPr>
  </w:style>
  <w:style w:type="character" w:customStyle="1" w:styleId="Heading5Char">
    <w:name w:val="Heading 5 Char"/>
    <w:aliases w:val="FOL L5 Char"/>
    <w:basedOn w:val="DefaultParagraphFont"/>
    <w:link w:val="Heading5"/>
    <w:uiPriority w:val="9"/>
    <w:rsid w:val="009D53BF"/>
    <w:rPr>
      <w:color w:val="000000"/>
      <w:lang w:val="en-US" w:eastAsia="en-US"/>
    </w:rPr>
  </w:style>
  <w:style w:type="character" w:customStyle="1" w:styleId="DocIDChar">
    <w:name w:val="DocID Char"/>
    <w:basedOn w:val="DefaultParagraphFont"/>
    <w:locked/>
    <w:rsid w:val="00575395"/>
    <w:rPr>
      <w:rFonts w:ascii="Arial" w:hAnsi="Arial" w:cs="Arial"/>
      <w:sz w:val="16"/>
      <w:lang w:val="en-US" w:eastAsia="en-US"/>
    </w:rPr>
  </w:style>
  <w:style w:type="character" w:styleId="PlaceholderText">
    <w:name w:val="Placeholder Text"/>
    <w:basedOn w:val="DefaultParagraphFont"/>
    <w:uiPriority w:val="99"/>
    <w:semiHidden/>
    <w:rsid w:val="00A73FBE"/>
    <w:rPr>
      <w:color w:val="808080"/>
    </w:rPr>
  </w:style>
  <w:style w:type="paragraph" w:customStyle="1" w:styleId="TexteNormal">
    <w:name w:val="Texte Normal"/>
    <w:next w:val="BodyText"/>
    <w:link w:val="TexteNormalCar"/>
    <w:qFormat/>
    <w:rsid w:val="00A50F94"/>
    <w:pPr>
      <w:spacing w:afterLines="40" w:after="96"/>
    </w:pPr>
    <w:rPr>
      <w:rFonts w:eastAsia="SimSun"/>
      <w:lang w:val="fr-CA" w:eastAsia="zh-CN" w:bidi="he-IL"/>
    </w:rPr>
  </w:style>
  <w:style w:type="character" w:customStyle="1" w:styleId="TexteNormalCar">
    <w:name w:val="Texte Normal Car"/>
    <w:basedOn w:val="DefaultParagraphFont"/>
    <w:link w:val="TexteNormal"/>
    <w:rsid w:val="00A50F94"/>
    <w:rPr>
      <w:rFonts w:ascii="Arial" w:eastAsia="SimSun" w:hAnsi="Arial" w:cs="Arial"/>
      <w:lang w:val="fr-CA" w:eastAsia="zh-CN" w:bidi="he-IL"/>
    </w:rPr>
  </w:style>
  <w:style w:type="character" w:customStyle="1" w:styleId="Heading3Char">
    <w:name w:val="Heading 3 Char"/>
    <w:aliases w:val="h3 Char,FOL L3 Char"/>
    <w:basedOn w:val="DefaultParagraphFont"/>
    <w:link w:val="Heading3"/>
    <w:uiPriority w:val="9"/>
    <w:rsid w:val="000232E6"/>
    <w:rPr>
      <w:rFonts w:ascii="Arial" w:hAnsi="Arial" w:cs="Arial"/>
      <w:color w:val="000000"/>
      <w:lang w:val="fr-CA" w:eastAsia="en-US"/>
    </w:rPr>
  </w:style>
  <w:style w:type="character" w:customStyle="1" w:styleId="Heading6Char">
    <w:name w:val="Heading 6 Char"/>
    <w:aliases w:val="FOL L6 Char"/>
    <w:basedOn w:val="DefaultParagraphFont"/>
    <w:link w:val="Heading6"/>
    <w:uiPriority w:val="9"/>
    <w:rsid w:val="000232E6"/>
    <w:rPr>
      <w:color w:val="000000"/>
      <w:lang w:val="fr-CA" w:eastAsia="en-US"/>
    </w:rPr>
  </w:style>
  <w:style w:type="character" w:customStyle="1" w:styleId="BodyTextIndent2Char">
    <w:name w:val="Body Text Indent 2 Char"/>
    <w:basedOn w:val="DefaultParagraphFont"/>
    <w:link w:val="BodyTextIndent2"/>
    <w:rsid w:val="000232E6"/>
    <w:rPr>
      <w:snapToGrid w:val="0"/>
      <w:lang w:val="fr-CA" w:eastAsia="en-US"/>
    </w:rPr>
  </w:style>
  <w:style w:type="character" w:customStyle="1" w:styleId="BodyTextIndent3Char">
    <w:name w:val="Body Text Indent 3 Char"/>
    <w:basedOn w:val="DefaultParagraphFont"/>
    <w:link w:val="BodyTextIndent3"/>
    <w:rsid w:val="000232E6"/>
    <w:rPr>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666">
      <w:bodyDiv w:val="1"/>
      <w:marLeft w:val="0"/>
      <w:marRight w:val="0"/>
      <w:marTop w:val="0"/>
      <w:marBottom w:val="0"/>
      <w:divBdr>
        <w:top w:val="none" w:sz="0" w:space="0" w:color="auto"/>
        <w:left w:val="none" w:sz="0" w:space="0" w:color="auto"/>
        <w:bottom w:val="none" w:sz="0" w:space="0" w:color="auto"/>
        <w:right w:val="none" w:sz="0" w:space="0" w:color="auto"/>
      </w:divBdr>
    </w:div>
    <w:div w:id="98380459">
      <w:bodyDiv w:val="1"/>
      <w:marLeft w:val="0"/>
      <w:marRight w:val="0"/>
      <w:marTop w:val="0"/>
      <w:marBottom w:val="0"/>
      <w:divBdr>
        <w:top w:val="none" w:sz="0" w:space="0" w:color="auto"/>
        <w:left w:val="none" w:sz="0" w:space="0" w:color="auto"/>
        <w:bottom w:val="none" w:sz="0" w:space="0" w:color="auto"/>
        <w:right w:val="none" w:sz="0" w:space="0" w:color="auto"/>
      </w:divBdr>
    </w:div>
    <w:div w:id="115761602">
      <w:bodyDiv w:val="1"/>
      <w:marLeft w:val="0"/>
      <w:marRight w:val="0"/>
      <w:marTop w:val="0"/>
      <w:marBottom w:val="0"/>
      <w:divBdr>
        <w:top w:val="none" w:sz="0" w:space="0" w:color="auto"/>
        <w:left w:val="none" w:sz="0" w:space="0" w:color="auto"/>
        <w:bottom w:val="none" w:sz="0" w:space="0" w:color="auto"/>
        <w:right w:val="none" w:sz="0" w:space="0" w:color="auto"/>
      </w:divBdr>
    </w:div>
    <w:div w:id="117576493">
      <w:bodyDiv w:val="1"/>
      <w:marLeft w:val="0"/>
      <w:marRight w:val="0"/>
      <w:marTop w:val="0"/>
      <w:marBottom w:val="0"/>
      <w:divBdr>
        <w:top w:val="none" w:sz="0" w:space="0" w:color="auto"/>
        <w:left w:val="none" w:sz="0" w:space="0" w:color="auto"/>
        <w:bottom w:val="none" w:sz="0" w:space="0" w:color="auto"/>
        <w:right w:val="none" w:sz="0" w:space="0" w:color="auto"/>
      </w:divBdr>
    </w:div>
    <w:div w:id="146871677">
      <w:bodyDiv w:val="1"/>
      <w:marLeft w:val="0"/>
      <w:marRight w:val="0"/>
      <w:marTop w:val="0"/>
      <w:marBottom w:val="0"/>
      <w:divBdr>
        <w:top w:val="none" w:sz="0" w:space="0" w:color="auto"/>
        <w:left w:val="none" w:sz="0" w:space="0" w:color="auto"/>
        <w:bottom w:val="none" w:sz="0" w:space="0" w:color="auto"/>
        <w:right w:val="none" w:sz="0" w:space="0" w:color="auto"/>
      </w:divBdr>
    </w:div>
    <w:div w:id="288708581">
      <w:bodyDiv w:val="1"/>
      <w:marLeft w:val="0"/>
      <w:marRight w:val="0"/>
      <w:marTop w:val="0"/>
      <w:marBottom w:val="0"/>
      <w:divBdr>
        <w:top w:val="none" w:sz="0" w:space="0" w:color="auto"/>
        <w:left w:val="none" w:sz="0" w:space="0" w:color="auto"/>
        <w:bottom w:val="none" w:sz="0" w:space="0" w:color="auto"/>
        <w:right w:val="none" w:sz="0" w:space="0" w:color="auto"/>
      </w:divBdr>
    </w:div>
    <w:div w:id="404184161">
      <w:bodyDiv w:val="1"/>
      <w:marLeft w:val="0"/>
      <w:marRight w:val="0"/>
      <w:marTop w:val="0"/>
      <w:marBottom w:val="0"/>
      <w:divBdr>
        <w:top w:val="none" w:sz="0" w:space="0" w:color="auto"/>
        <w:left w:val="none" w:sz="0" w:space="0" w:color="auto"/>
        <w:bottom w:val="none" w:sz="0" w:space="0" w:color="auto"/>
        <w:right w:val="none" w:sz="0" w:space="0" w:color="auto"/>
      </w:divBdr>
    </w:div>
    <w:div w:id="543299494">
      <w:bodyDiv w:val="1"/>
      <w:marLeft w:val="0"/>
      <w:marRight w:val="0"/>
      <w:marTop w:val="0"/>
      <w:marBottom w:val="0"/>
      <w:divBdr>
        <w:top w:val="none" w:sz="0" w:space="0" w:color="auto"/>
        <w:left w:val="none" w:sz="0" w:space="0" w:color="auto"/>
        <w:bottom w:val="none" w:sz="0" w:space="0" w:color="auto"/>
        <w:right w:val="none" w:sz="0" w:space="0" w:color="auto"/>
      </w:divBdr>
    </w:div>
    <w:div w:id="678893391">
      <w:bodyDiv w:val="1"/>
      <w:marLeft w:val="0"/>
      <w:marRight w:val="0"/>
      <w:marTop w:val="0"/>
      <w:marBottom w:val="0"/>
      <w:divBdr>
        <w:top w:val="none" w:sz="0" w:space="0" w:color="auto"/>
        <w:left w:val="none" w:sz="0" w:space="0" w:color="auto"/>
        <w:bottom w:val="none" w:sz="0" w:space="0" w:color="auto"/>
        <w:right w:val="none" w:sz="0" w:space="0" w:color="auto"/>
      </w:divBdr>
    </w:div>
    <w:div w:id="839008256">
      <w:bodyDiv w:val="1"/>
      <w:marLeft w:val="0"/>
      <w:marRight w:val="0"/>
      <w:marTop w:val="0"/>
      <w:marBottom w:val="0"/>
      <w:divBdr>
        <w:top w:val="none" w:sz="0" w:space="0" w:color="auto"/>
        <w:left w:val="none" w:sz="0" w:space="0" w:color="auto"/>
        <w:bottom w:val="none" w:sz="0" w:space="0" w:color="auto"/>
        <w:right w:val="none" w:sz="0" w:space="0" w:color="auto"/>
      </w:divBdr>
    </w:div>
    <w:div w:id="932782962">
      <w:bodyDiv w:val="1"/>
      <w:marLeft w:val="0"/>
      <w:marRight w:val="0"/>
      <w:marTop w:val="0"/>
      <w:marBottom w:val="0"/>
      <w:divBdr>
        <w:top w:val="none" w:sz="0" w:space="0" w:color="auto"/>
        <w:left w:val="none" w:sz="0" w:space="0" w:color="auto"/>
        <w:bottom w:val="none" w:sz="0" w:space="0" w:color="auto"/>
        <w:right w:val="none" w:sz="0" w:space="0" w:color="auto"/>
      </w:divBdr>
    </w:div>
    <w:div w:id="950555026">
      <w:bodyDiv w:val="1"/>
      <w:marLeft w:val="0"/>
      <w:marRight w:val="0"/>
      <w:marTop w:val="0"/>
      <w:marBottom w:val="0"/>
      <w:divBdr>
        <w:top w:val="none" w:sz="0" w:space="0" w:color="auto"/>
        <w:left w:val="none" w:sz="0" w:space="0" w:color="auto"/>
        <w:bottom w:val="none" w:sz="0" w:space="0" w:color="auto"/>
        <w:right w:val="none" w:sz="0" w:space="0" w:color="auto"/>
      </w:divBdr>
    </w:div>
    <w:div w:id="958880708">
      <w:bodyDiv w:val="1"/>
      <w:marLeft w:val="0"/>
      <w:marRight w:val="0"/>
      <w:marTop w:val="0"/>
      <w:marBottom w:val="0"/>
      <w:divBdr>
        <w:top w:val="none" w:sz="0" w:space="0" w:color="auto"/>
        <w:left w:val="none" w:sz="0" w:space="0" w:color="auto"/>
        <w:bottom w:val="none" w:sz="0" w:space="0" w:color="auto"/>
        <w:right w:val="none" w:sz="0" w:space="0" w:color="auto"/>
      </w:divBdr>
    </w:div>
    <w:div w:id="1150635852">
      <w:bodyDiv w:val="1"/>
      <w:marLeft w:val="0"/>
      <w:marRight w:val="0"/>
      <w:marTop w:val="0"/>
      <w:marBottom w:val="0"/>
      <w:divBdr>
        <w:top w:val="none" w:sz="0" w:space="0" w:color="auto"/>
        <w:left w:val="none" w:sz="0" w:space="0" w:color="auto"/>
        <w:bottom w:val="none" w:sz="0" w:space="0" w:color="auto"/>
        <w:right w:val="none" w:sz="0" w:space="0" w:color="auto"/>
      </w:divBdr>
    </w:div>
    <w:div w:id="1458715265">
      <w:bodyDiv w:val="1"/>
      <w:marLeft w:val="0"/>
      <w:marRight w:val="0"/>
      <w:marTop w:val="0"/>
      <w:marBottom w:val="0"/>
      <w:divBdr>
        <w:top w:val="none" w:sz="0" w:space="0" w:color="auto"/>
        <w:left w:val="none" w:sz="0" w:space="0" w:color="auto"/>
        <w:bottom w:val="none" w:sz="0" w:space="0" w:color="auto"/>
        <w:right w:val="none" w:sz="0" w:space="0" w:color="auto"/>
      </w:divBdr>
    </w:div>
    <w:div w:id="1784375697">
      <w:bodyDiv w:val="1"/>
      <w:marLeft w:val="0"/>
      <w:marRight w:val="0"/>
      <w:marTop w:val="0"/>
      <w:marBottom w:val="0"/>
      <w:divBdr>
        <w:top w:val="none" w:sz="0" w:space="0" w:color="auto"/>
        <w:left w:val="none" w:sz="0" w:space="0" w:color="auto"/>
        <w:bottom w:val="none" w:sz="0" w:space="0" w:color="auto"/>
        <w:right w:val="none" w:sz="0" w:space="0" w:color="auto"/>
      </w:divBdr>
    </w:div>
    <w:div w:id="1924022501">
      <w:bodyDiv w:val="1"/>
      <w:marLeft w:val="0"/>
      <w:marRight w:val="0"/>
      <w:marTop w:val="0"/>
      <w:marBottom w:val="0"/>
      <w:divBdr>
        <w:top w:val="none" w:sz="0" w:space="0" w:color="auto"/>
        <w:left w:val="none" w:sz="0" w:space="0" w:color="auto"/>
        <w:bottom w:val="none" w:sz="0" w:space="0" w:color="auto"/>
        <w:right w:val="none" w:sz="0" w:space="0" w:color="auto"/>
      </w:divBdr>
    </w:div>
    <w:div w:id="1942880757">
      <w:bodyDiv w:val="1"/>
      <w:marLeft w:val="0"/>
      <w:marRight w:val="0"/>
      <w:marTop w:val="0"/>
      <w:marBottom w:val="0"/>
      <w:divBdr>
        <w:top w:val="none" w:sz="0" w:space="0" w:color="auto"/>
        <w:left w:val="none" w:sz="0" w:space="0" w:color="auto"/>
        <w:bottom w:val="none" w:sz="0" w:space="0" w:color="auto"/>
        <w:right w:val="none" w:sz="0" w:space="0" w:color="auto"/>
      </w:divBdr>
    </w:div>
    <w:div w:id="1957369103">
      <w:bodyDiv w:val="1"/>
      <w:marLeft w:val="0"/>
      <w:marRight w:val="0"/>
      <w:marTop w:val="0"/>
      <w:marBottom w:val="0"/>
      <w:divBdr>
        <w:top w:val="none" w:sz="0" w:space="0" w:color="auto"/>
        <w:left w:val="none" w:sz="0" w:space="0" w:color="auto"/>
        <w:bottom w:val="none" w:sz="0" w:space="0" w:color="auto"/>
        <w:right w:val="none" w:sz="0" w:space="0" w:color="auto"/>
      </w:divBdr>
    </w:div>
    <w:div w:id="1985233696">
      <w:bodyDiv w:val="1"/>
      <w:marLeft w:val="0"/>
      <w:marRight w:val="0"/>
      <w:marTop w:val="0"/>
      <w:marBottom w:val="0"/>
      <w:divBdr>
        <w:top w:val="none" w:sz="0" w:space="0" w:color="auto"/>
        <w:left w:val="none" w:sz="0" w:space="0" w:color="auto"/>
        <w:bottom w:val="none" w:sz="0" w:space="0" w:color="auto"/>
        <w:right w:val="none" w:sz="0" w:space="0" w:color="auto"/>
      </w:divBdr>
    </w:div>
    <w:div w:id="2018924592">
      <w:bodyDiv w:val="1"/>
      <w:marLeft w:val="0"/>
      <w:marRight w:val="0"/>
      <w:marTop w:val="0"/>
      <w:marBottom w:val="0"/>
      <w:divBdr>
        <w:top w:val="none" w:sz="0" w:space="0" w:color="auto"/>
        <w:left w:val="none" w:sz="0" w:space="0" w:color="auto"/>
        <w:bottom w:val="none" w:sz="0" w:space="0" w:color="auto"/>
        <w:right w:val="none" w:sz="0" w:space="0" w:color="auto"/>
      </w:divBdr>
    </w:div>
    <w:div w:id="2099792285">
      <w:bodyDiv w:val="1"/>
      <w:marLeft w:val="0"/>
      <w:marRight w:val="0"/>
      <w:marTop w:val="0"/>
      <w:marBottom w:val="0"/>
      <w:divBdr>
        <w:top w:val="none" w:sz="0" w:space="0" w:color="auto"/>
        <w:left w:val="none" w:sz="0" w:space="0" w:color="auto"/>
        <w:bottom w:val="none" w:sz="0" w:space="0" w:color="auto"/>
        <w:right w:val="none" w:sz="0" w:space="0" w:color="auto"/>
      </w:divBdr>
    </w:div>
    <w:div w:id="212861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KBL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9564E0D584B9428073B7B8BA312AF9" ma:contentTypeVersion="2" ma:contentTypeDescription="Create a new document." ma:contentTypeScope="" ma:versionID="39fff4645e94750012abd8f21c324b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1DF99-E4C3-48C1-BD3F-72B1E144FD4F}">
  <ds:schemaRefs>
    <ds:schemaRef ds:uri="http://schemas.openxmlformats.org/officeDocument/2006/bibliography"/>
  </ds:schemaRefs>
</ds:datastoreItem>
</file>

<file path=customXml/itemProps2.xml><?xml version="1.0" encoding="utf-8"?>
<ds:datastoreItem xmlns:ds="http://schemas.openxmlformats.org/officeDocument/2006/customXml" ds:itemID="{F2C51BD8-C571-4426-8320-AA92D8D0C9B9}">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65D2722-32B8-462C-8C6B-D6C35A2BE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5D6186-08DB-491A-8B0E-3362D0C7F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KKBLletter</Template>
  <TotalTime>3</TotalTime>
  <Pages>62</Pages>
  <Words>36163</Words>
  <Characters>186051</Characters>
  <Application>Microsoft Office Word</Application>
  <DocSecurity>0</DocSecurity>
  <Lines>1550</Lines>
  <Paragraphs>443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Letter 2 - General</vt:lpstr>
      <vt:lpstr>Letter 2 - General</vt:lpstr>
    </vt:vector>
  </TitlesOfParts>
  <Company>Koffman Kalef</Company>
  <LinksUpToDate>false</LinksUpToDate>
  <CharactersWithSpaces>221771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2 - General</dc:title>
  <dc:subject>HSBC/Legal forms</dc:subject>
  <dc:creator/>
  <cp:keywords>PUBLIC</cp:keywords>
  <dc:description>PUBLIC</dc:description>
  <cp:lastModifiedBy>Raymond CK Hung</cp:lastModifiedBy>
  <cp:revision>3</cp:revision>
  <cp:lastPrinted>2022-02-16T22:49:00Z</cp:lastPrinted>
  <dcterms:created xsi:type="dcterms:W3CDTF">2023-06-22T14:09:00Z</dcterms:created>
  <dcterms:modified xsi:type="dcterms:W3CDTF">2023-07-04T15:09:00Z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No Footers</vt:lpwstr>
  </property>
  <property fmtid="{D5CDD505-2E9C-101B-9397-08002B2CF9AE}" pid="4" name="DocID">
    <vt:lpwstr>34667588_3|NATDOCS</vt:lpwstr>
  </property>
  <property fmtid="{D5CDD505-2E9C-101B-9397-08002B2CF9AE}" pid="5" name="WS_TRACKING_ID">
    <vt:lpwstr>0cb6ab81-0149-4784-9aed-0134f99e2dd4</vt:lpwstr>
  </property>
  <property fmtid="{D5CDD505-2E9C-101B-9397-08002B2CF9AE}" pid="6" name="MSIP_Label_eac0c3c0-7ac8-48c5-a660-c2d987531ca1_Enabled">
    <vt:lpwstr>true</vt:lpwstr>
  </property>
  <property fmtid="{D5CDD505-2E9C-101B-9397-08002B2CF9AE}" pid="7" name="MSIP_Label_eac0c3c0-7ac8-48c5-a660-c2d987531ca1_SetDate">
    <vt:lpwstr>2022-11-07T15:44:55Z</vt:lpwstr>
  </property>
  <property fmtid="{D5CDD505-2E9C-101B-9397-08002B2CF9AE}" pid="8" name="MSIP_Label_eac0c3c0-7ac8-48c5-a660-c2d987531ca1_Method">
    <vt:lpwstr>Privileged</vt:lpwstr>
  </property>
  <property fmtid="{D5CDD505-2E9C-101B-9397-08002B2CF9AE}" pid="9" name="MSIP_Label_eac0c3c0-7ac8-48c5-a660-c2d987531ca1_Name">
    <vt:lpwstr>CCFRESTRI</vt:lpwstr>
  </property>
  <property fmtid="{D5CDD505-2E9C-101B-9397-08002B2CF9AE}" pid="10" name="MSIP_Label_eac0c3c0-7ac8-48c5-a660-c2d987531ca1_SiteId">
    <vt:lpwstr>e0fd434d-ba64-497b-90d2-859c472e1a92</vt:lpwstr>
  </property>
  <property fmtid="{D5CDD505-2E9C-101B-9397-08002B2CF9AE}" pid="11" name="MSIP_Label_eac0c3c0-7ac8-48c5-a660-c2d987531ca1_ActionId">
    <vt:lpwstr>233d0438-69bd-401e-84dc-caa93d7f1af4</vt:lpwstr>
  </property>
  <property fmtid="{D5CDD505-2E9C-101B-9397-08002B2CF9AE}" pid="12" name="MSIP_Label_eac0c3c0-7ac8-48c5-a660-c2d987531ca1_ContentBits">
    <vt:lpwstr>2</vt:lpwstr>
  </property>
  <property fmtid="{D5CDD505-2E9C-101B-9397-08002B2CF9AE}" pid="13" name="MSIP_Label_e29a071e-c7b4-4ba9-b12a-bcd68985b9fd_ContentBits">
    <vt:lpwstr>2</vt:lpwstr>
  </property>
  <property fmtid="{D5CDD505-2E9C-101B-9397-08002B2CF9AE}" pid="14" name="MSIP_Label_e29a071e-c7b4-4ba9-b12a-bcd68985b9fd_Enabled">
    <vt:lpwstr>true</vt:lpwstr>
  </property>
  <property fmtid="{D5CDD505-2E9C-101B-9397-08002B2CF9AE}" pid="15" name="MSIP_Label_e29a071e-c7b4-4ba9-b12a-bcd68985b9fd_ActionId">
    <vt:lpwstr>94bb2f30-db87-4a64-8055-28f5e54e308f</vt:lpwstr>
  </property>
  <property fmtid="{D5CDD505-2E9C-101B-9397-08002B2CF9AE}" pid="16" name="MSIP_Label_e29a071e-c7b4-4ba9-b12a-bcd68985b9fd_Name">
    <vt:lpwstr>CCFPUBLIC</vt:lpwstr>
  </property>
  <property fmtid="{D5CDD505-2E9C-101B-9397-08002B2CF9AE}" pid="17" name="ContentTypeId">
    <vt:lpwstr>0x0101009D9564E0D584B9428073B7B8BA312AF9</vt:lpwstr>
  </property>
  <property fmtid="{D5CDD505-2E9C-101B-9397-08002B2CF9AE}" pid="18" name="MSIP_Label_e29a071e-c7b4-4ba9-b12a-bcd68985b9fd_SetDate">
    <vt:lpwstr>2022-02-22T20:35:40Z</vt:lpwstr>
  </property>
  <property fmtid="{D5CDD505-2E9C-101B-9397-08002B2CF9AE}" pid="19" name="MSIP_Label_e29a071e-c7b4-4ba9-b12a-bcd68985b9fd_Method">
    <vt:lpwstr>Privileged</vt:lpwstr>
  </property>
  <property fmtid="{D5CDD505-2E9C-101B-9397-08002B2CF9AE}" pid="20" name="MSIP_Label_e29a071e-c7b4-4ba9-b12a-bcd68985b9fd_SiteId">
    <vt:lpwstr>e0fd434d-ba64-497b-90d2-859c472e1a92</vt:lpwstr>
  </property>
  <property fmtid="{D5CDD505-2E9C-101B-9397-08002B2CF9AE}" pid="21" name="MSIP_Label_3486a02c-2dfb-4efe-823f-aa2d1f0e6ab7_Enabled">
    <vt:lpwstr>true</vt:lpwstr>
  </property>
  <property fmtid="{D5CDD505-2E9C-101B-9397-08002B2CF9AE}" pid="22" name="MSIP_Label_3486a02c-2dfb-4efe-823f-aa2d1f0e6ab7_SetDate">
    <vt:lpwstr>2023-07-04T15:09:30Z</vt:lpwstr>
  </property>
  <property fmtid="{D5CDD505-2E9C-101B-9397-08002B2CF9AE}" pid="23" name="MSIP_Label_3486a02c-2dfb-4efe-823f-aa2d1f0e6ab7_Method">
    <vt:lpwstr>Privileged</vt:lpwstr>
  </property>
  <property fmtid="{D5CDD505-2E9C-101B-9397-08002B2CF9AE}" pid="24" name="MSIP_Label_3486a02c-2dfb-4efe-823f-aa2d1f0e6ab7_Name">
    <vt:lpwstr>CLAPUBLIC</vt:lpwstr>
  </property>
  <property fmtid="{D5CDD505-2E9C-101B-9397-08002B2CF9AE}" pid="25" name="MSIP_Label_3486a02c-2dfb-4efe-823f-aa2d1f0e6ab7_SiteId">
    <vt:lpwstr>e0fd434d-ba64-497b-90d2-859c472e1a92</vt:lpwstr>
  </property>
  <property fmtid="{D5CDD505-2E9C-101B-9397-08002B2CF9AE}" pid="26" name="MSIP_Label_3486a02c-2dfb-4efe-823f-aa2d1f0e6ab7_ActionId">
    <vt:lpwstr>29389579-5d56-4a43-8ef2-11b7ed290cee</vt:lpwstr>
  </property>
  <property fmtid="{D5CDD505-2E9C-101B-9397-08002B2CF9AE}" pid="27" name="MSIP_Label_3486a02c-2dfb-4efe-823f-aa2d1f0e6ab7_ContentBits">
    <vt:lpwstr>2</vt:lpwstr>
  </property>
  <property fmtid="{D5CDD505-2E9C-101B-9397-08002B2CF9AE}" pid="28" name="Classification">
    <vt:lpwstr>PUBLIC</vt:lpwstr>
  </property>
</Properties>
</file>